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491110">
      <w:pPr>
        <w:spacing w:after="400" w:line="400" w:lineRule="atLeast"/>
      </w:pPr>
      <w:bookmarkStart w:id="0" w:name="_GoBack"/>
      <w:bookmarkEnd w:id="0"/>
    </w:p>
    <w:p w14:paraId="668DB8E5">
      <w:pPr>
        <w:spacing w:after="400" w:line="400" w:lineRule="atLeast"/>
      </w:pPr>
      <w:r>
        <w:rPr>
          <w:b/>
        </w:rPr>
        <w:t>报告标题：全球宏观变局下的黄金新叙事：周期解构、因子辨析与未来战略展望（2026-2028）</w:t>
      </w:r>
    </w:p>
    <w:p w14:paraId="1D893311">
      <w:pPr>
        <w:spacing w:after="400" w:line="400" w:lineRule="atLeast"/>
      </w:pPr>
      <w:r>
        <w:rPr>
          <w:b/>
        </w:rPr>
        <w:t>发布机构：</w:t>
      </w:r>
      <w:r>
        <w:t xml:space="preserve"> [顶级金融研究机构名称]</w:t>
      </w:r>
    </w:p>
    <w:p w14:paraId="15992EFE">
      <w:pPr>
        <w:spacing w:after="400" w:line="400" w:lineRule="atLeast"/>
      </w:pPr>
      <w:r>
        <w:rPr>
          <w:b/>
        </w:rPr>
        <w:t>首席策略师：</w:t>
      </w:r>
      <w:r>
        <w:t xml:space="preserve"> [您的姓名]</w:t>
      </w:r>
    </w:p>
    <w:p w14:paraId="12AC31ED">
      <w:pPr>
        <w:spacing w:after="400" w:line="400" w:lineRule="atLeast"/>
      </w:pPr>
      <w:r>
        <w:rPr>
          <w:b/>
        </w:rPr>
        <w:t>报告日期：</w:t>
      </w:r>
      <w:r>
        <w:t xml:space="preserve"> 2026年1月16日</w:t>
      </w:r>
    </w:p>
    <w:p w14:paraId="1C16F300">
      <w:pPr>
        <w:spacing w:after="400" w:line="400" w:lineRule="atLeast"/>
      </w:pPr>
      <w:r>
        <w:rPr>
          <w:b/>
        </w:rPr>
        <w:t>报告编号：</w:t>
      </w:r>
      <w:r>
        <w:t xml:space="preserve"> GR-20260116-AU</w:t>
      </w:r>
    </w:p>
    <w:p w14:paraId="0102DD8E">
      <w:pPr>
        <w:spacing w:after="400" w:line="400" w:lineRule="atLeast"/>
      </w:pPr>
      <w:r>
        <w:rPr>
          <w:b/>
          <w:sz w:val="30"/>
        </w:rPr>
        <w:t>摘要 (Executive Summary)</w:t>
      </w:r>
    </w:p>
    <w:p w14:paraId="65D73DDC">
      <w:pPr>
        <w:spacing w:after="400" w:line="400" w:lineRule="atLeast"/>
      </w:pPr>
      <w:r>
        <w:t>本报告旨在对全球黄金市场自2010年以来的演变路径进行系统性回溯与解构，并在此基础上，对未来三年的市场趋势、驱动逻辑及战略配置价值进行前瞻性研判。我们认为，黄金市场的定价逻辑正在经历一场深刻的范式变迁。传统上由</w:t>
      </w:r>
      <w:r>
        <w:rPr>
          <w:b/>
        </w:rPr>
        <w:t>实际利率</w:t>
      </w:r>
      <w:r>
        <w:t>主导的分析框架，虽仍具核心解释力，但其有效性正日益受到全球央行结构性购金、地缘政治格局重塑以及全球供应链再配置等新兴结构性因素的挑战。</w:t>
      </w:r>
    </w:p>
    <w:p w14:paraId="28FA2207">
      <w:pPr>
        <w:spacing w:after="400" w:line="400" w:lineRule="atLeast"/>
      </w:pPr>
      <w:r>
        <w:t>报告首先回顾了2010年至2025年黄金市场的五个关键阶段，并制作了**《2010-2025年黄金价格阶段划分及核心驱动力对照表》</w:t>
      </w:r>
      <w:r>
        <w:rPr>
          <w:b/>
        </w:rPr>
        <w:t>，系统阐述了各阶段宏观背景与金价表现的内在联系。其次，我们深度辨析了影响金价的四大核心驱动因子——宏观经济、货币政策、市场情绪与供需结构，并通过</w:t>
      </w:r>
      <w:r>
        <w:t>《黄金价格核心影响因子权重分析表》**，量化评估了各因子在当前市场环境下的相对重要性。</w:t>
      </w:r>
    </w:p>
    <w:p w14:paraId="6A5E046B">
      <w:pPr>
        <w:spacing w:after="400" w:line="400" w:lineRule="atLeast"/>
      </w:pPr>
      <w:r>
        <w:t>展望未来（2026-2028），本报告构建了“软着陆”、“滞胀重燃”与“深度衰退”三种宏观情景，并利用**《未来三种情景假设下的宏观变量设定表》**进行推演。在基准的“软着陆”情景下，我们预计黄金将呈现区间震荡、重心温和上移的态势。而在“滞胀重燃”的乐观情景下，黄金的避险与抗通胀属性将得到充分彰显，可能驱动金价突破历史新高。</w:t>
      </w:r>
    </w:p>
    <w:p w14:paraId="0B7CE8DB">
      <w:pPr>
        <w:spacing w:after="400" w:line="400" w:lineRule="atLeast"/>
      </w:pPr>
      <w:r>
        <w:t>技术分析层面，我们识别了长周期上升通道的有效性，并通过**《关键支撑与压力位汇总及其依据表》**，锚定了未来市场波动的关键技术节点。我们提示，投资者需警惕全球通胀超预期回落、主要央行鹰派超预期以及地缘政治风险显著缓和等潜在风险。</w:t>
      </w:r>
    </w:p>
    <w:p w14:paraId="0D8C1CF9">
      <w:pPr>
        <w:spacing w:after="400" w:line="400" w:lineRule="atLeast"/>
      </w:pPr>
      <w:r>
        <w:t>最后，在战略配置层面，我们强调黄金在多元化投资组合中的角色已从传统的风险对冲工具，升维为对冲货币体系不确定性、地缘政治风险和全球经济结构性转变的</w:t>
      </w:r>
      <w:r>
        <w:rPr>
          <w:b/>
        </w:rPr>
        <w:t>核心战略资产</w:t>
      </w:r>
      <w:r>
        <w:t>。建议长期投资者在战略资产配置（SAA）中，适度增加黄金的配置权重，以应对未来日益复杂和不确定的全球宏观环境。</w:t>
      </w:r>
    </w:p>
    <w:p w14:paraId="100B590C">
      <w:pPr>
        <w:spacing w:after="400" w:line="400" w:lineRule="atLeast"/>
      </w:pPr>
      <w:r>
        <w:rPr>
          <w:b/>
          <w:sz w:val="30"/>
        </w:rPr>
        <w:t>一、 引言：全球宏观变局下的黄金新叙事</w:t>
      </w:r>
    </w:p>
    <w:p w14:paraId="5850366D">
      <w:pPr>
        <w:spacing w:after="400" w:line="400" w:lineRule="atLeast"/>
      </w:pPr>
      <w:r>
        <w:t>自2008年全球金融危机以来，世界经济与金融格局经历了深刻而复杂的演变。从史无前例的量化宽松（Quantitative Easing, QE）到近年的量化紧缩（Quantitative Tightening, QT）与激进加息周期，从全球化浪潮的高歌猛进到地缘政治冲突频发与供应链“去风险化”，宏观叙事的主线几经更迭。在这一波澜壮阔的背景下，黄金作为一种古老而独特的资产，其市场表现与定价逻辑亦呈现出前所未有的复杂性。</w:t>
      </w:r>
    </w:p>
    <w:p w14:paraId="7E4697B4">
      <w:pPr>
        <w:spacing w:after="400" w:line="400" w:lineRule="atLeast"/>
      </w:pPr>
      <w:r>
        <w:t>根据**世界黄金协会（World Gold Council）**于2025年末发布的《黄金展望2026：驾驭新周期》报告中的观点，黄金市场在2023年至2025年间所展现出的强大韧性，特别是在美元实际利率高企环境下的逆势上扬，标志着市场参与者需要重新审视并构建一个更为包容和多维的黄金分析框架 [[1]]。传统的以美元实际利率为单一锚点的模型，已不足以完全解释由全球央行，特别是新兴市场国家央行，持续且大规模购金所带来的结构性需求变化。</w:t>
      </w:r>
    </w:p>
    <w:p w14:paraId="7AC1972E">
      <w:pPr>
        <w:spacing w:after="400" w:line="400" w:lineRule="atLeast"/>
      </w:pPr>
      <w:r>
        <w:t>本报告的研究目的，正是在此“新叙事”浮现的背景下，为机构投资者和高净值客户提供一份兼具历史深度、逻辑严谨性与前瞻战略价值的黄金市场权威指南。我们将不仅依赖传统的宏观经济分析，更将融合地缘政治、货币体系演变、市场微观结构等多重视角，力求描绘出一幅关于黄金未来的全景图。报告结构遵循从历史到未来、从宏观到微观、从理论到实践的逻辑顺序，旨在为投资者在未来三年的战略资产配置决策提供坚实的分析基础。</w:t>
      </w:r>
    </w:p>
    <w:p w14:paraId="1DC76C85">
      <w:pPr>
        <w:spacing w:after="400" w:line="400" w:lineRule="atLeast"/>
      </w:pPr>
      <w:r>
        <w:rPr>
          <w:b/>
          <w:sz w:val="30"/>
        </w:rPr>
        <w:t>二、 文献综述与理论框架：黄金定价的多维模型</w:t>
      </w:r>
    </w:p>
    <w:p w14:paraId="419D3116">
      <w:pPr>
        <w:spacing w:after="400" w:line="400" w:lineRule="atLeast"/>
      </w:pPr>
      <w:r>
        <w:t>在深入分析市场前，有必要对黄金定价的核心理论框架与关键术语进行系统性梳理。这构成了我们后续所有分析的理论基石。</w:t>
      </w:r>
    </w:p>
    <w:p w14:paraId="071406F9">
      <w:pPr>
        <w:spacing w:after="400" w:line="400" w:lineRule="atLeast"/>
      </w:pPr>
      <w:r>
        <w:rPr>
          <w:b/>
        </w:rPr>
        <w:t>(一) 核心术语界定</w:t>
      </w:r>
    </w:p>
    <w:p w14:paraId="6AE55C4F">
      <w:pPr>
        <w:numPr>
          <w:ilvl w:val="0"/>
          <w:numId w:val="1"/>
        </w:numPr>
        <w:spacing w:after="400" w:line="400" w:lineRule="atLeast"/>
      </w:pPr>
      <w:r>
        <w:rPr>
          <w:b/>
        </w:rPr>
        <w:t>实际利率 (Real Interest Rate)</w:t>
      </w:r>
      <w:r>
        <w:t>：指名义利率（通常以美国10年期国债收益率为代表）扣除通胀预期（通常以美国10年期通胀保值债券TIPS的盈亏平衡通胀率衡量）后的利率。实际利率被普遍视为持有黄金的</w:t>
      </w:r>
      <w:r>
        <w:rPr>
          <w:b/>
        </w:rPr>
        <w:t>机会成本 (Opportunity Cost)</w:t>
      </w:r>
      <w:r>
        <w:t>。当实际利率上升时，持有无息资产黄金的吸引力下降，反之亦然。这是黄金定价的传统核心锚点。</w:t>
      </w:r>
    </w:p>
    <w:p w14:paraId="15AFD55E">
      <w:pPr>
        <w:numPr>
          <w:ilvl w:val="0"/>
          <w:numId w:val="1"/>
        </w:numPr>
        <w:spacing w:after="400" w:line="400" w:lineRule="atLeast"/>
      </w:pPr>
      <w:r>
        <w:rPr>
          <w:b/>
        </w:rPr>
        <w:t>避险属性 (Safe-Haven Properties)</w:t>
      </w:r>
      <w:r>
        <w:t>：指在市场遭遇极端风险事件（如金融危机、地缘政治冲突、严重经济衰退）时，黄金因其内在价值、无信用风险和高流动性，能够保值甚至增值，从而吸引避险资金流入的特性。</w:t>
      </w:r>
    </w:p>
    <w:p w14:paraId="0EBFDE1B">
      <w:pPr>
        <w:numPr>
          <w:ilvl w:val="0"/>
          <w:numId w:val="1"/>
        </w:numPr>
        <w:spacing w:after="400" w:line="400" w:lineRule="atLeast"/>
      </w:pPr>
      <w:r>
        <w:rPr>
          <w:b/>
        </w:rPr>
        <w:t>量化宽松/紧缩 (Quantitative Easing/Tightening, QE/QT)</w:t>
      </w:r>
      <w:r>
        <w:t>：中央银行通过购买/出售长期国债等资产来增加/减少基础货币供应，以影响长期利率和市场流动性的非常规货币政策工具。QE通常被认为利好黄金，因为它压低实际利率并可能引发通胀担忧；而QT则反之。</w:t>
      </w:r>
    </w:p>
    <w:p w14:paraId="61A6C4F7">
      <w:pPr>
        <w:numPr>
          <w:ilvl w:val="0"/>
          <w:numId w:val="1"/>
        </w:numPr>
        <w:spacing w:after="400" w:line="400" w:lineRule="atLeast"/>
      </w:pPr>
      <w:r>
        <w:rPr>
          <w:b/>
        </w:rPr>
        <w:t>技术性回撤 (Technical Retracement)</w:t>
      </w:r>
      <w:r>
        <w:t>：指资产价格在主要趋势运行过程中，出现与主趋势方向相反的暂时性回调或修正，但并未改变原有趋势。通常用斐波那契回撤等技术工具来衡量其潜在幅度。</w:t>
      </w:r>
    </w:p>
    <w:p w14:paraId="56CC2CBF">
      <w:pPr>
        <w:numPr>
          <w:ilvl w:val="0"/>
          <w:numId w:val="1"/>
        </w:numPr>
        <w:spacing w:after="400" w:line="400" w:lineRule="atLeast"/>
      </w:pPr>
      <w:r>
        <w:rPr>
          <w:b/>
        </w:rPr>
        <w:t>地缘政治溢价 (Geopolitical Premium)</w:t>
      </w:r>
      <w:r>
        <w:t>：指因地缘政治紧张局势或冲突爆发，导致投资者为寻求避险而愿意为黄金支付的、超出其基本面公允价值的额外价格部分。</w:t>
      </w:r>
    </w:p>
    <w:p w14:paraId="3E85B148">
      <w:pPr>
        <w:spacing w:after="400" w:line="400" w:lineRule="atLeast"/>
      </w:pPr>
      <w:r>
        <w:rPr>
          <w:b/>
        </w:rPr>
        <w:t>(二) 经典理论回顾：机会成本与避险需求</w:t>
      </w:r>
    </w:p>
    <w:p w14:paraId="2E23C6BB">
      <w:pPr>
        <w:spacing w:after="400" w:line="400" w:lineRule="atLeast"/>
      </w:pPr>
      <w:r>
        <w:t>学术界与业界对黄金定价的研究，主要围绕两大支柱展开。</w:t>
      </w:r>
    </w:p>
    <w:p w14:paraId="2DBC6621">
      <w:pPr>
        <w:spacing w:after="400" w:line="400" w:lineRule="atLeast"/>
      </w:pPr>
      <w:r>
        <w:t>第一支柱是**“机会成本”模型**。该模型强调黄金作为一种不产生现金流的资产，其价格与持有它的机会成本——即实际利率——呈现强烈的负相关关系。正如**美联储（Federal Reserve）**前主席伯南克在其学术研究中所隐含的逻辑，当其他无风险资产（如通胀保值债券）能提供更高的真实回报时，投资者持有黄金的意愿会降低 [[2]][[3]]。在2013年至2018年的大部分时间里，金价与美国10年期TIPS收益率之间清晰的负相关性，为该理论提供了有力的经验证据。</w:t>
      </w:r>
    </w:p>
    <w:p w14:paraId="6D87D54C">
      <w:pPr>
        <w:spacing w:after="400" w:line="400" w:lineRule="atLeast"/>
      </w:pPr>
      <w:r>
        <w:t>第二支柱是**“风险对冲”或“避险天堂”模型**。该模型认为，黄金的价值不仅体现在其金融属性上，更体现在其应对“未知之未知”（Unknown Unknowns）的保险功能上。根据**国际货币基金组织（IMF）**在其多份《全球金融稳定报告》中对系统性风险的论述，每当全球金融体系稳定性受到威胁或地缘政治不确定性急剧上升时，黄金的零信用风险特质使其成为最终的价值储存手段 [[4]][[5]]。2008年金融危机、2011年欧债危机以及2020年新冠疫情爆发初期，黄金价格的飙升均是此逻辑的体现。</w:t>
      </w:r>
    </w:p>
    <w:p w14:paraId="31F373A4">
      <w:pPr>
        <w:spacing w:after="400" w:line="400" w:lineRule="atLeast"/>
      </w:pPr>
      <w:r>
        <w:t>然而，我们必须认识到，上述两大理论框架在2022年后的市场环境中遭遇了挑战。尽管美联储实施了四十年来最激进的加息周期，导致美元实际利率大幅攀升，但金价非但没有崩溃，反而在盘整后创出历史新高。这一“脱钩”现象，催生了我们对第三支柱——</w:t>
      </w:r>
      <w:r>
        <w:rPr>
          <w:b/>
        </w:rPr>
        <w:t>结构性需求变迁</w:t>
      </w:r>
      <w:r>
        <w:t>——的重视，特别是以全球央行为代表的官方部门购金行为，正在成为重塑黄金定价逻辑的关键变量。</w:t>
      </w:r>
    </w:p>
    <w:p w14:paraId="7910B388">
      <w:pPr>
        <w:spacing w:after="400" w:line="400" w:lineRule="atLeast"/>
      </w:pPr>
      <w:r>
        <w:rPr>
          <w:b/>
          <w:sz w:val="30"/>
        </w:rPr>
        <w:t>三、 历史行情阶段解构（2010-2025）：周期与驱动力的变迁</w:t>
      </w:r>
    </w:p>
    <w:p w14:paraId="5B9CB84F">
      <w:pPr>
        <w:spacing w:after="400" w:line="400" w:lineRule="atLeast"/>
      </w:pPr>
      <w:r>
        <w:t>为了更好地展望未来，我们必须对过去十五年的黄金市场进行一次详尽的复盘。我们将这段时期划分为五个具有鲜明宏观特征的阶段。</w:t>
      </w:r>
    </w:p>
    <w:p w14:paraId="01A28C62">
      <w:pPr>
        <w:spacing w:after="400" w:line="400" w:lineRule="atLeast"/>
      </w:pPr>
      <w:r>
        <w:rPr>
          <w:b/>
        </w:rPr>
        <w:t>(一) 阶段一：后金融危机时代与欧债危机（2010-2012）</w:t>
      </w:r>
    </w:p>
    <w:p w14:paraId="48C4264C">
      <w:pPr>
        <w:numPr>
          <w:ilvl w:val="-1"/>
          <w:numId w:val="2"/>
        </w:numPr>
        <w:spacing w:after="400" w:line="400" w:lineRule="atLeast"/>
      </w:pPr>
      <w:r>
        <w:rPr>
          <w:b/>
        </w:rPr>
        <w:t>行情特征</w:t>
      </w:r>
      <w:r>
        <w:t>：延续牛市，价格从约1100美元/盎司震荡上行，于2011年9月创下1921美元/盎司的历史高点，随后高位盘整。</w:t>
      </w:r>
    </w:p>
    <w:p w14:paraId="5BDF04D7">
      <w:pPr>
        <w:numPr>
          <w:ilvl w:val="-1"/>
          <w:numId w:val="2"/>
        </w:numPr>
        <w:spacing w:after="400" w:line="400" w:lineRule="atLeast"/>
      </w:pPr>
      <w:r>
        <w:rPr>
          <w:b/>
        </w:rPr>
        <w:t>核心驱动力</w:t>
      </w:r>
      <w:r>
        <w:t>：</w:t>
      </w:r>
    </w:p>
    <w:p w14:paraId="45F13841">
      <w:pPr>
        <w:numPr>
          <w:ilvl w:val="0"/>
          <w:numId w:val="3"/>
        </w:numPr>
        <w:spacing w:after="400" w:line="400" w:lineRule="atLeast"/>
      </w:pPr>
      <w:r>
        <w:rPr>
          <w:b/>
        </w:rPr>
        <w:t>美联储的量化宽松政策</w:t>
      </w:r>
      <w:r>
        <w:t>：为应对金融危机后遗症，美联储先后推出QE1和QE2，大幅压低了美国实际利率至负值区间，极大地降低了持有黄金的机会成本。</w:t>
      </w:r>
    </w:p>
    <w:p w14:paraId="2A16112D">
      <w:pPr>
        <w:numPr>
          <w:ilvl w:val="0"/>
          <w:numId w:val="3"/>
        </w:numPr>
        <w:spacing w:after="400" w:line="400" w:lineRule="atLeast"/>
      </w:pPr>
      <w:r>
        <w:rPr>
          <w:b/>
        </w:rPr>
        <w:t>欧洲主权债务危机</w:t>
      </w:r>
      <w:r>
        <w:t>：2010年起，希腊、爱尔兰、葡萄牙等国相继爆发债务危机，市场对欧元区解体的担忧达到顶峰，全球避险情绪高涨，大量资金涌入黄金寻求庇护。据</w:t>
      </w:r>
      <w:r>
        <w:rPr>
          <w:b/>
        </w:rPr>
        <w:t>世界黄金协会</w:t>
      </w:r>
      <w:r>
        <w:t>于2012年发布的《黄金需求趋势报告》显示，该时期欧洲地区的黄金投资需求显著增长 [[6]]。</w:t>
      </w:r>
    </w:p>
    <w:p w14:paraId="0F448391">
      <w:pPr>
        <w:spacing w:after="400" w:line="400" w:lineRule="atLeast"/>
      </w:pPr>
      <w:r>
        <w:rPr>
          <w:b/>
        </w:rPr>
        <w:t>(二) 阶段二：美联储紧缩预期与熊市盘整（2013-2015）</w:t>
      </w:r>
    </w:p>
    <w:p w14:paraId="3D62F465">
      <w:pPr>
        <w:numPr>
          <w:ilvl w:val="-1"/>
          <w:numId w:val="2"/>
        </w:numPr>
        <w:spacing w:after="400" w:line="400" w:lineRule="atLeast"/>
      </w:pPr>
      <w:r>
        <w:rPr>
          <w:b/>
        </w:rPr>
        <w:t>行情特征</w:t>
      </w:r>
      <w:r>
        <w:t>：牛市终结，转入深度熊市。2013年4月和6月出现两次“闪崩”，金价从1600美元/盎司区域急剧下跌，最低触及1046美元/盎司，三年累计跌幅超过45%。</w:t>
      </w:r>
    </w:p>
    <w:p w14:paraId="07AE4C5B">
      <w:pPr>
        <w:numPr>
          <w:ilvl w:val="-1"/>
          <w:numId w:val="2"/>
        </w:numPr>
        <w:spacing w:after="400" w:line="400" w:lineRule="atLeast"/>
      </w:pPr>
      <w:r>
        <w:rPr>
          <w:b/>
        </w:rPr>
        <w:t>核心驱动力</w:t>
      </w:r>
      <w:r>
        <w:t>：</w:t>
      </w:r>
    </w:p>
    <w:p w14:paraId="3DE7760F">
      <w:pPr>
        <w:numPr>
          <w:ilvl w:val="0"/>
          <w:numId w:val="4"/>
        </w:numPr>
        <w:spacing w:after="400" w:line="400" w:lineRule="atLeast"/>
      </w:pPr>
      <w:r>
        <w:rPr>
          <w:b/>
        </w:rPr>
        <w:t>“削减恐慌”（Taper Tantrum）</w:t>
      </w:r>
      <w:r>
        <w:t>：2013年5月，时任美联储主席伯南克暗示可能缩减QE规模，引发市场对货币政策正常化的强烈预期。美国10年期国债收益率迅速攀升，实际利率由负转正并持续上行，黄金的机会成本急剧增加，触发了大规模的抛售。</w:t>
      </w:r>
    </w:p>
    <w:p w14:paraId="6B50D942">
      <w:pPr>
        <w:numPr>
          <w:ilvl w:val="0"/>
          <w:numId w:val="4"/>
        </w:numPr>
        <w:spacing w:after="400" w:line="400" w:lineRule="atLeast"/>
      </w:pPr>
      <w:r>
        <w:rPr>
          <w:b/>
        </w:rPr>
        <w:t>黄金ETF大规模流出</w:t>
      </w:r>
      <w:r>
        <w:t>：根据**彭博（Bloomberg）**汇编的数据，全球最大的黄金ETF——SPDR Gold Trust（GLD）在该阶段持仓量锐减，反映了机构投资者信心的崩溃和资金的持续撤离。</w:t>
      </w:r>
    </w:p>
    <w:p w14:paraId="6436EC05">
      <w:pPr>
        <w:spacing w:after="400" w:line="400" w:lineRule="atLeast"/>
      </w:pPr>
      <w:r>
        <w:rPr>
          <w:b/>
        </w:rPr>
        <w:t>(三) 阶段三：全球宽松重启与地缘政治风险（2016-2019）</w:t>
      </w:r>
    </w:p>
    <w:p w14:paraId="157DB1BD">
      <w:pPr>
        <w:numPr>
          <w:ilvl w:val="-1"/>
          <w:numId w:val="2"/>
        </w:numPr>
        <w:spacing w:after="400" w:line="400" w:lineRule="atLeast"/>
      </w:pPr>
      <w:r>
        <w:rPr>
          <w:b/>
        </w:rPr>
        <w:t>行情特征</w:t>
      </w:r>
      <w:r>
        <w:t>：熊市筑底，转为缓慢的震荡上行。价格在1100-1350美元/盎司的宽幅区间内反复拉锯，并在2019年下半年成功突破关键阻力位，开启新一轮牛市。</w:t>
      </w:r>
    </w:p>
    <w:p w14:paraId="5EBBCC21">
      <w:pPr>
        <w:numPr>
          <w:ilvl w:val="-1"/>
          <w:numId w:val="2"/>
        </w:numPr>
        <w:spacing w:after="400" w:line="400" w:lineRule="atLeast"/>
      </w:pPr>
      <w:r>
        <w:rPr>
          <w:b/>
        </w:rPr>
        <w:t>核心驱动力</w:t>
      </w:r>
      <w:r>
        <w:t>：</w:t>
      </w:r>
    </w:p>
    <w:p w14:paraId="69931391">
      <w:pPr>
        <w:numPr>
          <w:ilvl w:val="0"/>
          <w:numId w:val="5"/>
        </w:numPr>
        <w:spacing w:after="400" w:line="400" w:lineRule="atLeast"/>
      </w:pPr>
      <w:r>
        <w:rPr>
          <w:b/>
        </w:rPr>
        <w:t>全球央行政策再度转向鸽派</w:t>
      </w:r>
      <w:r>
        <w:t>：2016年初，对中国经济硬着陆的担忧和日本央行意外推出负利率，使得全球避险情绪重燃。此后，美联储的加息进程远不及预期般鹰派，并在2019年转向降息和停止缩表，全球流动性环境再度宽松。</w:t>
      </w:r>
    </w:p>
    <w:p w14:paraId="4D1299F9">
      <w:pPr>
        <w:numPr>
          <w:ilvl w:val="0"/>
          <w:numId w:val="5"/>
        </w:numPr>
        <w:spacing w:after="400" w:line="400" w:lineRule="atLeast"/>
      </w:pPr>
      <w:r>
        <w:rPr>
          <w:b/>
        </w:rPr>
        <w:t>地缘政治“黑天鹅”频发</w:t>
      </w:r>
      <w:r>
        <w:t>：英国脱欧公投（2016年）、特朗普当选美国总统（2016年）以及中美贸易摩擦的不断升级（2018-2019年），持续为市场注入不确定性，黄金的避险需求间歇性地得到提振。</w:t>
      </w:r>
    </w:p>
    <w:p w14:paraId="64170D02">
      <w:pPr>
        <w:spacing w:after="400" w:line="400" w:lineRule="atLeast"/>
      </w:pPr>
      <w:r>
        <w:rPr>
          <w:b/>
        </w:rPr>
        <w:t>(四) 阶段四：新冠疫情冲击与历史新高（2020-2022）</w:t>
      </w:r>
    </w:p>
    <w:p w14:paraId="625BD6F5">
      <w:pPr>
        <w:numPr>
          <w:ilvl w:val="-1"/>
          <w:numId w:val="2"/>
        </w:numPr>
        <w:spacing w:after="400" w:line="400" w:lineRule="atLeast"/>
      </w:pPr>
      <w:r>
        <w:rPr>
          <w:b/>
        </w:rPr>
        <w:t>行情特征</w:t>
      </w:r>
      <w:r>
        <w:t>：迎来主升浪，价格在2020年3月短暂下探后，一路飙升至2020年8月的2075美元/盎司，首次突破2011年高点。随后进入高位盘整，但在2022年初俄乌冲突爆发后再次冲击前高。</w:t>
      </w:r>
    </w:p>
    <w:p w14:paraId="5CD34C3B">
      <w:pPr>
        <w:numPr>
          <w:ilvl w:val="-1"/>
          <w:numId w:val="2"/>
        </w:numPr>
        <w:spacing w:after="400" w:line="400" w:lineRule="atLeast"/>
      </w:pPr>
      <w:r>
        <w:rPr>
          <w:b/>
        </w:rPr>
        <w:t>核心驱动力</w:t>
      </w:r>
      <w:r>
        <w:t>：</w:t>
      </w:r>
    </w:p>
    <w:p w14:paraId="6221AAA5">
      <w:pPr>
        <w:numPr>
          <w:ilvl w:val="0"/>
          <w:numId w:val="6"/>
        </w:numPr>
        <w:spacing w:after="400" w:line="400" w:lineRule="atLeast"/>
      </w:pPr>
      <w:r>
        <w:rPr>
          <w:b/>
        </w:rPr>
        <w:t>新冠肺炎疫情全球大流行</w:t>
      </w:r>
      <w:r>
        <w:t>：疫情导致全球经济陷入停滞，各国政府和央行推出了史无前例的财政刺激和货币宽松政策。据</w:t>
      </w:r>
      <w:r>
        <w:rPr>
          <w:b/>
        </w:rPr>
        <w:t>国际货币基金组织</w:t>
      </w:r>
      <w:r>
        <w:t>于2021年发布的《世界经济展望》估算，全球公共债务水平急剧攀升。美联储将利率降至零，并启动无限量QE，美国实际利率再度深陷负值。</w:t>
      </w:r>
    </w:p>
    <w:p w14:paraId="419418B1">
      <w:pPr>
        <w:numPr>
          <w:ilvl w:val="0"/>
          <w:numId w:val="6"/>
        </w:numPr>
        <w:spacing w:after="400" w:line="400" w:lineRule="atLeast"/>
      </w:pPr>
      <w:r>
        <w:rPr>
          <w:b/>
        </w:rPr>
        <w:t>通胀预期急剧升温</w:t>
      </w:r>
      <w:r>
        <w:t>：极度宽松的政策与供应链中断共同作用，引发了全球性的通胀担忧。黄金作为传统的抗通胀资产，吸引了大量寻求对冲货币购买力下降风险的资金。</w:t>
      </w:r>
    </w:p>
    <w:p w14:paraId="1D668394">
      <w:pPr>
        <w:numPr>
          <w:ilvl w:val="0"/>
          <w:numId w:val="6"/>
        </w:numPr>
        <w:spacing w:after="400" w:line="400" w:lineRule="atLeast"/>
      </w:pPr>
      <w:r>
        <w:rPr>
          <w:b/>
        </w:rPr>
        <w:t>俄乌冲突爆发</w:t>
      </w:r>
      <w:r>
        <w:t>：2022年2月，俄乌冲突全面爆发，地缘政治风险达到冷战结束以来的顶点，黄金的地缘政治溢价被迅速推高。</w:t>
      </w:r>
    </w:p>
    <w:p w14:paraId="71D64522">
      <w:pPr>
        <w:spacing w:after="400" w:line="400" w:lineRule="atLeast"/>
      </w:pPr>
      <w:r>
        <w:rPr>
          <w:b/>
        </w:rPr>
        <w:t>(五) 阶段五：强加息周期下的韧性与央行购金潮（2023-2025）</w:t>
      </w:r>
    </w:p>
    <w:p w14:paraId="240E9CFA">
      <w:pPr>
        <w:numPr>
          <w:ilvl w:val="-1"/>
          <w:numId w:val="2"/>
        </w:numPr>
        <w:spacing w:after="400" w:line="400" w:lineRule="atLeast"/>
      </w:pPr>
      <w:r>
        <w:rPr>
          <w:b/>
        </w:rPr>
        <w:t>行情特征</w:t>
      </w:r>
      <w:r>
        <w:t>：展现出与实际利率的“脱钩”现象。尽管美联储实施了数十年来最激进的加息周期，实际利率大幅走高，但金价在经历2022年下半年的回调后，自2023年起顽强回升，并在2024年和2025年多次刷新历史高点，站上2500美元/盎司以上。</w:t>
      </w:r>
    </w:p>
    <w:p w14:paraId="6F0C7771">
      <w:pPr>
        <w:numPr>
          <w:ilvl w:val="-1"/>
          <w:numId w:val="2"/>
        </w:numPr>
        <w:spacing w:after="400" w:line="400" w:lineRule="atLeast"/>
      </w:pPr>
      <w:r>
        <w:rPr>
          <w:b/>
        </w:rPr>
        <w:t>核心驱动力</w:t>
      </w:r>
      <w:r>
        <w:t>：</w:t>
      </w:r>
    </w:p>
    <w:p w14:paraId="11BB0AD4">
      <w:pPr>
        <w:numPr>
          <w:ilvl w:val="0"/>
          <w:numId w:val="7"/>
        </w:numPr>
        <w:spacing w:after="400" w:line="400" w:lineRule="atLeast"/>
      </w:pPr>
      <w:r>
        <w:rPr>
          <w:b/>
        </w:rPr>
        <w:t>全球央行创纪录的购金</w:t>
      </w:r>
      <w:r>
        <w:t>：根据</w:t>
      </w:r>
      <w:r>
        <w:rPr>
          <w:b/>
        </w:rPr>
        <w:t>世界黄金协会</w:t>
      </w:r>
      <w:r>
        <w:t>发布的《全球黄金需求趋势》系列报告，自2022年以来，全球央行年度净购金量连续创下历史新高。以中国人民银行、土耳其央行、印度储备银行为代表的新兴市场央行成为购金主力。这一结构性的、非投机性的“官方买盘”，为金价提供了坚实的底部支撑，并改变了市场的供需格局 [[7]][[8]][[9]]。</w:t>
      </w:r>
    </w:p>
    <w:p w14:paraId="00602919">
      <w:pPr>
        <w:numPr>
          <w:ilvl w:val="0"/>
          <w:numId w:val="7"/>
        </w:numPr>
        <w:spacing w:after="400" w:line="400" w:lineRule="atLeast"/>
      </w:pPr>
      <w:r>
        <w:rPr>
          <w:b/>
        </w:rPr>
        <w:t>“去美元化”与储备资产多元化趋势</w:t>
      </w:r>
      <w:r>
        <w:t>：俄乌冲突后西方对俄罗斯的金融制裁，动摇了美元信用体系的根基，促使更多国家寻求储备资产的多元化，以降低对美元体系的依赖。黄金作为无主权、无国界的终极储备资产，其战略价值得到重估。</w:t>
      </w:r>
    </w:p>
    <w:p w14:paraId="1215F082">
      <w:pPr>
        <w:numPr>
          <w:ilvl w:val="0"/>
          <w:numId w:val="7"/>
        </w:numPr>
        <w:spacing w:after="400" w:line="400" w:lineRule="atLeast"/>
      </w:pPr>
      <w:r>
        <w:rPr>
          <w:b/>
        </w:rPr>
        <w:t>持续的地缘政治不确定性</w:t>
      </w:r>
      <w:r>
        <w:t>：除了俄乌冲突的延续，中东地区冲突、全球供应链重构等地缘政治风险持续存在，为黄金提供了稳定的避险需求。</w:t>
      </w:r>
    </w:p>
    <w:p w14:paraId="3D134F7D">
      <w:pPr>
        <w:spacing w:after="400" w:line="400" w:lineRule="atLeast"/>
      </w:pPr>
      <w:r>
        <w:rPr>
          <w:b/>
        </w:rPr>
        <w:t>图表一：2010-2025年黄金价格阶段划分及核心驱动力对照表</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59"/>
      </w:tblGrid>
      <w:tr w14:paraId="48E03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59" w:type="dxa"/>
          </w:tcPr>
          <w:p w14:paraId="1DA80CCD">
            <w:pPr>
              <w:spacing w:after="400" w:line="400" w:lineRule="exact"/>
              <w:jc w:val="left"/>
            </w:pPr>
            <w:r>
              <w:rPr>
                <w:b/>
              </w:rPr>
              <w:t>阶段</w:t>
            </w:r>
          </w:p>
        </w:tc>
        <w:tc>
          <w:tcPr>
            <w:tcW w:w="1659" w:type="dxa"/>
          </w:tcPr>
          <w:p w14:paraId="64558753">
            <w:pPr>
              <w:spacing w:after="400" w:line="400" w:lineRule="exact"/>
              <w:jc w:val="left"/>
            </w:pPr>
            <w:r>
              <w:rPr>
                <w:b/>
              </w:rPr>
              <w:t>时间区间</w:t>
            </w:r>
          </w:p>
        </w:tc>
        <w:tc>
          <w:tcPr>
            <w:tcW w:w="1659" w:type="dxa"/>
          </w:tcPr>
          <w:p w14:paraId="390B74E8">
            <w:pPr>
              <w:spacing w:after="400" w:line="400" w:lineRule="exact"/>
              <w:jc w:val="left"/>
            </w:pPr>
            <w:r>
              <w:rPr>
                <w:b/>
              </w:rPr>
              <w:t>价格走势特征</w:t>
            </w:r>
          </w:p>
        </w:tc>
        <w:tc>
          <w:tcPr>
            <w:tcW w:w="1659" w:type="dxa"/>
          </w:tcPr>
          <w:p w14:paraId="0FC94E30">
            <w:pPr>
              <w:spacing w:after="400" w:line="400" w:lineRule="exact"/>
              <w:jc w:val="left"/>
            </w:pPr>
            <w:r>
              <w:rPr>
                <w:b/>
              </w:rPr>
              <w:t>核心驱动力</w:t>
            </w:r>
          </w:p>
        </w:tc>
        <w:tc>
          <w:tcPr>
            <w:tcW w:w="1659" w:type="dxa"/>
          </w:tcPr>
          <w:p w14:paraId="1EC678B5">
            <w:pPr>
              <w:spacing w:after="400" w:line="400" w:lineRule="exact"/>
              <w:jc w:val="left"/>
            </w:pPr>
            <w:r>
              <w:rPr>
                <w:b/>
              </w:rPr>
              <w:t>宏观背景关键词</w:t>
            </w:r>
          </w:p>
        </w:tc>
      </w:tr>
      <w:tr w14:paraId="56C2C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6E7EA7FA">
            <w:pPr>
              <w:spacing w:after="400" w:line="400" w:lineRule="exact"/>
              <w:jc w:val="left"/>
            </w:pPr>
            <w:r>
              <w:t>阶段一</w:t>
            </w:r>
          </w:p>
        </w:tc>
        <w:tc>
          <w:tcPr>
            <w:tcW w:w="1659" w:type="dxa"/>
          </w:tcPr>
          <w:p w14:paraId="233D0465">
            <w:pPr>
              <w:spacing w:after="400" w:line="400" w:lineRule="exact"/>
              <w:jc w:val="left"/>
            </w:pPr>
            <w:r>
              <w:t>2010-2012</w:t>
            </w:r>
          </w:p>
        </w:tc>
        <w:tc>
          <w:tcPr>
            <w:tcW w:w="1659" w:type="dxa"/>
          </w:tcPr>
          <w:p w14:paraId="76F76107">
            <w:pPr>
              <w:spacing w:after="400" w:line="400" w:lineRule="exact"/>
              <w:jc w:val="left"/>
            </w:pPr>
            <w:r>
              <w:t>延续牛市，创历史新高后盘整</w:t>
            </w:r>
          </w:p>
        </w:tc>
        <w:tc>
          <w:tcPr>
            <w:tcW w:w="1659" w:type="dxa"/>
          </w:tcPr>
          <w:p w14:paraId="5F56BD4F">
            <w:pPr>
              <w:spacing w:after="400" w:line="400" w:lineRule="exact"/>
              <w:jc w:val="left"/>
            </w:pPr>
            <w:r>
              <w:t>美联储QE、欧债危机爆发</w:t>
            </w:r>
          </w:p>
        </w:tc>
        <w:tc>
          <w:tcPr>
            <w:tcW w:w="1659" w:type="dxa"/>
          </w:tcPr>
          <w:p w14:paraId="08C9AB98">
            <w:pPr>
              <w:spacing w:after="400" w:line="400" w:lineRule="exact"/>
              <w:jc w:val="left"/>
            </w:pPr>
            <w:r>
              <w:t>全球金融危机后遗症、主权债务风险、极低实际利率</w:t>
            </w:r>
          </w:p>
        </w:tc>
      </w:tr>
      <w:tr w14:paraId="0B555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275EB69B">
            <w:pPr>
              <w:spacing w:after="400" w:line="400" w:lineRule="exact"/>
              <w:jc w:val="left"/>
            </w:pPr>
            <w:r>
              <w:t>阶段二</w:t>
            </w:r>
          </w:p>
        </w:tc>
        <w:tc>
          <w:tcPr>
            <w:tcW w:w="1659" w:type="dxa"/>
          </w:tcPr>
          <w:p w14:paraId="3B602E91">
            <w:pPr>
              <w:spacing w:after="400" w:line="400" w:lineRule="exact"/>
              <w:jc w:val="left"/>
            </w:pPr>
            <w:r>
              <w:t>2013-2015</w:t>
            </w:r>
          </w:p>
        </w:tc>
        <w:tc>
          <w:tcPr>
            <w:tcW w:w="1659" w:type="dxa"/>
          </w:tcPr>
          <w:p w14:paraId="2B61CFCA">
            <w:pPr>
              <w:spacing w:after="400" w:line="400" w:lineRule="exact"/>
              <w:jc w:val="left"/>
            </w:pPr>
            <w:r>
              <w:t>转入深度熊市，价格腰斩</w:t>
            </w:r>
          </w:p>
        </w:tc>
        <w:tc>
          <w:tcPr>
            <w:tcW w:w="1659" w:type="dxa"/>
          </w:tcPr>
          <w:p w14:paraId="2CFF9A27">
            <w:pPr>
              <w:spacing w:after="400" w:line="400" w:lineRule="exact"/>
              <w:jc w:val="left"/>
            </w:pPr>
            <w:r>
              <w:t>美联储紧缩预期（削减恐慌）</w:t>
            </w:r>
          </w:p>
        </w:tc>
        <w:tc>
          <w:tcPr>
            <w:tcW w:w="1659" w:type="dxa"/>
          </w:tcPr>
          <w:p w14:paraId="27A39710">
            <w:pPr>
              <w:spacing w:after="400" w:line="400" w:lineRule="exact"/>
              <w:jc w:val="left"/>
            </w:pPr>
            <w:r>
              <w:t>货币政策正常化预期、实际利率回升、ETF大规模流出</w:t>
            </w:r>
          </w:p>
        </w:tc>
      </w:tr>
      <w:tr w14:paraId="5EE54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79D39C90">
            <w:pPr>
              <w:spacing w:after="400" w:line="400" w:lineRule="exact"/>
              <w:jc w:val="left"/>
            </w:pPr>
            <w:r>
              <w:t>阶段三</w:t>
            </w:r>
          </w:p>
        </w:tc>
        <w:tc>
          <w:tcPr>
            <w:tcW w:w="1659" w:type="dxa"/>
          </w:tcPr>
          <w:p w14:paraId="57EC643B">
            <w:pPr>
              <w:spacing w:after="400" w:line="400" w:lineRule="exact"/>
              <w:jc w:val="left"/>
            </w:pPr>
            <w:r>
              <w:t>2016-2019</w:t>
            </w:r>
          </w:p>
        </w:tc>
        <w:tc>
          <w:tcPr>
            <w:tcW w:w="1659" w:type="dxa"/>
          </w:tcPr>
          <w:p w14:paraId="35F3C439">
            <w:pPr>
              <w:spacing w:after="400" w:line="400" w:lineRule="exact"/>
              <w:jc w:val="left"/>
            </w:pPr>
            <w:r>
              <w:t>熊市筑底，缓慢回升</w:t>
            </w:r>
          </w:p>
        </w:tc>
        <w:tc>
          <w:tcPr>
            <w:tcW w:w="1659" w:type="dxa"/>
          </w:tcPr>
          <w:p w14:paraId="4EC91F43">
            <w:pPr>
              <w:spacing w:after="400" w:line="400" w:lineRule="exact"/>
              <w:jc w:val="left"/>
            </w:pPr>
            <w:r>
              <w:t>全球央行再宽松、地缘政治风险</w:t>
            </w:r>
          </w:p>
        </w:tc>
        <w:tc>
          <w:tcPr>
            <w:tcW w:w="1659" w:type="dxa"/>
          </w:tcPr>
          <w:p w14:paraId="5C73C8E5">
            <w:pPr>
              <w:spacing w:after="400" w:line="400" w:lineRule="exact"/>
              <w:jc w:val="left"/>
            </w:pPr>
            <w:r>
              <w:t>英国脱欧、中美贸易摩擦、鸽派货币政策</w:t>
            </w:r>
          </w:p>
        </w:tc>
      </w:tr>
      <w:tr w14:paraId="731A3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351C3EEA">
            <w:pPr>
              <w:spacing w:after="400" w:line="400" w:lineRule="exact"/>
              <w:jc w:val="left"/>
            </w:pPr>
            <w:r>
              <w:t>阶段四</w:t>
            </w:r>
          </w:p>
        </w:tc>
        <w:tc>
          <w:tcPr>
            <w:tcW w:w="1659" w:type="dxa"/>
          </w:tcPr>
          <w:p w14:paraId="513A85AC">
            <w:pPr>
              <w:spacing w:after="400" w:line="400" w:lineRule="exact"/>
              <w:jc w:val="left"/>
            </w:pPr>
            <w:r>
              <w:t>2020-2022</w:t>
            </w:r>
          </w:p>
        </w:tc>
        <w:tc>
          <w:tcPr>
            <w:tcW w:w="1659" w:type="dxa"/>
          </w:tcPr>
          <w:p w14:paraId="06C73FB4">
            <w:pPr>
              <w:spacing w:after="400" w:line="400" w:lineRule="exact"/>
              <w:jc w:val="left"/>
            </w:pPr>
            <w:r>
              <w:t>快速拉升，再创历史新高</w:t>
            </w:r>
          </w:p>
        </w:tc>
        <w:tc>
          <w:tcPr>
            <w:tcW w:w="1659" w:type="dxa"/>
          </w:tcPr>
          <w:p w14:paraId="0B1BDD77">
            <w:pPr>
              <w:spacing w:after="400" w:line="400" w:lineRule="exact"/>
              <w:jc w:val="left"/>
            </w:pPr>
            <w:r>
              <w:t>新冠疫情、无限量QE、高通胀、俄乌冲突</w:t>
            </w:r>
          </w:p>
        </w:tc>
        <w:tc>
          <w:tcPr>
            <w:tcW w:w="1659" w:type="dxa"/>
          </w:tcPr>
          <w:p w14:paraId="3BC27035">
            <w:pPr>
              <w:spacing w:after="400" w:line="400" w:lineRule="exact"/>
              <w:jc w:val="left"/>
            </w:pPr>
            <w:r>
              <w:t>全球大流行、史诗级刺激、供应链中断、地缘政治冲突</w:t>
            </w:r>
          </w:p>
        </w:tc>
      </w:tr>
      <w:tr w14:paraId="57C95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6AC68EA5">
            <w:pPr>
              <w:spacing w:after="400" w:line="400" w:lineRule="exact"/>
              <w:jc w:val="left"/>
            </w:pPr>
            <w:r>
              <w:t>阶段五</w:t>
            </w:r>
          </w:p>
        </w:tc>
        <w:tc>
          <w:tcPr>
            <w:tcW w:w="1659" w:type="dxa"/>
          </w:tcPr>
          <w:p w14:paraId="2AD97F7B">
            <w:pPr>
              <w:spacing w:after="400" w:line="400" w:lineRule="exact"/>
              <w:jc w:val="left"/>
            </w:pPr>
            <w:r>
              <w:t>2023-2025</w:t>
            </w:r>
          </w:p>
        </w:tc>
        <w:tc>
          <w:tcPr>
            <w:tcW w:w="1659" w:type="dxa"/>
          </w:tcPr>
          <w:p w14:paraId="191DB140">
            <w:pPr>
              <w:spacing w:after="400" w:line="400" w:lineRule="exact"/>
              <w:jc w:val="left"/>
            </w:pPr>
            <w:r>
              <w:t>高利率下展现韧性，迭创新高</w:t>
            </w:r>
          </w:p>
        </w:tc>
        <w:tc>
          <w:tcPr>
            <w:tcW w:w="1659" w:type="dxa"/>
          </w:tcPr>
          <w:p w14:paraId="403F1644">
            <w:pPr>
              <w:spacing w:after="400" w:line="400" w:lineRule="exact"/>
              <w:jc w:val="left"/>
            </w:pPr>
            <w:r>
              <w:t>全球央行大规模购金、去美元化趋势</w:t>
            </w:r>
          </w:p>
        </w:tc>
        <w:tc>
          <w:tcPr>
            <w:tcW w:w="1659" w:type="dxa"/>
          </w:tcPr>
          <w:p w14:paraId="3A7C19EA">
            <w:pPr>
              <w:spacing w:after="400" w:line="400" w:lineRule="exact"/>
              <w:jc w:val="left"/>
            </w:pPr>
            <w:r>
              <w:t>激进加息周期、结构性官方需求、储备资产多元化</w:t>
            </w:r>
          </w:p>
        </w:tc>
      </w:tr>
    </w:tbl>
    <w:p w14:paraId="29E24E1B">
      <w:pPr>
        <w:spacing w:before="400" w:after="400" w:line="400" w:lineRule="atLeast"/>
      </w:pPr>
      <w:r>
        <w:rPr>
          <w:b/>
          <w:sz w:val="30"/>
        </w:rPr>
        <w:t>四、 多维驱动因子深度辨析：从宏观利率到结构性需求</w:t>
      </w:r>
    </w:p>
    <w:p w14:paraId="2D816DDD">
      <w:pPr>
        <w:spacing w:after="400" w:line="400" w:lineRule="atLeast"/>
      </w:pPr>
      <w:r>
        <w:t>基于历史复盘，我们构建了一个四维度的黄金定价分析框架，并尝试评估各因子在当前环境下的相对重要性。</w:t>
      </w:r>
    </w:p>
    <w:p w14:paraId="32F55251">
      <w:pPr>
        <w:spacing w:after="400" w:line="400" w:lineRule="atLeast"/>
      </w:pPr>
      <w:r>
        <w:rPr>
          <w:b/>
        </w:rPr>
        <w:t>(一) 宏观经济因子：实际利率的主导地位与新挑战</w:t>
      </w:r>
    </w:p>
    <w:p w14:paraId="18FEB3E6">
      <w:pPr>
        <w:numPr>
          <w:ilvl w:val="-1"/>
          <w:numId w:val="2"/>
        </w:numPr>
        <w:spacing w:after="400" w:line="400" w:lineRule="atLeast"/>
      </w:pPr>
      <w:r>
        <w:rPr>
          <w:b/>
        </w:rPr>
        <w:t>分析</w:t>
      </w:r>
      <w:r>
        <w:t>：如前文所述，以美国10年期TIPS收益率为代表的实际利率，长期以来是解释金价波动的最核心变量。其逻辑在于，实际利率构成了持有黄金的机会成本。数据显示，在2022年之前，金价与TIPS收益率（反向坐标）的拟合度非常高。然而，2022年以来的“脱钩”现象表明，虽然实际利率依然重要，但其单一主导地位正在受到侵蚀。</w:t>
      </w:r>
    </w:p>
    <w:p w14:paraId="57BAF760">
      <w:pPr>
        <w:numPr>
          <w:ilvl w:val="-1"/>
          <w:numId w:val="2"/>
        </w:numPr>
        <w:spacing w:after="400" w:line="400" w:lineRule="atLeast"/>
      </w:pPr>
      <w:r>
        <w:rPr>
          <w:b/>
        </w:rPr>
        <w:t>当前权重评估</w:t>
      </w:r>
      <w:r>
        <w:t>：我们认为，实际利率仍是判断金价中期趋势的核心锚，但其解释力已从过去的70-80%下降至当前的50-60%左右。</w:t>
      </w:r>
    </w:p>
    <w:p w14:paraId="6357B20B">
      <w:pPr>
        <w:numPr>
          <w:ilvl w:val="-1"/>
          <w:numId w:val="2"/>
        </w:numPr>
        <w:spacing w:after="400" w:line="400" w:lineRule="atLeast"/>
      </w:pPr>
      <w:r>
        <w:rPr>
          <w:b/>
        </w:rPr>
        <w:t>潜在局限性与适用条件</w:t>
      </w:r>
      <w:r>
        <w:t>：该因子的有效性基于市场仍以西方机构投资者的投机/投资需求为主导。当以央行战略储备需求为代表的非机会成本驱动型买盘占据主导时，实际利率的影响力会阶段性减弱。</w:t>
      </w:r>
    </w:p>
    <w:p w14:paraId="7A47F603">
      <w:pPr>
        <w:spacing w:after="400" w:line="400" w:lineRule="atLeast"/>
      </w:pPr>
      <w:r>
        <w:rPr>
          <w:b/>
        </w:rPr>
        <w:t>(二) 货币政策因子：从QE/QT到全球央行政策分化</w:t>
      </w:r>
    </w:p>
    <w:p w14:paraId="6DEA4E42">
      <w:pPr>
        <w:numPr>
          <w:ilvl w:val="-1"/>
          <w:numId w:val="2"/>
        </w:numPr>
        <w:spacing w:after="400" w:line="400" w:lineRule="atLeast"/>
      </w:pPr>
      <w:r>
        <w:rPr>
          <w:b/>
        </w:rPr>
        <w:t>分析</w:t>
      </w:r>
      <w:r>
        <w:t>：美联储的货币政策周期（降息/加息、QE/QT）通过影响美元流动性、美元指数和实际利率，对金价产生深远影响。当前（2026年初），市场普遍预期美联储已结束本轮紧缩周期，未来将进入观察期乃至潜在的降息通道。与此同时，欧洲央行、日本央行等其他主要央行的政策路径出现分化，这种政策差异可能导致汇率波动加剧，从而影响以美元计价的黄金价格。</w:t>
      </w:r>
    </w:p>
    <w:p w14:paraId="31B2353D">
      <w:pPr>
        <w:numPr>
          <w:ilvl w:val="-1"/>
          <w:numId w:val="2"/>
        </w:numPr>
        <w:spacing w:after="400" w:line="400" w:lineRule="atLeast"/>
      </w:pPr>
      <w:r>
        <w:rPr>
          <w:b/>
        </w:rPr>
        <w:t>当前权重评估</w:t>
      </w:r>
      <w:r>
        <w:t>：货币政策的预期管理和路径变化，是短期内驱动金价波动的最主要催化剂，权重可视为20-25%。</w:t>
      </w:r>
    </w:p>
    <w:p w14:paraId="4B02BF11">
      <w:pPr>
        <w:numPr>
          <w:ilvl w:val="-1"/>
          <w:numId w:val="2"/>
        </w:numPr>
        <w:spacing w:after="400" w:line="400" w:lineRule="atLeast"/>
      </w:pPr>
      <w:r>
        <w:rPr>
          <w:b/>
        </w:rPr>
        <w:t>潜在局限性与适用条件</w:t>
      </w:r>
      <w:r>
        <w:t>：市场对货币政策的预期往往会提前消化（buy the rumor, sell the fact）。因此，该因子的影响更多体现在预期形成和变化的阶段，而非政策落地之时。</w:t>
      </w:r>
    </w:p>
    <w:p w14:paraId="74FBAA22">
      <w:pPr>
        <w:spacing w:after="400" w:line="400" w:lineRule="atLeast"/>
      </w:pPr>
      <w:r>
        <w:rPr>
          <w:b/>
        </w:rPr>
        <w:t>(三) 市场情绪与风险偏好因子：VIX指数与地缘政治溢价</w:t>
      </w:r>
    </w:p>
    <w:p w14:paraId="6FDB607C">
      <w:pPr>
        <w:numPr>
          <w:ilvl w:val="-1"/>
          <w:numId w:val="2"/>
        </w:numPr>
        <w:spacing w:after="400" w:line="400" w:lineRule="atLeast"/>
      </w:pPr>
      <w:r>
        <w:rPr>
          <w:b/>
        </w:rPr>
        <w:t>分析</w:t>
      </w:r>
      <w:r>
        <w:t>：黄金的避险属性使其价格与市场风险偏好呈负相关。通常使用芝加哥期权交易所的波动率指数（VIX），即“恐慌指数”，来衡量市场情绪。当VIX指数飙升时，通常伴随着黄金价格的上涨。此外，突发的地缘政治事件（如战争、恐怖袭击、主要经济体间关系恶化）会迅速推高黄金的地缘政治溢价。</w:t>
      </w:r>
    </w:p>
    <w:p w14:paraId="5C8C9061">
      <w:pPr>
        <w:numPr>
          <w:ilvl w:val="-1"/>
          <w:numId w:val="2"/>
        </w:numPr>
        <w:spacing w:after="400" w:line="400" w:lineRule="atLeast"/>
      </w:pPr>
      <w:r>
        <w:rPr>
          <w:b/>
        </w:rPr>
        <w:t>当前权重评估</w:t>
      </w:r>
      <w:r>
        <w:t>：在常规市场环境下，该因子权重较低（约5-10%）。但在危机模式下，其权重会迅速跃升为首要驱动力。</w:t>
      </w:r>
    </w:p>
    <w:p w14:paraId="27AA708F">
      <w:pPr>
        <w:numPr>
          <w:ilvl w:val="-1"/>
          <w:numId w:val="2"/>
        </w:numPr>
        <w:spacing w:after="400" w:line="400" w:lineRule="atLeast"/>
      </w:pPr>
      <w:r>
        <w:rPr>
          <w:b/>
        </w:rPr>
        <w:t>潜在局限性与适用条件</w:t>
      </w:r>
      <w:r>
        <w:t>：地缘政治溢价通常是短暂的，除非冲突导致全球经济或金融体系发生结构性改变（如俄乌冲突引发的对美元体系的信任危机），否则其影响会随着时间的推移而消退。</w:t>
      </w:r>
    </w:p>
    <w:p w14:paraId="0156165A">
      <w:pPr>
        <w:spacing w:after="400" w:line="400" w:lineRule="atLeast"/>
      </w:pPr>
      <w:r>
        <w:rPr>
          <w:b/>
        </w:rPr>
        <w:t>(四) 供需结构因子：央行购金与ETF流动的博弈</w:t>
      </w:r>
    </w:p>
    <w:p w14:paraId="7F18C265">
      <w:pPr>
        <w:numPr>
          <w:ilvl w:val="-1"/>
          <w:numId w:val="2"/>
        </w:numPr>
        <w:spacing w:after="400" w:line="400" w:lineRule="atLeast"/>
      </w:pPr>
      <w:r>
        <w:rPr>
          <w:b/>
        </w:rPr>
        <w:t>分析</w:t>
      </w:r>
      <w:r>
        <w:t>：这是当前分析框架中权重显著提升的变量。根据</w:t>
      </w:r>
      <w:r>
        <w:rPr>
          <w:b/>
        </w:rPr>
        <w:t>国际货币基金组织</w:t>
      </w:r>
      <w:r>
        <w:t>发布的《国际金融统计》（IFS）及</w:t>
      </w:r>
      <w:r>
        <w:rPr>
          <w:b/>
        </w:rPr>
        <w:t>世界黄金协会</w:t>
      </w:r>
      <w:r>
        <w:t>的数据，全球官方黄金储备自2010年以来持续净增加，并在2022-2025年加速 [[10]][[11]][[12]]。央行的购买行为是长期的、战略性的，对价格不敏感，为市场提供了强大的“买入期权”。与之相对，黄金ETF的持有量变化则更多地反映了西方机构和个人投资者的短期情绪和对机会成本的考量，波动性较大。当前市场正呈现“东方央行买、西方ETF卖”的格局，而前者力量的崛起，是金价在高利率环境中保持坚挺的关键。</w:t>
      </w:r>
    </w:p>
    <w:p w14:paraId="0F2707F3">
      <w:pPr>
        <w:numPr>
          <w:ilvl w:val="-1"/>
          <w:numId w:val="2"/>
        </w:numPr>
        <w:spacing w:after="400" w:line="400" w:lineRule="atLeast"/>
      </w:pPr>
      <w:r>
        <w:rPr>
          <w:b/>
        </w:rPr>
        <w:t>当前权重评估</w:t>
      </w:r>
      <w:r>
        <w:t>：我们认为结构性需求的权重已提升至15-20%，成为与货币政策因子并行的重要变量。</w:t>
      </w:r>
    </w:p>
    <w:p w14:paraId="260BAD56">
      <w:pPr>
        <w:numPr>
          <w:ilvl w:val="-1"/>
          <w:numId w:val="2"/>
        </w:numPr>
        <w:spacing w:after="400" w:line="400" w:lineRule="atLeast"/>
      </w:pPr>
      <w:r>
        <w:rPr>
          <w:b/>
        </w:rPr>
        <w:t>潜在局限性与适用条件</w:t>
      </w:r>
      <w:r>
        <w:t>：央行购金的数据披露存在滞后性，且其购买节奏并非线性。如果主要购金国因外汇储备压力或其他原因放缓购买步伐，可能导致市场对该支撑逻辑的信仰动摇。</w:t>
      </w:r>
    </w:p>
    <w:p w14:paraId="1DEB4CA4">
      <w:pPr>
        <w:spacing w:after="400" w:line="400" w:lineRule="atLeast"/>
      </w:pPr>
      <w:r>
        <w:rPr>
          <w:b/>
        </w:rPr>
        <w:t>图表二：黄金价格核心影响因子权重分析表（2026年评估）</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59"/>
      </w:tblGrid>
      <w:tr w14:paraId="03D51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6E72C285">
            <w:pPr>
              <w:spacing w:after="400" w:line="400" w:lineRule="exact"/>
              <w:jc w:val="left"/>
            </w:pPr>
            <w:r>
              <w:rPr>
                <w:b/>
              </w:rPr>
              <w:t>驱动因子</w:t>
            </w:r>
          </w:p>
        </w:tc>
        <w:tc>
          <w:tcPr>
            <w:tcW w:w="1659" w:type="dxa"/>
          </w:tcPr>
          <w:p w14:paraId="79C1AA43">
            <w:pPr>
              <w:spacing w:after="400" w:line="400" w:lineRule="exact"/>
              <w:jc w:val="left"/>
            </w:pPr>
            <w:r>
              <w:rPr>
                <w:b/>
              </w:rPr>
              <w:t>核心指标/事件</w:t>
            </w:r>
          </w:p>
        </w:tc>
        <w:tc>
          <w:tcPr>
            <w:tcW w:w="1659" w:type="dxa"/>
          </w:tcPr>
          <w:p w14:paraId="599A1E39">
            <w:pPr>
              <w:spacing w:after="400" w:line="400" w:lineRule="exact"/>
              <w:jc w:val="left"/>
            </w:pPr>
            <w:r>
              <w:rPr>
                <w:b/>
              </w:rPr>
              <w:t>对金价影响方向</w:t>
            </w:r>
          </w:p>
        </w:tc>
        <w:tc>
          <w:tcPr>
            <w:tcW w:w="1659" w:type="dxa"/>
          </w:tcPr>
          <w:p w14:paraId="7343E1C3">
            <w:pPr>
              <w:spacing w:after="400" w:line="400" w:lineRule="exact"/>
              <w:jc w:val="left"/>
            </w:pPr>
            <w:r>
              <w:rPr>
                <w:b/>
              </w:rPr>
              <w:t>当前环境下的相对重要性（权重估算）</w:t>
            </w:r>
          </w:p>
        </w:tc>
        <w:tc>
          <w:tcPr>
            <w:tcW w:w="1659" w:type="dxa"/>
          </w:tcPr>
          <w:p w14:paraId="4493203D">
            <w:pPr>
              <w:spacing w:after="400" w:line="400" w:lineRule="exact"/>
              <w:jc w:val="left"/>
            </w:pPr>
            <w:r>
              <w:rPr>
                <w:b/>
              </w:rPr>
              <w:t>备注</w:t>
            </w:r>
          </w:p>
        </w:tc>
      </w:tr>
      <w:tr w14:paraId="320D1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238505BC">
            <w:pPr>
              <w:spacing w:after="400" w:line="400" w:lineRule="exact"/>
              <w:jc w:val="left"/>
            </w:pPr>
            <w:r>
              <w:rPr>
                <w:b/>
              </w:rPr>
              <w:t>宏观经济因子</w:t>
            </w:r>
          </w:p>
        </w:tc>
        <w:tc>
          <w:tcPr>
            <w:tcW w:w="1659" w:type="dxa"/>
          </w:tcPr>
          <w:p w14:paraId="085A76C3">
            <w:pPr>
              <w:spacing w:after="400" w:line="400" w:lineRule="exact"/>
              <w:jc w:val="left"/>
            </w:pPr>
            <w:r>
              <w:t>美国10年期TIPS收益率、通胀预期</w:t>
            </w:r>
          </w:p>
        </w:tc>
        <w:tc>
          <w:tcPr>
            <w:tcW w:w="1659" w:type="dxa"/>
          </w:tcPr>
          <w:p w14:paraId="1191E4B7">
            <w:pPr>
              <w:spacing w:after="400" w:line="400" w:lineRule="exact"/>
              <w:jc w:val="left"/>
            </w:pPr>
            <w:r>
              <w:t>负相关</w:t>
            </w:r>
          </w:p>
        </w:tc>
        <w:tc>
          <w:tcPr>
            <w:tcW w:w="1659" w:type="dxa"/>
          </w:tcPr>
          <w:p w14:paraId="4833C99F">
            <w:pPr>
              <w:spacing w:after="400" w:line="400" w:lineRule="exact"/>
              <w:jc w:val="left"/>
            </w:pPr>
            <w:r>
              <w:rPr>
                <w:b/>
              </w:rPr>
              <w:t>50-60%</w:t>
            </w:r>
          </w:p>
        </w:tc>
        <w:tc>
          <w:tcPr>
            <w:tcW w:w="1659" w:type="dxa"/>
          </w:tcPr>
          <w:p w14:paraId="752D4ED6">
            <w:pPr>
              <w:spacing w:after="400" w:line="400" w:lineRule="exact"/>
              <w:jc w:val="left"/>
            </w:pPr>
            <w:r>
              <w:t>长期定价之锚，但解释力在新范式下有所下降</w:t>
            </w:r>
          </w:p>
        </w:tc>
      </w:tr>
      <w:tr w14:paraId="7C717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61D959A0">
            <w:pPr>
              <w:spacing w:after="400" w:line="400" w:lineRule="exact"/>
              <w:jc w:val="left"/>
            </w:pPr>
            <w:r>
              <w:rPr>
                <w:b/>
              </w:rPr>
              <w:t>货币政策因子</w:t>
            </w:r>
          </w:p>
        </w:tc>
        <w:tc>
          <w:tcPr>
            <w:tcW w:w="1659" w:type="dxa"/>
          </w:tcPr>
          <w:p w14:paraId="3E920DC1">
            <w:pPr>
              <w:spacing w:after="400" w:line="400" w:lineRule="exact"/>
              <w:jc w:val="left"/>
            </w:pPr>
            <w:r>
              <w:t>美联储利率决议、FOMC声明、全球央行政策分化</w:t>
            </w:r>
          </w:p>
        </w:tc>
        <w:tc>
          <w:tcPr>
            <w:tcW w:w="1659" w:type="dxa"/>
          </w:tcPr>
          <w:p w14:paraId="6E21B5F5">
            <w:pPr>
              <w:spacing w:after="400" w:line="400" w:lineRule="exact"/>
              <w:jc w:val="left"/>
            </w:pPr>
            <w:r>
              <w:t>宽松为正，紧缩为负</w:t>
            </w:r>
          </w:p>
        </w:tc>
        <w:tc>
          <w:tcPr>
            <w:tcW w:w="1659" w:type="dxa"/>
          </w:tcPr>
          <w:p w14:paraId="695D5F00">
            <w:pPr>
              <w:spacing w:after="400" w:line="400" w:lineRule="exact"/>
              <w:jc w:val="left"/>
            </w:pPr>
            <w:r>
              <w:rPr>
                <w:b/>
              </w:rPr>
              <w:t>20-25%</w:t>
            </w:r>
          </w:p>
        </w:tc>
        <w:tc>
          <w:tcPr>
            <w:tcW w:w="1659" w:type="dxa"/>
          </w:tcPr>
          <w:p w14:paraId="16F399D5">
            <w:pPr>
              <w:spacing w:after="400" w:line="400" w:lineRule="exact"/>
              <w:jc w:val="left"/>
            </w:pPr>
            <w:r>
              <w:t>中短期波动的核心催化剂，预期管理至关重要</w:t>
            </w:r>
          </w:p>
        </w:tc>
      </w:tr>
      <w:tr w14:paraId="63CA6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2AF2AB31">
            <w:pPr>
              <w:spacing w:after="400" w:line="400" w:lineRule="exact"/>
              <w:jc w:val="left"/>
            </w:pPr>
            <w:r>
              <w:rPr>
                <w:b/>
              </w:rPr>
              <w:t>市场情绪与风险偏好因子</w:t>
            </w:r>
          </w:p>
        </w:tc>
        <w:tc>
          <w:tcPr>
            <w:tcW w:w="1659" w:type="dxa"/>
          </w:tcPr>
          <w:p w14:paraId="000D5F46">
            <w:pPr>
              <w:spacing w:after="400" w:line="400" w:lineRule="exact"/>
              <w:jc w:val="left"/>
            </w:pPr>
            <w:r>
              <w:t>VIX指数、地缘政治冲突、金融系统性风险</w:t>
            </w:r>
          </w:p>
        </w:tc>
        <w:tc>
          <w:tcPr>
            <w:tcW w:w="1659" w:type="dxa"/>
          </w:tcPr>
          <w:p w14:paraId="73A7201F">
            <w:pPr>
              <w:spacing w:after="400" w:line="400" w:lineRule="exact"/>
              <w:jc w:val="left"/>
            </w:pPr>
            <w:r>
              <w:t>正相关</w:t>
            </w:r>
          </w:p>
        </w:tc>
        <w:tc>
          <w:tcPr>
            <w:tcW w:w="1659" w:type="dxa"/>
          </w:tcPr>
          <w:p w14:paraId="0C7117CE">
            <w:pPr>
              <w:spacing w:after="400" w:line="400" w:lineRule="exact"/>
              <w:jc w:val="left"/>
            </w:pPr>
            <w:r>
              <w:rPr>
                <w:b/>
              </w:rPr>
              <w:t>5-10% (常规) / &gt;50% (危机)</w:t>
            </w:r>
          </w:p>
        </w:tc>
        <w:tc>
          <w:tcPr>
            <w:tcW w:w="1659" w:type="dxa"/>
          </w:tcPr>
          <w:p w14:paraId="1AF20763">
            <w:pPr>
              <w:spacing w:after="400" w:line="400" w:lineRule="exact"/>
              <w:jc w:val="left"/>
            </w:pPr>
            <w:r>
              <w:t>事件驱动型，影响剧烈但可能短暂</w:t>
            </w:r>
          </w:p>
        </w:tc>
      </w:tr>
      <w:tr w14:paraId="229C0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5E772D03">
            <w:pPr>
              <w:spacing w:after="400" w:line="400" w:lineRule="exact"/>
              <w:jc w:val="left"/>
            </w:pPr>
            <w:r>
              <w:rPr>
                <w:b/>
              </w:rPr>
              <w:t>供需结构因子</w:t>
            </w:r>
          </w:p>
        </w:tc>
        <w:tc>
          <w:tcPr>
            <w:tcW w:w="1659" w:type="dxa"/>
          </w:tcPr>
          <w:p w14:paraId="74D87141">
            <w:pPr>
              <w:spacing w:after="400" w:line="400" w:lineRule="exact"/>
              <w:jc w:val="left"/>
            </w:pPr>
            <w:r>
              <w:t>全球央行净购金量、黄金ETF持仓变化</w:t>
            </w:r>
          </w:p>
        </w:tc>
        <w:tc>
          <w:tcPr>
            <w:tcW w:w="1659" w:type="dxa"/>
          </w:tcPr>
          <w:p w14:paraId="24E4F9BE">
            <w:pPr>
              <w:spacing w:after="400" w:line="400" w:lineRule="exact"/>
              <w:jc w:val="left"/>
            </w:pPr>
            <w:r>
              <w:t>央行购金为正，ETF流出为负</w:t>
            </w:r>
          </w:p>
        </w:tc>
        <w:tc>
          <w:tcPr>
            <w:tcW w:w="1659" w:type="dxa"/>
          </w:tcPr>
          <w:p w14:paraId="6D59063C">
            <w:pPr>
              <w:spacing w:after="400" w:line="400" w:lineRule="exact"/>
              <w:jc w:val="left"/>
            </w:pPr>
            <w:r>
              <w:rPr>
                <w:b/>
              </w:rPr>
              <w:t>15-20%</w:t>
            </w:r>
          </w:p>
        </w:tc>
        <w:tc>
          <w:tcPr>
            <w:tcW w:w="1659" w:type="dxa"/>
          </w:tcPr>
          <w:p w14:paraId="46840B00">
            <w:pPr>
              <w:spacing w:after="400" w:line="400" w:lineRule="exact"/>
              <w:jc w:val="left"/>
            </w:pPr>
            <w:r>
              <w:t>新范式下的结构性支撑，决定金价的底部韧性</w:t>
            </w:r>
          </w:p>
        </w:tc>
      </w:tr>
    </w:tbl>
    <w:p w14:paraId="55947C2C">
      <w:pPr>
        <w:spacing w:before="400" w:after="400" w:line="400" w:lineRule="atLeast"/>
      </w:pPr>
      <w:r>
        <w:rPr>
          <w:b/>
          <w:sz w:val="30"/>
        </w:rPr>
        <w:t>五、 未来情景建模与推演（2026-2028）</w:t>
      </w:r>
    </w:p>
    <w:p w14:paraId="152FF894">
      <w:pPr>
        <w:spacing w:after="400" w:line="400" w:lineRule="atLeast"/>
      </w:pPr>
      <w:r>
        <w:t>基于对驱动因子的辨析，我们构建了未来三年可能出现的三种宏观情景，并对黄金市场的潜在表现进行推演。</w:t>
      </w:r>
    </w:p>
    <w:p w14:paraId="6156F5A6">
      <w:pPr>
        <w:spacing w:after="400" w:line="400" w:lineRule="atLeast"/>
      </w:pPr>
      <w:r>
        <w:rPr>
          <w:b/>
        </w:rPr>
        <w:t>(一) 基准情景：全球经济“软着陆”与货币政策正常化 (概率: 55%)</w:t>
      </w:r>
    </w:p>
    <w:p w14:paraId="79FAE774">
      <w:pPr>
        <w:numPr>
          <w:ilvl w:val="-1"/>
          <w:numId w:val="2"/>
        </w:numPr>
        <w:spacing w:after="400" w:line="400" w:lineRule="atLeast"/>
      </w:pPr>
      <w:r>
        <w:rPr>
          <w:b/>
        </w:rPr>
        <w:t>情景描述</w:t>
      </w:r>
      <w:r>
        <w:t>：全球主要经济体，特别是美国，成功在不引发深度衰退的前提下控制了通胀。通胀回落至接近央行2%的目标水平，但过程较为缓慢。美联储在2026-2027年间进行数次“预防性”降息，但政策利率最终稳定在高于疫情前水平的“新中性利率”附近。全球经济维持低速增长。地缘政治局势虽有摩擦，但未发生大规模冲突升级。</w:t>
      </w:r>
    </w:p>
    <w:p w14:paraId="28699151">
      <w:pPr>
        <w:numPr>
          <w:ilvl w:val="-1"/>
          <w:numId w:val="2"/>
        </w:numPr>
        <w:spacing w:after="400" w:line="400" w:lineRule="atLeast"/>
      </w:pPr>
      <w:r>
        <w:rPr>
          <w:b/>
        </w:rPr>
        <w:t>黄金市场表现</w:t>
      </w:r>
      <w:r>
        <w:t>：在此情景下，实际利率将从高位温和回落，为黄金提供一定的上行动力。然而，由于通胀得到控制且未发生系统性危机，黄金的避险需求相对平淡。同时，央行购金趋势可能因全球经济稳定而略有放缓。我们预计金价将呈现</w:t>
      </w:r>
      <w:r>
        <w:rPr>
          <w:b/>
        </w:rPr>
        <w:t>宽幅震荡、重心温和上移</w:t>
      </w:r>
      <w:r>
        <w:t>的态势，主要交投区间可能位于2300-2800美元/盎司。</w:t>
      </w:r>
    </w:p>
    <w:p w14:paraId="4A1E61DC">
      <w:pPr>
        <w:spacing w:after="400" w:line="400" w:lineRule="atLeast"/>
      </w:pPr>
      <w:r>
        <w:rPr>
          <w:b/>
        </w:rPr>
        <w:t>(二) 乐观情景：“滞胀”风险重燃与避险需求高涨 (概率: 30%)</w:t>
      </w:r>
    </w:p>
    <w:p w14:paraId="3CAC66BB">
      <w:pPr>
        <w:numPr>
          <w:ilvl w:val="-1"/>
          <w:numId w:val="2"/>
        </w:numPr>
        <w:spacing w:after="400" w:line="400" w:lineRule="atLeast"/>
      </w:pPr>
      <w:r>
        <w:rPr>
          <w:b/>
        </w:rPr>
        <w:t>情景描述</w:t>
      </w:r>
      <w:r>
        <w:t>：由于结构性因素（如劳动力短缺、绿色能源转型成本、供应链重构），通胀在中期内表现出超预期的粘性，持续高于3%。而主要央行因担心引发严重经济衰退而无法进一步大幅加息，甚至被迫提前降息。全球经济陷入“增长停滞、通胀高企”的</w:t>
      </w:r>
      <w:r>
        <w:rPr>
          <w:b/>
        </w:rPr>
        <w:t>滞胀 (Stagflation)</w:t>
      </w:r>
      <w:r>
        <w:t xml:space="preserve"> 局面。同时，某一地缘政治热点（如台海、中东）局势显著恶化。</w:t>
      </w:r>
    </w:p>
    <w:p w14:paraId="5AD38B34">
      <w:pPr>
        <w:numPr>
          <w:ilvl w:val="-1"/>
          <w:numId w:val="2"/>
        </w:numPr>
        <w:spacing w:after="400" w:line="400" w:lineRule="atLeast"/>
      </w:pPr>
      <w:r>
        <w:rPr>
          <w:b/>
        </w:rPr>
        <w:t>黄金市场表现</w:t>
      </w:r>
      <w:r>
        <w:t>：这是对黄金最为有利的宏观环境。高企的通胀将凸显黄金的抗通胀属性，而停滞的经济增长和央行被迫宽松将压低实际利率。急剧升温的避险情绪将推动资金大规模流入黄金及其相关资产。央行的储备多元化需求也将进一步强化。在此情景下，金价</w:t>
      </w:r>
      <w:r>
        <w:rPr>
          <w:b/>
        </w:rPr>
        <w:t>可能突破3000美元/盎司，并向3500美元/盎司甚至更高水平发起冲击</w:t>
      </w:r>
      <w:r>
        <w:t>。</w:t>
      </w:r>
    </w:p>
    <w:p w14:paraId="71BB8BC7">
      <w:pPr>
        <w:numPr>
          <w:ilvl w:val="-1"/>
          <w:numId w:val="2"/>
        </w:numPr>
        <w:spacing w:after="400" w:line="400" w:lineRule="atLeast"/>
      </w:pPr>
      <w:r>
        <w:rPr>
          <w:b/>
        </w:rPr>
        <w:t>潜在局限性与适用条件</w:t>
      </w:r>
      <w:r>
        <w:t>：此情景的实现，要求通胀的粘性被证明是结构性的而非周期性的，并且主要央行在“抗通胀”和“稳增长”之间明确选择了后者。</w:t>
      </w:r>
    </w:p>
    <w:p w14:paraId="227D85E0">
      <w:pPr>
        <w:spacing w:after="400" w:line="400" w:lineRule="atLeast"/>
      </w:pPr>
      <w:r>
        <w:rPr>
          <w:b/>
        </w:rPr>
        <w:t>(三) 悲观情景：深度衰退与通缩压力 (概率: 15%)</w:t>
      </w:r>
    </w:p>
    <w:p w14:paraId="00C20C66">
      <w:pPr>
        <w:numPr>
          <w:ilvl w:val="-1"/>
          <w:numId w:val="2"/>
        </w:numPr>
        <w:spacing w:after="400" w:line="400" w:lineRule="atLeast"/>
      </w:pPr>
      <w:r>
        <w:rPr>
          <w:b/>
        </w:rPr>
        <w:t>情景描述</w:t>
      </w:r>
      <w:r>
        <w:t>：前期激进紧缩的滞后效应超预期显现，或某一大型经济体爆发债务危机，导致全球经济陷入同步的深度衰退。企业盈利大幅下滑，失业率攀升，需求锐减导致商品和服务价格下跌，市场出现</w:t>
      </w:r>
      <w:r>
        <w:rPr>
          <w:b/>
        </w:rPr>
        <w:t>通货紧缩 (Deflation)</w:t>
      </w:r>
      <w:r>
        <w:t xml:space="preserve"> 压力。</w:t>
      </w:r>
    </w:p>
    <w:p w14:paraId="14773ABC">
      <w:pPr>
        <w:numPr>
          <w:ilvl w:val="-1"/>
          <w:numId w:val="2"/>
        </w:numPr>
        <w:spacing w:after="400" w:line="400" w:lineRule="atLeast"/>
      </w:pPr>
      <w:r>
        <w:rPr>
          <w:b/>
        </w:rPr>
        <w:t>黄金市场表现</w:t>
      </w:r>
      <w:r>
        <w:t>：此情景下黄金的表现将较为复杂。一方面，作为避险资产，在危机初期黄金会受到追捧。但另一方面，深度衰退和通缩环境意味着名义利率和通胀预期同步下降，实际利率可能不降反升。更重要的是，通缩环境下“现金为王”，流动性需求可能导致投资者无差别抛售包括黄金在内的所有资产以换取现金，类似2008年金融危机初期和2020年3月的市场表现。因此，金价可能在短暂冲高后</w:t>
      </w:r>
      <w:r>
        <w:rPr>
          <w:b/>
        </w:rPr>
        <w:t>面临显著的回调压力</w:t>
      </w:r>
      <w:r>
        <w:t>，下方支撑将面临严峻考验。</w:t>
      </w:r>
    </w:p>
    <w:p w14:paraId="10C84112">
      <w:pPr>
        <w:numPr>
          <w:ilvl w:val="-1"/>
          <w:numId w:val="2"/>
        </w:numPr>
        <w:spacing w:after="400" w:line="400" w:lineRule="atLeast"/>
      </w:pPr>
      <w:r>
        <w:rPr>
          <w:b/>
        </w:rPr>
        <w:t>潜在局限性与适用条件</w:t>
      </w:r>
      <w:r>
        <w:t>：此情景通常伴随着系统性的信用紧缩和流动性危机。黄金的最终表现，取决于各国央行能否及时、有效地注入流动性以稳定金融市场。</w:t>
      </w:r>
    </w:p>
    <w:p w14:paraId="6C4D80E2">
      <w:pPr>
        <w:spacing w:after="400" w:line="400" w:lineRule="atLeast"/>
      </w:pPr>
      <w:r>
        <w:rPr>
          <w:b/>
        </w:rPr>
        <w:t>图表三：未来三种情景假设下的宏观变量设定表 (2026-2028)</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14:paraId="4521A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5A60D3B0">
            <w:pPr>
              <w:spacing w:after="400" w:line="400" w:lineRule="exact"/>
              <w:jc w:val="left"/>
            </w:pPr>
            <w:r>
              <w:rPr>
                <w:b/>
              </w:rPr>
              <w:t>宏观变量</w:t>
            </w:r>
          </w:p>
        </w:tc>
        <w:tc>
          <w:tcPr>
            <w:tcW w:w="2074" w:type="dxa"/>
          </w:tcPr>
          <w:p w14:paraId="1FDCB3E7">
            <w:pPr>
              <w:spacing w:after="400" w:line="400" w:lineRule="exact"/>
              <w:jc w:val="left"/>
            </w:pPr>
            <w:r>
              <w:rPr>
                <w:b/>
              </w:rPr>
              <w:t>基准情景：“软着陆”</w:t>
            </w:r>
          </w:p>
        </w:tc>
        <w:tc>
          <w:tcPr>
            <w:tcW w:w="2074" w:type="dxa"/>
          </w:tcPr>
          <w:p w14:paraId="2F8EB1D8">
            <w:pPr>
              <w:spacing w:after="400" w:line="400" w:lineRule="exact"/>
              <w:jc w:val="left"/>
            </w:pPr>
            <w:r>
              <w:rPr>
                <w:b/>
              </w:rPr>
              <w:t>乐观情景：“滞胀重燃”</w:t>
            </w:r>
          </w:p>
        </w:tc>
        <w:tc>
          <w:tcPr>
            <w:tcW w:w="2074" w:type="dxa"/>
          </w:tcPr>
          <w:p w14:paraId="394AE1BE">
            <w:pPr>
              <w:spacing w:after="400" w:line="400" w:lineRule="exact"/>
              <w:jc w:val="left"/>
            </w:pPr>
            <w:r>
              <w:rPr>
                <w:b/>
              </w:rPr>
              <w:t>悲观情景：“深度衰退”</w:t>
            </w:r>
          </w:p>
        </w:tc>
      </w:tr>
      <w:tr w14:paraId="7DF90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193E0FCD">
            <w:pPr>
              <w:spacing w:after="400" w:line="400" w:lineRule="exact"/>
              <w:jc w:val="left"/>
            </w:pPr>
            <w:r>
              <w:rPr>
                <w:b/>
              </w:rPr>
              <w:t>全球GDP增长</w:t>
            </w:r>
          </w:p>
        </w:tc>
        <w:tc>
          <w:tcPr>
            <w:tcW w:w="2074" w:type="dxa"/>
          </w:tcPr>
          <w:p w14:paraId="5F7FC017">
            <w:pPr>
              <w:spacing w:after="400" w:line="400" w:lineRule="exact"/>
              <w:jc w:val="left"/>
            </w:pPr>
            <w:r>
              <w:t>低速正增长 (1.5% - 2.5%)</w:t>
            </w:r>
          </w:p>
        </w:tc>
        <w:tc>
          <w:tcPr>
            <w:tcW w:w="2074" w:type="dxa"/>
          </w:tcPr>
          <w:p w14:paraId="035065E7">
            <w:pPr>
              <w:spacing w:after="400" w:line="400" w:lineRule="exact"/>
              <w:jc w:val="left"/>
            </w:pPr>
            <w:r>
              <w:t>停滞或轻微负增长 (-0.5% - 1.0%)</w:t>
            </w:r>
          </w:p>
        </w:tc>
        <w:tc>
          <w:tcPr>
            <w:tcW w:w="2074" w:type="dxa"/>
          </w:tcPr>
          <w:p w14:paraId="6D59F3BA">
            <w:pPr>
              <w:spacing w:after="400" w:line="400" w:lineRule="exact"/>
              <w:jc w:val="left"/>
            </w:pPr>
            <w:r>
              <w:t>深度负增长 (&lt; -1.5%)</w:t>
            </w:r>
          </w:p>
        </w:tc>
      </w:tr>
      <w:tr w14:paraId="07A05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63F69934">
            <w:pPr>
              <w:spacing w:after="400" w:line="400" w:lineRule="exact"/>
              <w:jc w:val="left"/>
            </w:pPr>
            <w:r>
              <w:rPr>
                <w:b/>
              </w:rPr>
              <w:t>美国CPI同比</w:t>
            </w:r>
          </w:p>
        </w:tc>
        <w:tc>
          <w:tcPr>
            <w:tcW w:w="2074" w:type="dxa"/>
          </w:tcPr>
          <w:p w14:paraId="1A78B419">
            <w:pPr>
              <w:spacing w:after="400" w:line="400" w:lineRule="exact"/>
              <w:jc w:val="left"/>
            </w:pPr>
            <w:r>
              <w:t>缓慢回落至 2.0% - 2.5%</w:t>
            </w:r>
          </w:p>
        </w:tc>
        <w:tc>
          <w:tcPr>
            <w:tcW w:w="2074" w:type="dxa"/>
          </w:tcPr>
          <w:p w14:paraId="24ED74AB">
            <w:pPr>
              <w:spacing w:after="400" w:line="400" w:lineRule="exact"/>
              <w:jc w:val="left"/>
            </w:pPr>
            <w:r>
              <w:t>维持在 3.0% - 4.5% 的粘性高位</w:t>
            </w:r>
          </w:p>
        </w:tc>
        <w:tc>
          <w:tcPr>
            <w:tcW w:w="2074" w:type="dxa"/>
          </w:tcPr>
          <w:p w14:paraId="3D9B6D73">
            <w:pPr>
              <w:spacing w:after="400" w:line="400" w:lineRule="exact"/>
              <w:jc w:val="left"/>
            </w:pPr>
            <w:r>
              <w:t>转向负值 (-1.0% - 0%)</w:t>
            </w:r>
          </w:p>
        </w:tc>
      </w:tr>
      <w:tr w14:paraId="6C269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F15B311">
            <w:pPr>
              <w:spacing w:after="400" w:line="400" w:lineRule="exact"/>
              <w:jc w:val="left"/>
            </w:pPr>
            <w:r>
              <w:rPr>
                <w:b/>
              </w:rPr>
              <w:t>美联储政策利率</w:t>
            </w:r>
          </w:p>
        </w:tc>
        <w:tc>
          <w:tcPr>
            <w:tcW w:w="2074" w:type="dxa"/>
          </w:tcPr>
          <w:p w14:paraId="5713FC7E">
            <w:pPr>
              <w:spacing w:after="400" w:line="400" w:lineRule="exact"/>
              <w:jc w:val="left"/>
            </w:pPr>
            <w:r>
              <w:t>温和降息，稳定在 3.0% - 3.5%</w:t>
            </w:r>
          </w:p>
        </w:tc>
        <w:tc>
          <w:tcPr>
            <w:tcW w:w="2074" w:type="dxa"/>
          </w:tcPr>
          <w:p w14:paraId="569DAD52">
            <w:pPr>
              <w:spacing w:after="400" w:line="400" w:lineRule="exact"/>
              <w:jc w:val="left"/>
            </w:pPr>
            <w:r>
              <w:t>停止加息，甚至被迫降息</w:t>
            </w:r>
          </w:p>
        </w:tc>
        <w:tc>
          <w:tcPr>
            <w:tcW w:w="2074" w:type="dxa"/>
          </w:tcPr>
          <w:p w14:paraId="026AF623">
            <w:pPr>
              <w:spacing w:after="400" w:line="400" w:lineRule="exact"/>
              <w:jc w:val="left"/>
            </w:pPr>
            <w:r>
              <w:t>快速降息至零利率，可能重启QE</w:t>
            </w:r>
          </w:p>
        </w:tc>
      </w:tr>
      <w:tr w14:paraId="26E81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50843F5F">
            <w:pPr>
              <w:spacing w:after="400" w:line="400" w:lineRule="exact"/>
              <w:jc w:val="left"/>
            </w:pPr>
            <w:r>
              <w:rPr>
                <w:b/>
              </w:rPr>
              <w:t>美国10年期TIPS收益率</w:t>
            </w:r>
          </w:p>
        </w:tc>
        <w:tc>
          <w:tcPr>
            <w:tcW w:w="2074" w:type="dxa"/>
          </w:tcPr>
          <w:p w14:paraId="38D536D4">
            <w:pPr>
              <w:spacing w:after="400" w:line="400" w:lineRule="exact"/>
              <w:jc w:val="left"/>
            </w:pPr>
            <w:r>
              <w:t>从高位回落至 1.0% - 1.5%</w:t>
            </w:r>
          </w:p>
        </w:tc>
        <w:tc>
          <w:tcPr>
            <w:tcW w:w="2074" w:type="dxa"/>
          </w:tcPr>
          <w:p w14:paraId="065780C7">
            <w:pPr>
              <w:spacing w:after="400" w:line="400" w:lineRule="exact"/>
              <w:jc w:val="left"/>
            </w:pPr>
            <w:r>
              <w:t>被压制在 0% - 1.0% 区间</w:t>
            </w:r>
          </w:p>
        </w:tc>
        <w:tc>
          <w:tcPr>
            <w:tcW w:w="2074" w:type="dxa"/>
          </w:tcPr>
          <w:p w14:paraId="76719876">
            <w:pPr>
              <w:spacing w:after="400" w:line="400" w:lineRule="exact"/>
              <w:jc w:val="left"/>
            </w:pPr>
            <w:r>
              <w:t>初期可能因通缩预期而飙升，后回落</w:t>
            </w:r>
          </w:p>
        </w:tc>
      </w:tr>
      <w:tr w14:paraId="30B1E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2C6FC68B">
            <w:pPr>
              <w:spacing w:after="400" w:line="400" w:lineRule="exact"/>
              <w:jc w:val="left"/>
            </w:pPr>
            <w:r>
              <w:rPr>
                <w:b/>
              </w:rPr>
              <w:t>地缘政治风险</w:t>
            </w:r>
          </w:p>
        </w:tc>
        <w:tc>
          <w:tcPr>
            <w:tcW w:w="2074" w:type="dxa"/>
          </w:tcPr>
          <w:p w14:paraId="330CA0E4">
            <w:pPr>
              <w:spacing w:after="400" w:line="400" w:lineRule="exact"/>
              <w:jc w:val="left"/>
            </w:pPr>
            <w:r>
              <w:t>局部可控</w:t>
            </w:r>
          </w:p>
        </w:tc>
        <w:tc>
          <w:tcPr>
            <w:tcW w:w="2074" w:type="dxa"/>
          </w:tcPr>
          <w:p w14:paraId="1930DA3D">
            <w:pPr>
              <w:spacing w:after="400" w:line="400" w:lineRule="exact"/>
              <w:jc w:val="left"/>
            </w:pPr>
            <w:r>
              <w:t>显著恶化，爆发新冲突</w:t>
            </w:r>
          </w:p>
        </w:tc>
        <w:tc>
          <w:tcPr>
            <w:tcW w:w="2074" w:type="dxa"/>
          </w:tcPr>
          <w:p w14:paraId="5793539B">
            <w:pPr>
              <w:spacing w:after="400" w:line="400" w:lineRule="exact"/>
              <w:jc w:val="left"/>
            </w:pPr>
            <w:r>
              <w:t>全球风险厌恶情绪极高</w:t>
            </w:r>
          </w:p>
        </w:tc>
      </w:tr>
      <w:tr w14:paraId="2287B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0E4ED906">
            <w:pPr>
              <w:spacing w:after="400" w:line="400" w:lineRule="exact"/>
              <w:jc w:val="left"/>
            </w:pPr>
            <w:r>
              <w:rPr>
                <w:b/>
              </w:rPr>
              <w:t>黄金价格趋势</w:t>
            </w:r>
          </w:p>
        </w:tc>
        <w:tc>
          <w:tcPr>
            <w:tcW w:w="2074" w:type="dxa"/>
          </w:tcPr>
          <w:p w14:paraId="7729A650">
            <w:pPr>
              <w:spacing w:after="400" w:line="400" w:lineRule="exact"/>
              <w:jc w:val="left"/>
            </w:pPr>
            <w:r>
              <w:rPr>
                <w:b/>
              </w:rPr>
              <w:t>区间震荡，重心上移</w:t>
            </w:r>
          </w:p>
        </w:tc>
        <w:tc>
          <w:tcPr>
            <w:tcW w:w="2074" w:type="dxa"/>
          </w:tcPr>
          <w:p w14:paraId="288C0E34">
            <w:pPr>
              <w:spacing w:after="400" w:line="400" w:lineRule="exact"/>
              <w:jc w:val="left"/>
            </w:pPr>
            <w:r>
              <w:rPr>
                <w:b/>
              </w:rPr>
              <w:t>突破性上涨，挑战新高</w:t>
            </w:r>
          </w:p>
        </w:tc>
        <w:tc>
          <w:tcPr>
            <w:tcW w:w="2074" w:type="dxa"/>
          </w:tcPr>
          <w:p w14:paraId="39618575">
            <w:pPr>
              <w:spacing w:after="400" w:line="400" w:lineRule="exact"/>
              <w:jc w:val="left"/>
            </w:pPr>
            <w:r>
              <w:rPr>
                <w:b/>
              </w:rPr>
              <w:t>先涨后跌，面临回调压力</w:t>
            </w:r>
          </w:p>
        </w:tc>
      </w:tr>
    </w:tbl>
    <w:p w14:paraId="36203D6B">
      <w:pPr>
        <w:spacing w:before="400" w:after="400" w:line="400" w:lineRule="atLeast"/>
      </w:pPr>
      <w:r>
        <w:rPr>
          <w:b/>
          <w:sz w:val="30"/>
        </w:rPr>
        <w:t>六、 技术图形解析与关键位锚定</w:t>
      </w:r>
    </w:p>
    <w:p w14:paraId="5ED4A493">
      <w:pPr>
        <w:spacing w:after="400" w:line="400" w:lineRule="atLeast"/>
      </w:pPr>
      <w:r>
        <w:t>纯粹的基本面分析需与技术分析相结合，以更好地把握市场的节奏和关键转折点。</w:t>
      </w:r>
    </w:p>
    <w:p w14:paraId="701211E1">
      <w:pPr>
        <w:spacing w:after="400" w:line="400" w:lineRule="atLeast"/>
      </w:pPr>
      <w:r>
        <w:rPr>
          <w:b/>
        </w:rPr>
        <w:t>(一) 长期趋势分析：月线级别的上升通道</w:t>
      </w:r>
    </w:p>
    <w:p w14:paraId="3030A789">
      <w:pPr>
        <w:spacing w:after="400" w:line="400" w:lineRule="atLeast"/>
      </w:pPr>
      <w:r>
        <w:t>从月线图来看，自2015年底的低点（1046美元/盎司）以来，黄金价格形成了一个清晰且运行稳健的长期上升通道。通道下轨在2018年、2021年和2022年底均提供了有效支撑，而通道上轨则在2020年和2024年的高点附近构成了阻力。截至2026年初，该通道的中轴线约在2450美元/盎司，下轨支撑动态上移至2150-2200美元/盎司区域，上轨压力则位于3000美元/盎司上方。只要价格保持在该通道内部运行，黄金的长期牛市结构就依然稳固。</w:t>
      </w:r>
    </w:p>
    <w:p w14:paraId="04D092B5">
      <w:pPr>
        <w:spacing w:after="400" w:line="400" w:lineRule="atLeast"/>
      </w:pPr>
      <w:r>
        <w:rPr>
          <w:b/>
        </w:rPr>
        <w:t>(二) 关键支撑与压力位研判</w:t>
      </w:r>
    </w:p>
    <w:p w14:paraId="6182AC13">
      <w:pPr>
        <w:spacing w:after="400" w:line="400" w:lineRule="atLeast"/>
      </w:pPr>
      <w:r>
        <w:t>基于斐波那契回撤、前期高低点、长期均线等多种技术工具，我们识别出未来1-2年内需要重点关注的关键技术水平。</w:t>
      </w:r>
    </w:p>
    <w:p w14:paraId="603822E9">
      <w:pPr>
        <w:spacing w:after="400" w:line="400" w:lineRule="atLeast"/>
      </w:pPr>
      <w:r>
        <w:rPr>
          <w:b/>
        </w:rPr>
        <w:t>图表四：关键支撑与压力位汇总及其依据表</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59"/>
      </w:tblGrid>
      <w:tr w14:paraId="2F6F3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2E724405">
            <w:pPr>
              <w:spacing w:after="400" w:line="400" w:lineRule="exact"/>
              <w:jc w:val="left"/>
            </w:pPr>
            <w:r>
              <w:rPr>
                <w:b/>
              </w:rPr>
              <w:t>类型</w:t>
            </w:r>
          </w:p>
        </w:tc>
        <w:tc>
          <w:tcPr>
            <w:tcW w:w="1659" w:type="dxa"/>
          </w:tcPr>
          <w:p w14:paraId="04AA1922">
            <w:pPr>
              <w:spacing w:after="400" w:line="400" w:lineRule="exact"/>
              <w:jc w:val="left"/>
            </w:pPr>
            <w:r>
              <w:rPr>
                <w:b/>
              </w:rPr>
              <w:t>价格水平 (美元/盎司)</w:t>
            </w:r>
          </w:p>
        </w:tc>
        <w:tc>
          <w:tcPr>
            <w:tcW w:w="1659" w:type="dxa"/>
          </w:tcPr>
          <w:p w14:paraId="729DEF4F">
            <w:pPr>
              <w:spacing w:after="400" w:line="400" w:lineRule="exact"/>
              <w:jc w:val="left"/>
            </w:pPr>
            <w:r>
              <w:rPr>
                <w:b/>
              </w:rPr>
              <w:t>技术依据</w:t>
            </w:r>
          </w:p>
        </w:tc>
        <w:tc>
          <w:tcPr>
            <w:tcW w:w="1659" w:type="dxa"/>
          </w:tcPr>
          <w:p w14:paraId="2A57D0F9">
            <w:pPr>
              <w:spacing w:after="400" w:line="400" w:lineRule="exact"/>
              <w:jc w:val="left"/>
            </w:pPr>
            <w:r>
              <w:rPr>
                <w:b/>
              </w:rPr>
              <w:t>基本面情景对应</w:t>
            </w:r>
          </w:p>
        </w:tc>
        <w:tc>
          <w:tcPr>
            <w:tcW w:w="1659" w:type="dxa"/>
          </w:tcPr>
          <w:p w14:paraId="46064714">
            <w:pPr>
              <w:spacing w:after="400" w:line="400" w:lineRule="exact"/>
              <w:jc w:val="left"/>
            </w:pPr>
            <w:r>
              <w:rPr>
                <w:b/>
              </w:rPr>
              <w:t>有效性前提条件</w:t>
            </w:r>
          </w:p>
        </w:tc>
      </w:tr>
      <w:tr w14:paraId="557DB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4EA52C40">
            <w:pPr>
              <w:spacing w:after="400" w:line="400" w:lineRule="exact"/>
              <w:jc w:val="left"/>
            </w:pPr>
            <w:r>
              <w:rPr>
                <w:b/>
              </w:rPr>
              <w:t>第一支撑位 (S1)</w:t>
            </w:r>
          </w:p>
        </w:tc>
        <w:tc>
          <w:tcPr>
            <w:tcW w:w="1659" w:type="dxa"/>
          </w:tcPr>
          <w:p w14:paraId="5EFC9606">
            <w:pPr>
              <w:spacing w:after="400" w:line="400" w:lineRule="exact"/>
              <w:jc w:val="left"/>
            </w:pPr>
            <w:r>
              <w:rPr>
                <w:b/>
              </w:rPr>
              <w:t>2380 - 2400</w:t>
            </w:r>
          </w:p>
        </w:tc>
        <w:tc>
          <w:tcPr>
            <w:tcW w:w="1659" w:type="dxa"/>
          </w:tcPr>
          <w:p w14:paraId="46710472">
            <w:pPr>
              <w:spacing w:after="400" w:line="400" w:lineRule="exact"/>
              <w:jc w:val="left"/>
            </w:pPr>
            <w:r>
              <w:t>2025年下半年盘整平台下沿；50日移动平均线</w:t>
            </w:r>
          </w:p>
        </w:tc>
        <w:tc>
          <w:tcPr>
            <w:tcW w:w="1659" w:type="dxa"/>
          </w:tcPr>
          <w:p w14:paraId="42A45AD4">
            <w:pPr>
              <w:spacing w:after="400" w:line="400" w:lineRule="exact"/>
              <w:jc w:val="left"/>
            </w:pPr>
            <w:r>
              <w:t>基准情景下的常规技术性回撤</w:t>
            </w:r>
          </w:p>
        </w:tc>
        <w:tc>
          <w:tcPr>
            <w:tcW w:w="1659" w:type="dxa"/>
          </w:tcPr>
          <w:p w14:paraId="5B231382">
            <w:pPr>
              <w:spacing w:after="400" w:line="400" w:lineRule="exact"/>
              <w:jc w:val="left"/>
            </w:pPr>
            <w:r>
              <w:t>市场未出现重大利空，美联储降息预期未被证伪</w:t>
            </w:r>
          </w:p>
        </w:tc>
      </w:tr>
      <w:tr w14:paraId="514FF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0255BA7C">
            <w:pPr>
              <w:spacing w:after="400" w:line="400" w:lineRule="exact"/>
              <w:jc w:val="left"/>
            </w:pPr>
            <w:r>
              <w:rPr>
                <w:b/>
              </w:rPr>
              <w:t>关键支撑枢纽 (S2)</w:t>
            </w:r>
          </w:p>
        </w:tc>
        <w:tc>
          <w:tcPr>
            <w:tcW w:w="1659" w:type="dxa"/>
          </w:tcPr>
          <w:p w14:paraId="004F46AA">
            <w:pPr>
              <w:spacing w:after="400" w:line="400" w:lineRule="exact"/>
              <w:jc w:val="left"/>
            </w:pPr>
            <w:r>
              <w:rPr>
                <w:b/>
              </w:rPr>
              <w:t>2280 - 2300</w:t>
            </w:r>
          </w:p>
        </w:tc>
        <w:tc>
          <w:tcPr>
            <w:tcW w:w="1659" w:type="dxa"/>
          </w:tcPr>
          <w:p w14:paraId="4BE8BC1D">
            <w:pPr>
              <w:spacing w:after="400" w:line="400" w:lineRule="exact"/>
              <w:jc w:val="left"/>
            </w:pPr>
            <w:r>
              <w:t>2024年历史高点突破后的顶底转换位；100日移动平均线</w:t>
            </w:r>
          </w:p>
        </w:tc>
        <w:tc>
          <w:tcPr>
            <w:tcW w:w="1659" w:type="dxa"/>
          </w:tcPr>
          <w:p w14:paraId="0B5F25BA">
            <w:pPr>
              <w:spacing w:after="400" w:line="400" w:lineRule="exact"/>
              <w:jc w:val="left"/>
            </w:pPr>
            <w:r>
              <w:t>基准情景下更深度的回调，或短暂的风险事件冲击</w:t>
            </w:r>
          </w:p>
        </w:tc>
        <w:tc>
          <w:tcPr>
            <w:tcW w:w="1659" w:type="dxa"/>
          </w:tcPr>
          <w:p w14:paraId="3478852F">
            <w:pPr>
              <w:spacing w:after="400" w:line="400" w:lineRule="exact"/>
              <w:jc w:val="left"/>
            </w:pPr>
            <w:r>
              <w:t>全球经济“软着陆”的宏观叙事未被打破</w:t>
            </w:r>
          </w:p>
        </w:tc>
      </w:tr>
      <w:tr w14:paraId="7649E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4E908411">
            <w:pPr>
              <w:spacing w:after="400" w:line="400" w:lineRule="exact"/>
              <w:jc w:val="left"/>
            </w:pPr>
            <w:r>
              <w:rPr>
                <w:b/>
              </w:rPr>
              <w:t>长期牛熊分界线 (S3)</w:t>
            </w:r>
          </w:p>
        </w:tc>
        <w:tc>
          <w:tcPr>
            <w:tcW w:w="1659" w:type="dxa"/>
          </w:tcPr>
          <w:p w14:paraId="1664DCD7">
            <w:pPr>
              <w:spacing w:after="400" w:line="400" w:lineRule="exact"/>
              <w:jc w:val="left"/>
            </w:pPr>
            <w:r>
              <w:rPr>
                <w:b/>
              </w:rPr>
              <w:t>2150 - 2200</w:t>
            </w:r>
          </w:p>
        </w:tc>
        <w:tc>
          <w:tcPr>
            <w:tcW w:w="1659" w:type="dxa"/>
          </w:tcPr>
          <w:p w14:paraId="4628BF8A">
            <w:pPr>
              <w:spacing w:after="400" w:line="400" w:lineRule="exact"/>
              <w:jc w:val="left"/>
            </w:pPr>
            <w:r>
              <w:t>长期上升通道下轨；200日移动平均线；2020年高点区域</w:t>
            </w:r>
          </w:p>
        </w:tc>
        <w:tc>
          <w:tcPr>
            <w:tcW w:w="1659" w:type="dxa"/>
          </w:tcPr>
          <w:p w14:paraId="1DB97F8B">
            <w:pPr>
              <w:spacing w:after="400" w:line="400" w:lineRule="exact"/>
              <w:jc w:val="left"/>
            </w:pPr>
            <w:r>
              <w:t>悲观情景下的流动性危机，或地缘政治局势显著缓和</w:t>
            </w:r>
          </w:p>
        </w:tc>
        <w:tc>
          <w:tcPr>
            <w:tcW w:w="1659" w:type="dxa"/>
          </w:tcPr>
          <w:p w14:paraId="00BF4C38">
            <w:pPr>
              <w:spacing w:after="400" w:line="400" w:lineRule="exact"/>
              <w:jc w:val="left"/>
            </w:pPr>
            <w:r>
              <w:t>央行购金的结构性逻辑未发生逆转</w:t>
            </w:r>
          </w:p>
        </w:tc>
      </w:tr>
      <w:tr w14:paraId="53663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6DF56503">
            <w:pPr>
              <w:spacing w:after="400" w:line="400" w:lineRule="exact"/>
              <w:jc w:val="left"/>
            </w:pPr>
            <w:r>
              <w:rPr>
                <w:b/>
              </w:rPr>
              <w:t>第一压力位 (R1)</w:t>
            </w:r>
          </w:p>
        </w:tc>
        <w:tc>
          <w:tcPr>
            <w:tcW w:w="1659" w:type="dxa"/>
          </w:tcPr>
          <w:p w14:paraId="162EB77B">
            <w:pPr>
              <w:spacing w:after="400" w:line="400" w:lineRule="exact"/>
              <w:jc w:val="left"/>
            </w:pPr>
            <w:r>
              <w:rPr>
                <w:b/>
              </w:rPr>
              <w:t>2650 - 2700</w:t>
            </w:r>
          </w:p>
        </w:tc>
        <w:tc>
          <w:tcPr>
            <w:tcW w:w="1659" w:type="dxa"/>
          </w:tcPr>
          <w:p w14:paraId="0E041306">
            <w:pPr>
              <w:spacing w:after="400" w:line="400" w:lineRule="exact"/>
              <w:jc w:val="left"/>
            </w:pPr>
            <w:r>
              <w:t>2025年创下的历史高点区域；整数关口心理阻力</w:t>
            </w:r>
          </w:p>
        </w:tc>
        <w:tc>
          <w:tcPr>
            <w:tcW w:w="1659" w:type="dxa"/>
          </w:tcPr>
          <w:p w14:paraId="53E56C18">
            <w:pPr>
              <w:spacing w:after="400" w:line="400" w:lineRule="exact"/>
              <w:jc w:val="left"/>
            </w:pPr>
            <w:r>
              <w:t>基准情景下，市场对降息周期的乐观预期发酵</w:t>
            </w:r>
          </w:p>
        </w:tc>
        <w:tc>
          <w:tcPr>
            <w:tcW w:w="1659" w:type="dxa"/>
          </w:tcPr>
          <w:p w14:paraId="2A64E68A">
            <w:pPr>
              <w:spacing w:after="400" w:line="400" w:lineRule="exact"/>
              <w:jc w:val="left"/>
            </w:pPr>
            <w:r>
              <w:t>美国通胀数据持续温和，支持美联储鸽派立场</w:t>
            </w:r>
          </w:p>
        </w:tc>
      </w:tr>
      <w:tr w14:paraId="6D286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46E532EB">
            <w:pPr>
              <w:spacing w:after="400" w:line="400" w:lineRule="exact"/>
              <w:jc w:val="left"/>
            </w:pPr>
            <w:r>
              <w:rPr>
                <w:b/>
              </w:rPr>
              <w:t>关键压力关卡 (R2)</w:t>
            </w:r>
          </w:p>
        </w:tc>
        <w:tc>
          <w:tcPr>
            <w:tcW w:w="1659" w:type="dxa"/>
          </w:tcPr>
          <w:p w14:paraId="1D649414">
            <w:pPr>
              <w:spacing w:after="400" w:line="400" w:lineRule="exact"/>
              <w:jc w:val="left"/>
            </w:pPr>
            <w:r>
              <w:rPr>
                <w:b/>
              </w:rPr>
              <w:t>2950 - 3000</w:t>
            </w:r>
          </w:p>
        </w:tc>
        <w:tc>
          <w:tcPr>
            <w:tcW w:w="1659" w:type="dxa"/>
          </w:tcPr>
          <w:p w14:paraId="5BE9A1DD">
            <w:pPr>
              <w:spacing w:after="400" w:line="400" w:lineRule="exact"/>
              <w:jc w:val="left"/>
            </w:pPr>
            <w:r>
              <w:t>长期上升通道上轨；整数关口强心理阻力；斐波那契扩展位</w:t>
            </w:r>
          </w:p>
        </w:tc>
        <w:tc>
          <w:tcPr>
            <w:tcW w:w="1659" w:type="dxa"/>
          </w:tcPr>
          <w:p w14:paraId="348F27EA">
            <w:pPr>
              <w:spacing w:after="400" w:line="400" w:lineRule="exact"/>
              <w:jc w:val="left"/>
            </w:pPr>
            <w:r>
              <w:t>乐观情景（滞胀）初步显现</w:t>
            </w:r>
          </w:p>
        </w:tc>
        <w:tc>
          <w:tcPr>
            <w:tcW w:w="1659" w:type="dxa"/>
          </w:tcPr>
          <w:p w14:paraId="0AEDC488">
            <w:pPr>
              <w:spacing w:after="400" w:line="400" w:lineRule="exact"/>
              <w:jc w:val="left"/>
            </w:pPr>
            <w:r>
              <w:t>全球通胀粘性被市场广泛确认，避险情绪升温</w:t>
            </w:r>
          </w:p>
        </w:tc>
      </w:tr>
      <w:tr w14:paraId="2C4B9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25C267FE">
            <w:pPr>
              <w:spacing w:after="400" w:line="400" w:lineRule="exact"/>
              <w:jc w:val="left"/>
            </w:pPr>
            <w:r>
              <w:rPr>
                <w:b/>
              </w:rPr>
              <w:t>长期目标位 (R3)</w:t>
            </w:r>
          </w:p>
        </w:tc>
        <w:tc>
          <w:tcPr>
            <w:tcW w:w="1659" w:type="dxa"/>
          </w:tcPr>
          <w:p w14:paraId="55849D4B">
            <w:pPr>
              <w:spacing w:after="400" w:line="400" w:lineRule="exact"/>
              <w:jc w:val="left"/>
            </w:pPr>
            <w:r>
              <w:rPr>
                <w:b/>
              </w:rPr>
              <w:t>3300 - 3500</w:t>
            </w:r>
          </w:p>
        </w:tc>
        <w:tc>
          <w:tcPr>
            <w:tcW w:w="1659" w:type="dxa"/>
          </w:tcPr>
          <w:p w14:paraId="475864E8">
            <w:pPr>
              <w:spacing w:after="400" w:line="400" w:lineRule="exact"/>
              <w:jc w:val="left"/>
            </w:pPr>
            <w:r>
              <w:t>基于历史波动率和周期的量度涨幅目标；长期斐波那契扩展位</w:t>
            </w:r>
          </w:p>
        </w:tc>
        <w:tc>
          <w:tcPr>
            <w:tcW w:w="1659" w:type="dxa"/>
          </w:tcPr>
          <w:p w14:paraId="0AB70DF3">
            <w:pPr>
              <w:spacing w:after="400" w:line="400" w:lineRule="exact"/>
              <w:jc w:val="left"/>
            </w:pPr>
            <w:r>
              <w:t>乐观情景（滞胀）全面兑现，并伴有重大地缘政治危机</w:t>
            </w:r>
          </w:p>
        </w:tc>
        <w:tc>
          <w:tcPr>
            <w:tcW w:w="1659" w:type="dxa"/>
          </w:tcPr>
          <w:p w14:paraId="48B0AE68">
            <w:pPr>
              <w:spacing w:after="400" w:line="400" w:lineRule="exact"/>
              <w:jc w:val="left"/>
            </w:pPr>
            <w:r>
              <w:t>全球货币体系发生显著动荡，黄金的货币属性被重估</w:t>
            </w:r>
          </w:p>
        </w:tc>
      </w:tr>
    </w:tbl>
    <w:p w14:paraId="180EE465">
      <w:pPr>
        <w:spacing w:before="400" w:after="400" w:line="400" w:lineRule="atLeast"/>
      </w:pPr>
      <w:r>
        <w:rPr>
          <w:b/>
          <w:sz w:val="30"/>
        </w:rPr>
        <w:t>七、 主要风险提示</w:t>
      </w:r>
    </w:p>
    <w:p w14:paraId="24A3EC23">
      <w:pPr>
        <w:spacing w:after="400" w:line="400" w:lineRule="atLeast"/>
      </w:pPr>
      <w:r>
        <w:t>尽管我们对黄金的中长期前景持建设性乐观态度，但投资者必须警惕以下可能导致金价承压的风险。</w:t>
      </w:r>
    </w:p>
    <w:p w14:paraId="2CD9C346">
      <w:pPr>
        <w:spacing w:after="400" w:line="400" w:lineRule="atLeast"/>
      </w:pPr>
      <w:r>
        <w:rPr>
          <w:b/>
        </w:rPr>
        <w:t>(一) 宏观经济风险</w:t>
      </w:r>
    </w:p>
    <w:p w14:paraId="0EE971A6">
      <w:pPr>
        <w:numPr>
          <w:ilvl w:val="-1"/>
          <w:numId w:val="2"/>
        </w:numPr>
        <w:spacing w:after="400" w:line="400" w:lineRule="atLeast"/>
      </w:pPr>
      <w:r>
        <w:rPr>
          <w:b/>
        </w:rPr>
        <w:t>全球通胀超预期快速回落</w:t>
      </w:r>
      <w:r>
        <w:t>：如果全球供应链修复顺利，劳动力市场降温，导致通胀以快于预期的速度回落至2%以下，将削弱黄金的抗通胀吸引力，并给予央行更长时间维持高利率的政策空间。</w:t>
      </w:r>
    </w:p>
    <w:p w14:paraId="465FA29C">
      <w:pPr>
        <w:numPr>
          <w:ilvl w:val="-1"/>
          <w:numId w:val="2"/>
        </w:numPr>
        <w:spacing w:after="400" w:line="400" w:lineRule="atLeast"/>
      </w:pPr>
      <w:r>
        <w:rPr>
          <w:b/>
        </w:rPr>
        <w:t>美国经济韧性超预期</w:t>
      </w:r>
      <w:r>
        <w:t>：如果美国经济持续强劲，迫使美联储推迟降息甚至重新考虑加息，将导致美元实际利率维持高位，对金价构成直接压制。</w:t>
      </w:r>
    </w:p>
    <w:p w14:paraId="150B345F">
      <w:pPr>
        <w:spacing w:after="400" w:line="400" w:lineRule="atLeast"/>
      </w:pPr>
      <w:r>
        <w:rPr>
          <w:b/>
        </w:rPr>
        <w:t>(二) 货币政策风险</w:t>
      </w:r>
    </w:p>
    <w:p w14:paraId="02DB7BC0">
      <w:pPr>
        <w:numPr>
          <w:ilvl w:val="-1"/>
          <w:numId w:val="2"/>
        </w:numPr>
        <w:spacing w:after="400" w:line="400" w:lineRule="atLeast"/>
      </w:pPr>
      <w:r>
        <w:rPr>
          <w:b/>
        </w:rPr>
        <w:t>主要央行鹰派超预期</w:t>
      </w:r>
      <w:r>
        <w:t>：若美联储、欧洲央行等为了彻底根除通胀而采取比市场预期更为强硬的紧缩立场，将对黄金造成严重冲击。</w:t>
      </w:r>
    </w:p>
    <w:p w14:paraId="641F0CC4">
      <w:pPr>
        <w:numPr>
          <w:ilvl w:val="-1"/>
          <w:numId w:val="2"/>
        </w:numPr>
        <w:spacing w:after="400" w:line="400" w:lineRule="atLeast"/>
      </w:pPr>
      <w:r>
        <w:rPr>
          <w:b/>
        </w:rPr>
        <w:t>央行数字货币（CBDC）的进展</w:t>
      </w:r>
      <w:r>
        <w:t>：长期来看，若主要国家的CBDC成功推出并被广泛接受，可能会在一定程度上挑战黄金作为无国界价值储存工具的地位，尽管我们认为短期内这种替代效应有限。</w:t>
      </w:r>
    </w:p>
    <w:p w14:paraId="12BF6F1E">
      <w:pPr>
        <w:spacing w:after="400" w:line="400" w:lineRule="atLeast"/>
      </w:pPr>
      <w:r>
        <w:rPr>
          <w:b/>
        </w:rPr>
        <w:t>(三) 结构性风险</w:t>
      </w:r>
    </w:p>
    <w:p w14:paraId="3E618C2C">
      <w:pPr>
        <w:numPr>
          <w:ilvl w:val="-1"/>
          <w:numId w:val="2"/>
        </w:numPr>
        <w:spacing w:after="400" w:line="400" w:lineRule="atLeast"/>
      </w:pPr>
      <w:r>
        <w:rPr>
          <w:b/>
        </w:rPr>
        <w:t>央行购金步伐显著放缓</w:t>
      </w:r>
      <w:r>
        <w:t>：如果新兴市场国家因经济压力、外汇政策调整等原因，大幅减少黄金购买量，将削弱当前支撑金价的核心结构性因素。</w:t>
      </w:r>
    </w:p>
    <w:p w14:paraId="490D403D">
      <w:pPr>
        <w:numPr>
          <w:ilvl w:val="-1"/>
          <w:numId w:val="2"/>
        </w:numPr>
        <w:spacing w:after="400" w:line="400" w:lineRule="atLeast"/>
      </w:pPr>
      <w:r>
        <w:rPr>
          <w:b/>
        </w:rPr>
        <w:t>地缘政治局势全面缓和</w:t>
      </w:r>
      <w:r>
        <w:t>：尽管概率较低，但如果主要地缘政治冲突（如俄乌、中东）得到有效解决，且大国关系出现实质性缓和，将导致黄金的避险溢价大幅收缩。</w:t>
      </w:r>
    </w:p>
    <w:p w14:paraId="0EFA9D6C">
      <w:pPr>
        <w:spacing w:after="400" w:line="400" w:lineRule="atLeast"/>
      </w:pPr>
      <w:r>
        <w:rPr>
          <w:b/>
          <w:sz w:val="30"/>
        </w:rPr>
        <w:t>八、 战略性配置建议</w:t>
      </w:r>
    </w:p>
    <w:p w14:paraId="2C1B0312">
      <w:pPr>
        <w:spacing w:after="400" w:line="400" w:lineRule="atLeast"/>
      </w:pPr>
      <w:r>
        <w:t>基于以上分析，我们提出以下战略性配置建议，旨在将黄金的投资价值提升至全球资产配置和宏观战略层面。</w:t>
      </w:r>
    </w:p>
    <w:p w14:paraId="61C4DC22">
      <w:pPr>
        <w:spacing w:after="400" w:line="400" w:lineRule="atLeast"/>
      </w:pPr>
      <w:r>
        <w:rPr>
          <w:b/>
        </w:rPr>
        <w:t>(一) 黄金在多元化投资组合中的角色演变</w:t>
      </w:r>
    </w:p>
    <w:p w14:paraId="5E055602">
      <w:pPr>
        <w:spacing w:after="400" w:line="400" w:lineRule="atLeast"/>
      </w:pPr>
      <w:r>
        <w:t>我们建议，投资者应将黄金视为</w:t>
      </w:r>
      <w:r>
        <w:rPr>
          <w:b/>
        </w:rPr>
        <w:t>核心战略资产 (Core Strategic Asset)</w:t>
      </w:r>
      <w:r>
        <w:t>，而不仅仅是一个战术性的避险工具。在传统的“60/40”股债组合中，加入5-15%的黄金配置，能够在不显著牺牲长期回报的前提下，有效平滑投资组合在不同宏观周期下的波动，尤其是在“滞胀”和“危机”情景下提供关键保护。相较于2010年代，黄金与股票、债券的负相关性在近年地缘政治频发和高通胀环境下得到强化，其多元化价值更为凸显。</w:t>
      </w:r>
    </w:p>
    <w:p w14:paraId="70D218A8">
      <w:pPr>
        <w:spacing w:after="400" w:line="400" w:lineRule="atLeast"/>
      </w:pPr>
      <w:r>
        <w:rPr>
          <w:b/>
        </w:rPr>
        <w:t>(二) 关联全球资产配置与货币体系演变</w:t>
      </w:r>
    </w:p>
    <w:p w14:paraId="439C3784">
      <w:pPr>
        <w:spacing w:after="400" w:line="400" w:lineRule="atLeast"/>
      </w:pPr>
      <w:r>
        <w:t>当前全球央行，特别是“全球南方”国家的购金行为，不仅是资产配置决策，更是对现有国际货币体系深层次不信任的体现。据</w:t>
      </w:r>
      <w:r>
        <w:rPr>
          <w:b/>
        </w:rPr>
        <w:t>IMF</w:t>
      </w:r>
      <w:r>
        <w:t>官方外汇储备构成（COFER）数据显示，美元在全球外汇储备中的占比已从本世纪初的70%以上降至60%以下。黄金储备的增加，可被视为各国为未来可能出现的一个更加多极化的货币体系所做的准备。</w:t>
      </w:r>
    </w:p>
    <w:p w14:paraId="7531FC41">
      <w:pPr>
        <w:spacing w:after="400" w:line="400" w:lineRule="atLeast"/>
      </w:pPr>
      <w:r>
        <w:t>因此，对于全球资产配置者而言，持有黄金不仅是对冲经济周期的风险，更是对冲</w:t>
      </w:r>
      <w:r>
        <w:rPr>
          <w:b/>
        </w:rPr>
        <w:t>国际货币体系演变这一长期结构性风险</w:t>
      </w:r>
      <w:r>
        <w:t>的战略选择。随着人民币、欧元等多极力量的崛起，以及潜在的商品支持型货币体系的讨论，黄金作为数千年来最终的价值尺度，其在未来全球金融架构中的潜在地位，为其提供了巨大的长期想象空间。</w:t>
      </w:r>
    </w:p>
    <w:p w14:paraId="1B3AB522">
      <w:pPr>
        <w:spacing w:after="400" w:line="400" w:lineRule="atLeast"/>
      </w:pPr>
      <w:r>
        <w:t>此外，随着**ESG（环境、社会和治理）**投资理念的普及，投资者也应关注黄金产业链的可持续发展问题。选择投资于那些遵守《负责任黄金开采原则》、致力于减少碳足迹和改善矿区治理的黄金生产商或相关金融产品，将是符合长期价值投资趋势的策略。</w:t>
      </w:r>
    </w:p>
    <w:p w14:paraId="35113F3E">
      <w:pPr>
        <w:spacing w:after="400" w:line="400" w:lineRule="atLeast"/>
      </w:pPr>
      <w:r>
        <w:rPr>
          <w:b/>
          <w:sz w:val="30"/>
        </w:rPr>
        <w:t>九、 结论</w:t>
      </w:r>
    </w:p>
    <w:p w14:paraId="787D6730">
      <w:pPr>
        <w:spacing w:after="400" w:line="400" w:lineRule="atLeast"/>
      </w:pPr>
      <w:r>
        <w:t>综上所述，我们正处在一个黄金定价范式发生深刻变迁的关键时期。单一依赖实际利率的分析框架已不足以捕捉市场的全部动态。由全球央行结构性购金、地缘政治格局重塑和对现有货币体系的长期疑虑所共同构成的“新叙事”，正在为黄金提供前所未有的结构性支撑。</w:t>
      </w:r>
    </w:p>
    <w:p w14:paraId="5B9DCC12">
      <w:pPr>
        <w:spacing w:after="400" w:line="400" w:lineRule="atLeast"/>
      </w:pPr>
      <w:r>
        <w:t>展望未来三年（2026-2028），在</w:t>
      </w:r>
      <w:r>
        <w:rPr>
          <w:b/>
        </w:rPr>
        <w:t>全球经济“软着陆”的基准情景</w:t>
      </w:r>
      <w:r>
        <w:t>下，黄金市场可能呈现区间震荡、重心温和上移的格局。然而，我们认为市场低估了**“滞胀重燃”的风险**，一旦该情景兑现，黄金将展现其作为终极避险和抗通胀资产的强大爆发力，驱动价格迈向新的历史高度。</w:t>
      </w:r>
    </w:p>
    <w:p w14:paraId="156A8A6C">
      <w:pPr>
        <w:spacing w:after="400" w:line="400" w:lineRule="atLeast"/>
      </w:pPr>
      <w:r>
        <w:t>从战略层面看，我们重申黄金作为多元化投资组合中</w:t>
      </w:r>
      <w:r>
        <w:rPr>
          <w:b/>
        </w:rPr>
        <w:t>不可或C缺的核心组成部分</w:t>
      </w:r>
      <w:r>
        <w:t>的地位。其价值已超越短期的价格波动，升维至对冲全球经济结构性转变、地缘政治不确定性以及国际货币体系长期演变风险的战略高度。建议长期投资者保持对黄金的战略性超配，并密切关注本报告中提示的关键宏观变量和技术水平，以驾驭未来充满机遇与挑战的黄金新周期。</w:t>
      </w:r>
    </w:p>
    <w:p w14:paraId="236A0E49">
      <w:pPr>
        <w:spacing w:after="400" w:line="400" w:lineRule="atLeast"/>
      </w:pPr>
      <w:r>
        <w:rPr>
          <w:b/>
          <w:sz w:val="30"/>
        </w:rPr>
        <w:t>核心结论可视化摘要 (Visualized Summary of Core Conclusions)</w:t>
      </w:r>
    </w:p>
    <w:p w14:paraId="213BB9EC">
      <w:r>
        <w:t>mindmap
</w:t>
      </w:r>
    </w:p>
    <w:p w14:paraId="1EF68DC9">
      <w:r>
        <w:t xml:space="preserve">  root((黄金市场展望 (2026-2028)))
</w:t>
      </w:r>
    </w:p>
    <w:p w14:paraId="4955C6D9">
      <w:r>
        <w:t xml:space="preserve">    ::icon(fa fa-bullseye)
</w:t>
      </w:r>
    </w:p>
    <w:p w14:paraId="630E8004">
      <w:r>
        <w:t xml:space="preserve">    &lt;br/&gt;
</w:t>
      </w:r>
    </w:p>
    <w:p w14:paraId="224755F6">
      <w:r>
        <w:t xml:space="preserve">    **未来趋势可能性**
</w:t>
      </w:r>
    </w:p>
    <w:p w14:paraId="5EAC3A6E">
      <w:r>
        <w:t xml:space="preserve">      ::icon(fa fa-chart-line)
</w:t>
      </w:r>
    </w:p>
    <w:p w14:paraId="6A6AB0EF">
      <w:r>
        <w:t xml:space="preserve">      **基准情景 (55%): 软着陆**
</w:t>
      </w:r>
    </w:p>
    <w:p w14:paraId="0DB1D464">
      <w:r>
        <w:t xml:space="preserve">        ::icon(fa fa-anchor)
</w:t>
      </w:r>
    </w:p>
    <w:p w14:paraId="7AC472CC">
      <w:r>
        <w:t xml:space="preserve">        - 描述: 通胀受控, 经济低速增长, 央行温和降息
</w:t>
      </w:r>
    </w:p>
    <w:p w14:paraId="2521450E">
      <w:r>
        <w:t xml:space="preserve">        - 金价表现: 宽幅震荡, 重心温和上移
</w:t>
      </w:r>
    </w:p>
    <w:p w14:paraId="26F3274C">
      <w:r>
        <w:t xml:space="preserve">        - 核心区间: 2300 - 2800 USD
</w:t>
      </w:r>
    </w:p>
    <w:p w14:paraId="590E5744">
      <w:r>
        <w:t xml:space="preserve">      **乐观情景 (30%): 滞胀重燃**
</w:t>
      </w:r>
    </w:p>
    <w:p w14:paraId="0C743976">
      <w:r>
        <w:t xml:space="preserve">        ::icon(fa fa-arrow-trend-up)
</w:t>
      </w:r>
    </w:p>
    <w:p w14:paraId="19D51307">
      <w:r>
        <w:t xml:space="preserve">        - 描述: 通胀粘性, 增长停滞, 避险情绪高涨
</w:t>
      </w:r>
    </w:p>
    <w:p w14:paraId="07098E8F">
      <w:r>
        <w:t xml:space="preserve">        - 金价表现: 突破性上涨, 冲击历史新高
</w:t>
      </w:r>
    </w:p>
    <w:p w14:paraId="4B05090A">
      <w:r>
        <w:t xml:space="preserve">        - 目标区域: &gt; 3000 USD
</w:t>
      </w:r>
    </w:p>
    <w:p w14:paraId="69162459">
      <w:r>
        <w:t xml:space="preserve">      **悲观情景 (15%): 深度衰退**
</w:t>
      </w:r>
    </w:p>
    <w:p w14:paraId="3C020696">
      <w:r>
        <w:t xml:space="preserve">        ::icon(fa fa-arrow-trend-down)
</w:t>
      </w:r>
    </w:p>
    <w:p w14:paraId="670730DD">
      <w:r>
        <w:t xml:space="preserve">        - 描述: 经济硬着陆, 通缩压力, 流动性危机
</w:t>
      </w:r>
    </w:p>
    <w:p w14:paraId="4E848541">
      <w:r>
        <w:t xml:space="preserve">        - 金价表现: 先涨后跌, 面临回调压力
</w:t>
      </w:r>
    </w:p>
    <w:p w14:paraId="76A34EA2">
      <w:r>
        <w:t xml:space="preserve">        - 风险: 类似2008年的无差别抛售
</w:t>
      </w:r>
    </w:p>
    <w:p w14:paraId="479F60C8">
      <w:r>
        <w:t xml:space="preserve">    &lt;br/&gt;
</w:t>
      </w:r>
    </w:p>
    <w:p w14:paraId="35F4F4D0">
      <w:r>
        <w:t xml:space="preserve">    **关键支撑枢纽**
</w:t>
      </w:r>
    </w:p>
    <w:p w14:paraId="7F28534D">
      <w:r>
        <w:t xml:space="preserve">      ::icon(fa fa-shield-halved)
</w:t>
      </w:r>
    </w:p>
    <w:p w14:paraId="1E5AB308">
      <w:r>
        <w:t xml:space="preserve">      **S1: 2380 - 2400**
</w:t>
      </w:r>
    </w:p>
    <w:p w14:paraId="107602ED">
      <w:r>
        <w:t xml:space="preserve">        - 技术依据: 2025年盘整平台
</w:t>
      </w:r>
    </w:p>
    <w:p w14:paraId="28146EB5">
      <w:r>
        <w:t xml:space="preserve">        - 含义: 常规技术性回撤位
</w:t>
      </w:r>
    </w:p>
    <w:p w14:paraId="704A3C57">
      <w:r>
        <w:t xml:space="preserve">      **S2: 2280 - 2300**
</w:t>
      </w:r>
    </w:p>
    <w:p w14:paraId="4E8DDFEB">
      <w:r>
        <w:t xml:space="preserve">        - 技术依据: 2024年高点顶底转换
</w:t>
      </w:r>
    </w:p>
    <w:p w14:paraId="49AEE1E9">
      <w:r>
        <w:t xml:space="preserve">        - 含义: 关键回调支撑区
</w:t>
      </w:r>
    </w:p>
    <w:p w14:paraId="6CAEC3D5">
      <w:r>
        <w:t xml:space="preserve">      **S3: 2150 - 2200**
</w:t>
      </w:r>
    </w:p>
    <w:p w14:paraId="15CD6B11">
      <w:r>
        <w:t xml:space="preserve">        - 技术依据: 长期上升通道下轨
</w:t>
      </w:r>
    </w:p>
    <w:p w14:paraId="5083DADA">
      <w:r>
        <w:t xml:space="preserve">        - 含义: 长期牛熊分界线
</w:t>
      </w:r>
    </w:p>
    <w:p w14:paraId="5A78CB82">
      <w:r>
        <w:t xml:space="preserve">    &lt;br/&gt;
</w:t>
      </w:r>
    </w:p>
    <w:p w14:paraId="388ABAD6">
      <w:r>
        <w:t xml:space="preserve">    **关键压力关卡**
</w:t>
      </w:r>
    </w:p>
    <w:p w14:paraId="1D6F8896">
      <w:r>
        <w:t xml:space="preserve">      ::icon(fa fa-dungeon)
</w:t>
      </w:r>
    </w:p>
    <w:p w14:paraId="53682C67">
      <w:r>
        <w:t xml:space="preserve">      **R1: 2650 - 2700**
</w:t>
      </w:r>
    </w:p>
    <w:p w14:paraId="65D46B88">
      <w:r>
        <w:t xml:space="preserve">        - 技术依据: 2025年历史高点
</w:t>
      </w:r>
    </w:p>
    <w:p w14:paraId="74221409">
      <w:r>
        <w:t xml:space="preserve">        - 含义: 前高阻力区域
</w:t>
      </w:r>
    </w:p>
    <w:p w14:paraId="69DE626B">
      <w:r>
        <w:t xml:space="preserve">      **R2: 2950 - 3000**
</w:t>
      </w:r>
    </w:p>
    <w:p w14:paraId="24F08979">
      <w:r>
        <w:t xml:space="preserve">        - 技术依据: 长期上升通道上轨
</w:t>
      </w:r>
    </w:p>
    <w:p w14:paraId="5B4C0FC4">
      <w:r>
        <w:t xml:space="preserve">        - 含义: 强心理与技术双重阻力
</w:t>
      </w:r>
    </w:p>
    <w:p w14:paraId="204F45B3">
      <w:r>
        <w:t xml:space="preserve">      **R3: 3300 - 3500**
</w:t>
      </w:r>
    </w:p>
    <w:p w14:paraId="14467D0B">
      <w:r>
        <w:t xml:space="preserve">        - 技术依据: 量度涨幅与斐波那契扩展
</w:t>
      </w:r>
    </w:p>
    <w:p w14:paraId="56F5890F">
      <w:r>
        <w:t xml:space="preserve">        - 含义: 乐观情景下的长期目标
</w:t>
      </w:r>
    </w:p>
    <w:p w14:paraId="09E35352">
      <w:r>
        <w:t>
</w:t>
      </w:r>
    </w:p>
    <w:p w14:paraId="05C95EF9">
      <w:pPr>
        <w:pStyle w:val="3"/>
        <w:spacing w:after="400" w:line="400" w:lineRule="atLeast"/>
      </w:pPr>
      <w:r>
        <w:t>文献来源</w:t>
      </w:r>
    </w:p>
    <w:p w14:paraId="2F4CD591">
      <w:pPr>
        <w:spacing w:after="200" w:line="400" w:lineRule="atLeast"/>
      </w:pPr>
      <w:r>
        <w:fldChar w:fldCharType="begin"/>
      </w:r>
      <w:r>
        <w:instrText xml:space="preserve"> HYPERLINK "https://doi.org/10.17265/1537-1506/2012.05.001" \h </w:instrText>
      </w:r>
      <w:r>
        <w:fldChar w:fldCharType="separate"/>
      </w:r>
      <w:r>
        <w:rPr>
          <w:rStyle w:val="13"/>
          <w:color w:val="0563C1"/>
        </w:rPr>
        <w:t>[20,68,75,78,201]. Price Dynamics of the World Gold Market： A Model Incorporating Inventories</w:t>
      </w:r>
      <w:r>
        <w:rPr>
          <w:rStyle w:val="13"/>
          <w:color w:val="0563C1"/>
        </w:rPr>
        <w:fldChar w:fldCharType="end"/>
      </w:r>
    </w:p>
    <w:p w14:paraId="39DF5013">
      <w:pPr>
        <w:spacing w:after="200" w:line="400" w:lineRule="atLeast"/>
      </w:pPr>
      <w:r>
        <w:fldChar w:fldCharType="begin"/>
      </w:r>
      <w:r>
        <w:instrText xml:space="preserve"> HYPERLINK "https://s.wanfangdata.com.cn/paper?q=%E9%BB%84%E9%87%91%E4%BB%B7%E6%A0%BC%E7%9A%84%E9%95%BF%E6%9C%9F%E5%86%B3%E5%AE%9A%E5%9B%A0%E7%B4%A0%E7%A8%B3%E5%AE%9A%E6%80%A7%E5%88%86%E6%9E%90" \h </w:instrText>
      </w:r>
      <w:r>
        <w:fldChar w:fldCharType="separate"/>
      </w:r>
      <w:r>
        <w:rPr>
          <w:rStyle w:val="13"/>
          <w:color w:val="0563C1"/>
        </w:rPr>
        <w:t>[42]. 黄金价格的长期决定因素稳定性分析</w:t>
      </w:r>
      <w:r>
        <w:rPr>
          <w:rStyle w:val="13"/>
          <w:color w:val="0563C1"/>
        </w:rPr>
        <w:fldChar w:fldCharType="end"/>
      </w:r>
    </w:p>
    <w:p w14:paraId="4F516645">
      <w:pPr>
        <w:spacing w:after="200" w:line="400" w:lineRule="atLeast"/>
      </w:pPr>
      <w:r>
        <w:fldChar w:fldCharType="begin"/>
      </w:r>
      <w:r>
        <w:instrText xml:space="preserve"> HYPERLINK "https://doi.org/10.1108/EB043380" \h </w:instrText>
      </w:r>
      <w:r>
        <w:fldChar w:fldCharType="separate"/>
      </w:r>
      <w:r>
        <w:rPr>
          <w:rStyle w:val="13"/>
          <w:color w:val="0563C1"/>
        </w:rPr>
        <w:t>[43]. Gold as an inflation hedge</w:t>
      </w:r>
      <w:r>
        <w:rPr>
          <w:rStyle w:val="13"/>
          <w:color w:val="0563C1"/>
        </w:rPr>
        <w:fldChar w:fldCharType="end"/>
      </w:r>
    </w:p>
    <w:p w14:paraId="29746459">
      <w:pPr>
        <w:spacing w:after="200" w:line="400" w:lineRule="atLeast"/>
      </w:pPr>
      <w:r>
        <w:fldChar w:fldCharType="begin"/>
      </w:r>
      <w:r>
        <w:instrText xml:space="preserve"> HYPERLINK "https://doi.org/10.1007/s00181-015-1053-5" \h </w:instrText>
      </w:r>
      <w:r>
        <w:fldChar w:fldCharType="separate"/>
      </w:r>
      <w:r>
        <w:rPr>
          <w:rStyle w:val="13"/>
          <w:color w:val="0563C1"/>
        </w:rPr>
        <w:t>[99]. Fluctuations of the real exchange rate, real interest rates, and the dynamics of the price of gold in a small open economy</w:t>
      </w:r>
      <w:r>
        <w:rPr>
          <w:rStyle w:val="13"/>
          <w:color w:val="0563C1"/>
        </w:rPr>
        <w:fldChar w:fldCharType="end"/>
      </w:r>
    </w:p>
    <w:p w14:paraId="3EE134C6">
      <w:pPr>
        <w:spacing w:after="400" w:line="400" w:lineRule="atLeast"/>
      </w:pPr>
      <w:r>
        <w:rPr>
          <w:i/>
        </w:rPr>
        <w:t>以下来源未被直接引用</w:t>
      </w:r>
    </w:p>
    <w:p w14:paraId="28F73AAF">
      <w:pPr>
        <w:spacing w:after="200" w:line="400" w:lineRule="atLeast"/>
      </w:pPr>
      <w:r>
        <w:fldChar w:fldCharType="begin"/>
      </w:r>
      <w:r>
        <w:instrText xml:space="preserve"> HYPERLINK "https://doi.org/10.2139/ssrn.1516838" \h </w:instrText>
      </w:r>
      <w:r>
        <w:fldChar w:fldCharType="separate"/>
      </w:r>
      <w:r>
        <w:rPr>
          <w:rStyle w:val="13"/>
          <w:color w:val="0563C1"/>
        </w:rPr>
        <w:t>Is Gold a Safe Haven? International Evidence</w:t>
      </w:r>
      <w:r>
        <w:rPr>
          <w:rStyle w:val="13"/>
          <w:color w:val="0563C1"/>
        </w:rPr>
        <w:fldChar w:fldCharType="end"/>
      </w:r>
    </w:p>
    <w:p w14:paraId="4052776F">
      <w:pPr>
        <w:spacing w:after="200" w:line="400" w:lineRule="atLeast"/>
      </w:pPr>
      <w:r>
        <w:fldChar w:fldCharType="begin"/>
      </w:r>
      <w:r>
        <w:instrText xml:space="preserve"> HYPERLINK "https://doi.org/10.1016/J.INTFIN.2004.07.002" \h </w:instrText>
      </w:r>
      <w:r>
        <w:fldChar w:fldCharType="separate"/>
      </w:r>
      <w:r>
        <w:rPr>
          <w:rStyle w:val="13"/>
          <w:color w:val="0563C1"/>
        </w:rPr>
        <w:t>Gold as a hedge against the dollar</w:t>
      </w:r>
      <w:r>
        <w:rPr>
          <w:rStyle w:val="13"/>
          <w:color w:val="0563C1"/>
        </w:rPr>
        <w:fldChar w:fldCharType="end"/>
      </w:r>
    </w:p>
    <w:p w14:paraId="5C37F765">
      <w:pPr>
        <w:spacing w:after="200" w:line="400" w:lineRule="atLeast"/>
      </w:pPr>
      <w:r>
        <w:fldChar w:fldCharType="begin"/>
      </w:r>
      <w:r>
        <w:instrText xml:space="preserve"> HYPERLINK "https://s.wanfangdata.com.cn/paper?q=%E9%BB%84%E9%87%91%E4%BB%B7%E6%A0%BC%E7%9A%84%E9%95%BF%E6%9C%9F%E5%86%B3%E5%AE%9A%E5%9B%A0%E7%B4%A0%E5%88%86%E6%9E%90" \h </w:instrText>
      </w:r>
      <w:r>
        <w:fldChar w:fldCharType="separate"/>
      </w:r>
      <w:r>
        <w:rPr>
          <w:rStyle w:val="13"/>
          <w:color w:val="0563C1"/>
        </w:rPr>
        <w:t>黄金价格的长期决定因素分析</w:t>
      </w:r>
      <w:r>
        <w:rPr>
          <w:rStyle w:val="13"/>
          <w:color w:val="0563C1"/>
        </w:rPr>
        <w:fldChar w:fldCharType="end"/>
      </w:r>
    </w:p>
    <w:p w14:paraId="4F3F86AF">
      <w:pPr>
        <w:spacing w:after="200" w:line="400" w:lineRule="atLeast"/>
      </w:pPr>
      <w:r>
        <w:fldChar w:fldCharType="begin"/>
      </w:r>
      <w:r>
        <w:instrText xml:space="preserve"> HYPERLINK "https://doi.org/10.47611/jsrhs.v12i3.5028" \h </w:instrText>
      </w:r>
      <w:r>
        <w:fldChar w:fldCharType="separate"/>
      </w:r>
      <w:r>
        <w:rPr>
          <w:rStyle w:val="13"/>
          <w:color w:val="0563C1"/>
        </w:rPr>
        <w:t>A Review of Gold Pricing: Real Interest Rate and U.S. Dollar Index</w:t>
      </w:r>
      <w:r>
        <w:rPr>
          <w:rStyle w:val="13"/>
          <w:color w:val="0563C1"/>
        </w:rPr>
        <w:fldChar w:fldCharType="end"/>
      </w:r>
    </w:p>
    <w:p w14:paraId="07AECA88">
      <w:pPr>
        <w:spacing w:after="200" w:line="400" w:lineRule="atLeast"/>
      </w:pPr>
      <w:r>
        <w:fldChar w:fldCharType="begin"/>
      </w:r>
      <w:r>
        <w:instrText xml:space="preserve"> HYPERLINK "https://doi.org/10.54097/ng2pzf55" \h </w:instrText>
      </w:r>
      <w:r>
        <w:fldChar w:fldCharType="separate"/>
      </w:r>
      <w:r>
        <w:rPr>
          <w:rStyle w:val="13"/>
          <w:color w:val="0563C1"/>
        </w:rPr>
        <w:t>Research on Gold Price Changes and Factors Under the Background of Fed Interest Rate Hike</w:t>
      </w:r>
      <w:r>
        <w:rPr>
          <w:rStyle w:val="13"/>
          <w:color w:val="0563C1"/>
        </w:rPr>
        <w:fldChar w:fldCharType="end"/>
      </w:r>
    </w:p>
    <w:p w14:paraId="59B9BE9A">
      <w:pPr>
        <w:pStyle w:val="3"/>
        <w:spacing w:after="400" w:line="400" w:lineRule="atLeast"/>
      </w:pPr>
      <w:r>
        <w:t>其他来源</w:t>
      </w:r>
    </w:p>
    <w:p w14:paraId="217AD205">
      <w:pPr>
        <w:spacing w:after="200" w:line="400" w:lineRule="atLeast"/>
      </w:pPr>
      <w:r>
        <w:fldChar w:fldCharType="begin"/>
      </w:r>
      <w:r>
        <w:instrText xml:space="preserve"> HYPERLINK "https://chl.cn/huilv/?gold-2010" \h </w:instrText>
      </w:r>
      <w:r>
        <w:fldChar w:fldCharType="separate"/>
      </w:r>
      <w:r>
        <w:rPr>
          <w:rStyle w:val="13"/>
          <w:color w:val="0563C1"/>
        </w:rPr>
        <w:t>[1,13,172,182,193,242]. 2010年黄金价格</w:t>
      </w:r>
      <w:r>
        <w:rPr>
          <w:rStyle w:val="13"/>
          <w:color w:val="0563C1"/>
        </w:rPr>
        <w:fldChar w:fldCharType="end"/>
      </w:r>
    </w:p>
    <w:p w14:paraId="719FC578">
      <w:pPr>
        <w:spacing w:after="200" w:line="400" w:lineRule="atLeast"/>
      </w:pPr>
      <w:r>
        <w:fldChar w:fldCharType="begin"/>
      </w:r>
      <w:r>
        <w:instrText xml:space="preserve"> HYPERLINK "https://www.statmuse.com/money/ask/monthly-gold-prices-in-2010#%3A~%3Atext%3DThe%20average%20closing%20price%20for%2Cup%2029.5%25%20for%20the%20year." \h </w:instrText>
      </w:r>
      <w:r>
        <w:fldChar w:fldCharType="separate"/>
      </w:r>
      <w:r>
        <w:rPr>
          <w:rStyle w:val="13"/>
          <w:color w:val="0563C1"/>
        </w:rPr>
        <w:t>[2,49,60,102,117,240]. Monthly Gold Prices In 2010 | StatMuse Money</w:t>
      </w:r>
      <w:r>
        <w:rPr>
          <w:rStyle w:val="13"/>
          <w:color w:val="0563C1"/>
        </w:rPr>
        <w:fldChar w:fldCharType="end"/>
      </w:r>
    </w:p>
    <w:p w14:paraId="13BD3700">
      <w:pPr>
        <w:spacing w:after="200" w:line="400" w:lineRule="atLeast"/>
      </w:pPr>
      <w:r>
        <w:fldChar w:fldCharType="begin"/>
      </w:r>
      <w:r>
        <w:instrText xml:space="preserve"> HYPERLINK "https://www.bilibili.com/read/cv44327617" \h </w:instrText>
      </w:r>
      <w:r>
        <w:fldChar w:fldCharType="separate"/>
      </w:r>
      <w:r>
        <w:rPr>
          <w:rStyle w:val="13"/>
          <w:color w:val="0563C1"/>
        </w:rPr>
        <w:t>[3,16]. 上海黄金交易所，现货黄金价格</w:t>
      </w:r>
      <w:r>
        <w:rPr>
          <w:rStyle w:val="13"/>
          <w:color w:val="0563C1"/>
        </w:rPr>
        <w:fldChar w:fldCharType="end"/>
      </w:r>
    </w:p>
    <w:p w14:paraId="4F3357CE">
      <w:pPr>
        <w:spacing w:after="200" w:line="400" w:lineRule="atLeast"/>
      </w:pPr>
      <w:r>
        <w:fldChar w:fldCharType="begin"/>
      </w:r>
      <w:r>
        <w:instrText xml:space="preserve"> HYPERLINK "https://blog.syzgroup.com/hubfs/Weekly%20Global%20Letter_28.06.2025_v3.pdf?hsLang=en" \h </w:instrText>
      </w:r>
      <w:r>
        <w:fldChar w:fldCharType="separate"/>
      </w:r>
      <w:r>
        <w:rPr>
          <w:rStyle w:val="13"/>
          <w:color w:val="0563C1"/>
        </w:rPr>
        <w:t>[4,189]. #GLOBALMARKETS WEEKLY WRAP-UP</w:t>
      </w:r>
      <w:r>
        <w:rPr>
          <w:rStyle w:val="13"/>
          <w:color w:val="0563C1"/>
        </w:rPr>
        <w:fldChar w:fldCharType="end"/>
      </w:r>
    </w:p>
    <w:p w14:paraId="1D41A0C7">
      <w:pPr>
        <w:spacing w:after="200" w:line="400" w:lineRule="atLeast"/>
      </w:pPr>
      <w:r>
        <w:fldChar w:fldCharType="begin"/>
      </w:r>
      <w:r>
        <w:instrText xml:space="preserve"> HYPERLINK "https://chl.cn/huilv/?gold-2025-10" \h </w:instrText>
      </w:r>
      <w:r>
        <w:fldChar w:fldCharType="separate"/>
      </w:r>
      <w:r>
        <w:rPr>
          <w:rStyle w:val="13"/>
          <w:color w:val="0563C1"/>
        </w:rPr>
        <w:t>[5,14,195]. 2025年10月黄金价格</w:t>
      </w:r>
      <w:r>
        <w:rPr>
          <w:rStyle w:val="13"/>
          <w:color w:val="0563C1"/>
        </w:rPr>
        <w:fldChar w:fldCharType="end"/>
      </w:r>
    </w:p>
    <w:p w14:paraId="726CE158">
      <w:pPr>
        <w:spacing w:after="200" w:line="400" w:lineRule="atLeast"/>
      </w:pPr>
      <w:r>
        <w:fldChar w:fldCharType="begin"/>
      </w:r>
      <w:r>
        <w:instrText xml:space="preserve"> HYPERLINK "https://www.statmuse.com/money/ask/gold-price-per-ounce-last-10-years" \h </w:instrText>
      </w:r>
      <w:r>
        <w:fldChar w:fldCharType="separate"/>
      </w:r>
      <w:r>
        <w:rPr>
          <w:rStyle w:val="13"/>
          <w:color w:val="0563C1"/>
        </w:rPr>
        <w:t>[6,10,176,184]. Gold Price Per Ounce Last 10 Years | StatMuse Money</w:t>
      </w:r>
      <w:r>
        <w:rPr>
          <w:rStyle w:val="13"/>
          <w:color w:val="0563C1"/>
        </w:rPr>
        <w:fldChar w:fldCharType="end"/>
      </w:r>
    </w:p>
    <w:p w14:paraId="59793907">
      <w:pPr>
        <w:spacing w:after="200" w:line="400" w:lineRule="atLeast"/>
      </w:pPr>
      <w:r>
        <w:fldChar w:fldCharType="begin"/>
      </w:r>
      <w:r>
        <w:instrText xml:space="preserve"> HYPERLINK "https://www.monacoasset.com/wp-content/uploads/2021/03/MAM-Insight-No.-9.pdf" \h </w:instrText>
      </w:r>
      <w:r>
        <w:fldChar w:fldCharType="separate"/>
      </w:r>
      <w:r>
        <w:rPr>
          <w:rStyle w:val="13"/>
          <w:color w:val="0563C1"/>
        </w:rPr>
        <w:t>[7,180]. Commodities - Early Outlook</w:t>
      </w:r>
      <w:r>
        <w:rPr>
          <w:rStyle w:val="13"/>
          <w:color w:val="0563C1"/>
        </w:rPr>
        <w:fldChar w:fldCharType="end"/>
      </w:r>
    </w:p>
    <w:p w14:paraId="6B414092">
      <w:pPr>
        <w:spacing w:after="200" w:line="400" w:lineRule="atLeast"/>
      </w:pPr>
      <w:r>
        <w:fldChar w:fldCharType="begin"/>
      </w:r>
      <w:r>
        <w:instrText xml:space="preserve"> HYPERLINK "https://www.statmuse.com/money/ask/gold-price-from-2010-to-2024#%3A~%3Atext%3DThe%20closing%20price%20for%20gold%2Cup%20139.1%25%20in%20that%20time." \h </w:instrText>
      </w:r>
      <w:r>
        <w:fldChar w:fldCharType="separate"/>
      </w:r>
      <w:r>
        <w:rPr>
          <w:rStyle w:val="13"/>
          <w:color w:val="0563C1"/>
        </w:rPr>
        <w:t>[8,181,239,250]. Gold Price From 2010 To 2024 | StatMuse Money</w:t>
      </w:r>
      <w:r>
        <w:rPr>
          <w:rStyle w:val="13"/>
          <w:color w:val="0563C1"/>
        </w:rPr>
        <w:fldChar w:fldCharType="end"/>
      </w:r>
    </w:p>
    <w:p w14:paraId="0EFB7128">
      <w:pPr>
        <w:spacing w:after="200" w:line="400" w:lineRule="atLeast"/>
      </w:pPr>
      <w:r>
        <w:fldChar w:fldCharType="begin"/>
      </w:r>
      <w:r>
        <w:instrText xml:space="preserve"> HYPERLINK "http://www.timeless.com.hk/en/attachment/circular/GLN20120412004.pdf" \h </w:instrText>
      </w:r>
      <w:r>
        <w:fldChar w:fldCharType="separate"/>
      </w:r>
      <w:r>
        <w:rPr>
          <w:rStyle w:val="13"/>
          <w:color w:val="0563C1"/>
        </w:rPr>
        <w:t>[9,46,47,103,104,121,173,177,185,192,196]. VERY SUBSTANTIAL ACQUISITION IN RELATION TO A 51% EQUITY INTEREST IN GOFFERS MANAGEMENT LIMITED</w:t>
      </w:r>
      <w:r>
        <w:rPr>
          <w:rStyle w:val="13"/>
          <w:color w:val="0563C1"/>
        </w:rPr>
        <w:fldChar w:fldCharType="end"/>
      </w:r>
    </w:p>
    <w:p w14:paraId="2F9CD061">
      <w:pPr>
        <w:spacing w:after="200" w:line="400" w:lineRule="atLeast"/>
      </w:pPr>
      <w:r>
        <w:fldChar w:fldCharType="begin"/>
      </w:r>
      <w:r>
        <w:instrText xml:space="preserve"> HYPERLINK "https://www.statmuse.com/money/ask/gold-price-by-month-in-2025" \h </w:instrText>
      </w:r>
      <w:r>
        <w:fldChar w:fldCharType="separate"/>
      </w:r>
      <w:r>
        <w:rPr>
          <w:rStyle w:val="13"/>
          <w:color w:val="0563C1"/>
        </w:rPr>
        <w:t>[11]. Gold Price By Month In 2025 | StatMuse Money</w:t>
      </w:r>
      <w:r>
        <w:rPr>
          <w:rStyle w:val="13"/>
          <w:color w:val="0563C1"/>
        </w:rPr>
        <w:fldChar w:fldCharType="end"/>
      </w:r>
    </w:p>
    <w:p w14:paraId="23E7E09E">
      <w:pPr>
        <w:spacing w:after="200" w:line="400" w:lineRule="atLeast"/>
      </w:pPr>
      <w:r>
        <w:fldChar w:fldCharType="begin"/>
      </w:r>
      <w:r>
        <w:instrText xml:space="preserve"> HYPERLINK "https://www.statmuse.com/money/ask/gold-price-in-the-last-10-years" \h </w:instrText>
      </w:r>
      <w:r>
        <w:fldChar w:fldCharType="separate"/>
      </w:r>
      <w:r>
        <w:rPr>
          <w:rStyle w:val="13"/>
          <w:color w:val="0563C1"/>
        </w:rPr>
        <w:t>[12]. Gold Price In The Last 10 Years | StatMuse Money</w:t>
      </w:r>
      <w:r>
        <w:rPr>
          <w:rStyle w:val="13"/>
          <w:color w:val="0563C1"/>
        </w:rPr>
        <w:fldChar w:fldCharType="end"/>
      </w:r>
    </w:p>
    <w:p w14:paraId="7FCDD23C">
      <w:pPr>
        <w:spacing w:after="200" w:line="400" w:lineRule="atLeast"/>
      </w:pPr>
      <w:r>
        <w:fldChar w:fldCharType="begin"/>
      </w:r>
      <w:r>
        <w:instrText xml:space="preserve"> HYPERLINK "https://baike.baidu.com/item/%E5%9B%BD%E9%99%85%E9%BB%84%E9%87%91/6819980#%3A~%3Atext%3D%E5%9B%BD%E9%99%85%E9%BB%84%E9%87%91_%E7%99%BE%E5%BA%A6%E7%99%BE%E7%A7%91%26text%3D%E5%9B%BD%E9%99%85%E9%BB%84%E9%87%91%EF%BC%8C%E4%BA%A6%E7%A7%B0%E7%8E%B0%E8%B4%A7%2C%E9%A3%8E%E9%99%A9%E7%AE%A1%E7%90%86%E7%AD%96%E7%95%A5%E5%BA%94%E5%AF%B9%E6%B3%A2%E5%8A%A8%E3%80%82" \h </w:instrText>
      </w:r>
      <w:r>
        <w:fldChar w:fldCharType="separate"/>
      </w:r>
      <w:r>
        <w:rPr>
          <w:rStyle w:val="13"/>
          <w:color w:val="0563C1"/>
        </w:rPr>
        <w:t>[15]. 国际黄金</w:t>
      </w:r>
      <w:r>
        <w:rPr>
          <w:rStyle w:val="13"/>
          <w:color w:val="0563C1"/>
        </w:rPr>
        <w:fldChar w:fldCharType="end"/>
      </w:r>
    </w:p>
    <w:p w14:paraId="63AC8A07">
      <w:pPr>
        <w:spacing w:after="200" w:line="400" w:lineRule="atLeast"/>
      </w:pPr>
      <w:r>
        <w:fldChar w:fldCharType="begin"/>
      </w:r>
      <w:r>
        <w:instrText xml:space="preserve"> HYPERLINK "https://gem-a.com/images/Documents/JoG/2014/JoG-34-3-LR.pdf" \h </w:instrText>
      </w:r>
      <w:r>
        <w:fldChar w:fldCharType="separate"/>
      </w:r>
      <w:r>
        <w:rPr>
          <w:rStyle w:val="13"/>
          <w:color w:val="0563C1"/>
        </w:rPr>
        <w:t>[17,66,69,197,210]. The Journal of Gemmology</w:t>
      </w:r>
      <w:r>
        <w:rPr>
          <w:rStyle w:val="13"/>
          <w:color w:val="0563C1"/>
        </w:rPr>
        <w:fldChar w:fldCharType="end"/>
      </w:r>
    </w:p>
    <w:p w14:paraId="72EF9D4A">
      <w:pPr>
        <w:spacing w:after="200" w:line="400" w:lineRule="atLeast"/>
      </w:pPr>
      <w:r>
        <w:fldChar w:fldCharType="begin"/>
      </w:r>
      <w:r>
        <w:instrText xml:space="preserve"> HYPERLINK "https://www.macroxx.ai/p/world-gold-council-report" \h </w:instrText>
      </w:r>
      <w:r>
        <w:fldChar w:fldCharType="separate"/>
      </w:r>
      <w:r>
        <w:rPr>
          <w:rStyle w:val="13"/>
          <w:color w:val="0563C1"/>
        </w:rPr>
        <w:t>[18,80,85,198]. World Gold Council Report</w:t>
      </w:r>
      <w:r>
        <w:rPr>
          <w:rStyle w:val="13"/>
          <w:color w:val="0563C1"/>
        </w:rPr>
        <w:fldChar w:fldCharType="end"/>
      </w:r>
    </w:p>
    <w:p w14:paraId="3586C661">
      <w:pPr>
        <w:spacing w:after="200" w:line="400" w:lineRule="atLeast"/>
      </w:pPr>
      <w:r>
        <w:fldChar w:fldCharType="begin"/>
      </w:r>
      <w:r>
        <w:instrText xml:space="preserve"> HYPERLINK "https://files.metaso.cn/api/public-file/preview?fileName=8689584064878682112.pdf" \h </w:instrText>
      </w:r>
      <w:r>
        <w:fldChar w:fldCharType="separate"/>
      </w:r>
      <w:r>
        <w:rPr>
          <w:rStyle w:val="13"/>
          <w:color w:val="0563C1"/>
        </w:rPr>
        <w:t>[19,25,29,35,77,83,200,209,277]. Exploring the Viability of Gold Jewelry as a Diversifying and Safe-Haven Investment</w:t>
      </w:r>
      <w:r>
        <w:rPr>
          <w:rStyle w:val="13"/>
          <w:color w:val="0563C1"/>
        </w:rPr>
        <w:fldChar w:fldCharType="end"/>
      </w:r>
    </w:p>
    <w:p w14:paraId="2B171D69">
      <w:pPr>
        <w:spacing w:after="200" w:line="400" w:lineRule="atLeast"/>
      </w:pPr>
      <w:r>
        <w:fldChar w:fldCharType="begin"/>
      </w:r>
      <w:r>
        <w:instrText xml:space="preserve"> HYPERLINK "https://pubs.usgs.gov/myb/vol1/2020/myb1-2020-gold.pdf" \h </w:instrText>
      </w:r>
      <w:r>
        <w:fldChar w:fldCharType="separate"/>
      </w:r>
      <w:r>
        <w:rPr>
          <w:rStyle w:val="13"/>
          <w:color w:val="0563C1"/>
        </w:rPr>
        <w:t>[21]. 2020 Minerals Yearbook GOLD [ADVANCE RELEASE]</w:t>
      </w:r>
      <w:r>
        <w:rPr>
          <w:rStyle w:val="13"/>
          <w:color w:val="0563C1"/>
        </w:rPr>
        <w:fldChar w:fldCharType="end"/>
      </w:r>
    </w:p>
    <w:p w14:paraId="2F31C9A7">
      <w:pPr>
        <w:spacing w:after="200" w:line="400" w:lineRule="atLeast"/>
      </w:pPr>
      <w:r>
        <w:fldChar w:fldCharType="begin"/>
      </w:r>
      <w:r>
        <w:instrText xml:space="preserve"> HYPERLINK "http://bullionworld.in/documents/reports/Gold%20utlook%20_2025.pdf" \h </w:instrText>
      </w:r>
      <w:r>
        <w:fldChar w:fldCharType="separate"/>
      </w:r>
      <w:r>
        <w:rPr>
          <w:rStyle w:val="13"/>
          <w:color w:val="0563C1"/>
        </w:rPr>
        <w:t>[22,30,34,70,72,79,86,199,272]. Gold Outlook 2025: Navigating rates, risk and growth</w:t>
      </w:r>
      <w:r>
        <w:rPr>
          <w:rStyle w:val="13"/>
          <w:color w:val="0563C1"/>
        </w:rPr>
        <w:fldChar w:fldCharType="end"/>
      </w:r>
    </w:p>
    <w:p w14:paraId="5C5B5231">
      <w:pPr>
        <w:spacing w:after="200" w:line="400" w:lineRule="atLeast"/>
      </w:pPr>
      <w:r>
        <w:fldChar w:fldCharType="begin"/>
      </w:r>
      <w:r>
        <w:instrText xml:space="preserve"> HYPERLINK "http://aristotle.citizendium.org/wiki/Gold" \h </w:instrText>
      </w:r>
      <w:r>
        <w:fldChar w:fldCharType="separate"/>
      </w:r>
      <w:r>
        <w:rPr>
          <w:rStyle w:val="13"/>
          <w:color w:val="0563C1"/>
        </w:rPr>
        <w:t>[23]. Gold</w:t>
      </w:r>
      <w:r>
        <w:rPr>
          <w:rStyle w:val="13"/>
          <w:color w:val="0563C1"/>
        </w:rPr>
        <w:fldChar w:fldCharType="end"/>
      </w:r>
    </w:p>
    <w:p w14:paraId="71164125">
      <w:pPr>
        <w:spacing w:after="200" w:line="400" w:lineRule="atLeast"/>
      </w:pPr>
      <w:r>
        <w:fldChar w:fldCharType="begin"/>
      </w:r>
      <w:r>
        <w:instrText xml:space="preserve"> HYPERLINK "https://files.metaso.cn/api/public-file/preview?fileName=8683732387944919040.pdf" \h </w:instrText>
      </w:r>
      <w:r>
        <w:fldChar w:fldCharType="separate"/>
      </w:r>
      <w:r>
        <w:rPr>
          <w:rStyle w:val="13"/>
          <w:color w:val="0563C1"/>
        </w:rPr>
        <w:t>[24,171,221,225,268]. Gold: Risk-on, Risk-off</w:t>
      </w:r>
      <w:r>
        <w:rPr>
          <w:rStyle w:val="13"/>
          <w:color w:val="0563C1"/>
        </w:rPr>
        <w:fldChar w:fldCharType="end"/>
      </w:r>
    </w:p>
    <w:p w14:paraId="3D78CFED">
      <w:pPr>
        <w:spacing w:after="200" w:line="400" w:lineRule="atLeast"/>
      </w:pPr>
      <w:r>
        <w:fldChar w:fldCharType="begin"/>
      </w:r>
      <w:r>
        <w:instrText xml:space="preserve"> HYPERLINK "https://www.statista.com/statistics/267360/gold-demand-worldwide-since-2002/?srsltid=AfmBOoon14KRZycmnv8C7PIithsJbWc2bryGFBD_KcSo3jx5aavzHAjs" \h </w:instrText>
      </w:r>
      <w:r>
        <w:fldChar w:fldCharType="separate"/>
      </w:r>
      <w:r>
        <w:rPr>
          <w:rStyle w:val="13"/>
          <w:color w:val="0563C1"/>
        </w:rPr>
        <w:t>[26,204,207]. Gold demand worldwide from 2010 to 2024 (in metric tons)</w:t>
      </w:r>
      <w:r>
        <w:rPr>
          <w:rStyle w:val="13"/>
          <w:color w:val="0563C1"/>
        </w:rPr>
        <w:fldChar w:fldCharType="end"/>
      </w:r>
    </w:p>
    <w:p w14:paraId="05C4E6AB">
      <w:pPr>
        <w:spacing w:after="200" w:line="400" w:lineRule="atLeast"/>
      </w:pPr>
      <w:r>
        <w:fldChar w:fldCharType="begin"/>
      </w:r>
      <w:r>
        <w:instrText xml:space="preserve"> HYPERLINK "https://www.statista.com/topics/1395/precious-metals/" \h </w:instrText>
      </w:r>
      <w:r>
        <w:fldChar w:fldCharType="separate"/>
      </w:r>
      <w:r>
        <w:rPr>
          <w:rStyle w:val="13"/>
          <w:color w:val="0563C1"/>
        </w:rPr>
        <w:t>[27,206]. Topic: Precious metals worldwide</w:t>
      </w:r>
      <w:r>
        <w:rPr>
          <w:rStyle w:val="13"/>
          <w:color w:val="0563C1"/>
        </w:rPr>
        <w:fldChar w:fldCharType="end"/>
      </w:r>
    </w:p>
    <w:p w14:paraId="7E579B8E">
      <w:pPr>
        <w:spacing w:after="200" w:line="400" w:lineRule="atLeast"/>
      </w:pPr>
      <w:r>
        <w:fldChar w:fldCharType="begin"/>
      </w:r>
      <w:r>
        <w:instrText xml:space="preserve"> HYPERLINK "https://files.metaso.cn/api/public-file/preview?fileName=8687033270925955072.pdf" \h </w:instrText>
      </w:r>
      <w:r>
        <w:fldChar w:fldCharType="separate"/>
      </w:r>
      <w:r>
        <w:rPr>
          <w:rStyle w:val="13"/>
          <w:color w:val="0563C1"/>
        </w:rPr>
        <w:t>[28]. Gold and Silver: Precious Metals On the Move</w:t>
      </w:r>
      <w:r>
        <w:rPr>
          <w:rStyle w:val="13"/>
          <w:color w:val="0563C1"/>
        </w:rPr>
        <w:fldChar w:fldCharType="end"/>
      </w:r>
    </w:p>
    <w:p w14:paraId="6FA33932">
      <w:pPr>
        <w:spacing w:after="200" w:line="400" w:lineRule="atLeast"/>
      </w:pPr>
      <w:r>
        <w:fldChar w:fldCharType="begin"/>
      </w:r>
      <w:r>
        <w:instrText xml:space="preserve"> HYPERLINK "https://www.iima.ac.in/sites/default/files/2025-06/IGPC%202025%20Annual%20Report%20%281%29.pdf" \h </w:instrText>
      </w:r>
      <w:r>
        <w:fldChar w:fldCharType="separate"/>
      </w:r>
      <w:r>
        <w:rPr>
          <w:rStyle w:val="13"/>
          <w:color w:val="0563C1"/>
        </w:rPr>
        <w:t>[31]. 10th Annual Report</w:t>
      </w:r>
      <w:r>
        <w:rPr>
          <w:rStyle w:val="13"/>
          <w:color w:val="0563C1"/>
        </w:rPr>
        <w:fldChar w:fldCharType="end"/>
      </w:r>
    </w:p>
    <w:p w14:paraId="22D4E9EE">
      <w:pPr>
        <w:spacing w:after="200" w:line="400" w:lineRule="atLeast"/>
      </w:pPr>
      <w:r>
        <w:fldChar w:fldCharType="begin"/>
      </w:r>
      <w:r>
        <w:instrText xml:space="preserve"> HYPERLINK "https://www.ssga.com/library-content/assets/pdf/apac/gold/2025/ja/monthly-gold-monitor-may-2025.pdf" \h </w:instrText>
      </w:r>
      <w:r>
        <w:fldChar w:fldCharType="separate"/>
      </w:r>
      <w:r>
        <w:rPr>
          <w:rStyle w:val="13"/>
          <w:color w:val="0563C1"/>
        </w:rPr>
        <w:t>[32]. Monthly Gold Monitor</w:t>
      </w:r>
      <w:r>
        <w:rPr>
          <w:rStyle w:val="13"/>
          <w:color w:val="0563C1"/>
        </w:rPr>
        <w:fldChar w:fldCharType="end"/>
      </w:r>
    </w:p>
    <w:p w14:paraId="675C6F33">
      <w:pPr>
        <w:spacing w:after="200" w:line="400" w:lineRule="atLeast"/>
      </w:pPr>
      <w:r>
        <w:fldChar w:fldCharType="begin"/>
      </w:r>
      <w:r>
        <w:instrText xml:space="preserve"> HYPERLINK "https://www.ssga.com/library-content/assets/pdf/apac/gold/2025/ja/monthly-gold-monitor-oct-2025.pdf" \h </w:instrText>
      </w:r>
      <w:r>
        <w:fldChar w:fldCharType="separate"/>
      </w:r>
      <w:r>
        <w:rPr>
          <w:rStyle w:val="13"/>
          <w:color w:val="0563C1"/>
        </w:rPr>
        <w:t>[33]. ゴールド月次モニター</w:t>
      </w:r>
      <w:r>
        <w:rPr>
          <w:rStyle w:val="13"/>
          <w:color w:val="0563C1"/>
        </w:rPr>
        <w:fldChar w:fldCharType="end"/>
      </w:r>
    </w:p>
    <w:p w14:paraId="0702A190">
      <w:pPr>
        <w:spacing w:after="200" w:line="400" w:lineRule="atLeast"/>
      </w:pPr>
      <w:r>
        <w:fldChar w:fldCharType="begin"/>
      </w:r>
      <w:r>
        <w:instrText xml:space="preserve"> HYPERLINK "https://www.kgieworld.sg/securities/resources/ck/files/industry-report/KGI%20Technical%20Strategy_Technical%20view%20of%20Crude%20oil%20and%20Gold%20%26%20Silver_KGI%20Singapore%2020200626.pdf" \h </w:instrText>
      </w:r>
      <w:r>
        <w:fldChar w:fldCharType="separate"/>
      </w:r>
      <w:r>
        <w:rPr>
          <w:rStyle w:val="13"/>
          <w:color w:val="0563C1"/>
        </w:rPr>
        <w:t>[36]. Technical Analysis Commodity - Singapore Crude oil; Precious metal</w:t>
      </w:r>
      <w:r>
        <w:rPr>
          <w:rStyle w:val="13"/>
          <w:color w:val="0563C1"/>
        </w:rPr>
        <w:fldChar w:fldCharType="end"/>
      </w:r>
    </w:p>
    <w:p w14:paraId="4EA36280">
      <w:pPr>
        <w:spacing w:after="200" w:line="400" w:lineRule="atLeast"/>
      </w:pPr>
      <w:r>
        <w:fldChar w:fldCharType="begin"/>
      </w:r>
      <w:r>
        <w:instrText xml:space="preserve"> HYPERLINK "https://www.rbcbluebay.com/globalassets/documents/us-fed-qt-and-its-implications-jan22.pdf" \h </w:instrText>
      </w:r>
      <w:r>
        <w:fldChar w:fldCharType="separate"/>
      </w:r>
      <w:r>
        <w:rPr>
          <w:rStyle w:val="13"/>
          <w:color w:val="0563C1"/>
        </w:rPr>
        <w:t>[37]. US Federal Reserve: Quantitative tightening and its implications</w:t>
      </w:r>
      <w:r>
        <w:rPr>
          <w:rStyle w:val="13"/>
          <w:color w:val="0563C1"/>
        </w:rPr>
        <w:fldChar w:fldCharType="end"/>
      </w:r>
    </w:p>
    <w:p w14:paraId="79E707EE">
      <w:pPr>
        <w:spacing w:after="200" w:line="400" w:lineRule="atLeast"/>
      </w:pPr>
      <w:r>
        <w:fldChar w:fldCharType="begin"/>
      </w:r>
      <w:r>
        <w:instrText xml:space="preserve"> HYPERLINK "https://mcusercontent.com/aa77c8c45f249fae43889b537/files/06d8cca2-862f-8056-d5a0-94b3474fb2bf/IGWT_Monthly_Gold_Compass_2025_10.pdf" \h </w:instrText>
      </w:r>
      <w:r>
        <w:fldChar w:fldCharType="separate"/>
      </w:r>
      <w:r>
        <w:rPr>
          <w:rStyle w:val="13"/>
          <w:color w:val="0563C1"/>
        </w:rPr>
        <w:t>[38,40]. Monthly Gold Compass October 2025</w:t>
      </w:r>
      <w:r>
        <w:rPr>
          <w:rStyle w:val="13"/>
          <w:color w:val="0563C1"/>
        </w:rPr>
        <w:fldChar w:fldCharType="end"/>
      </w:r>
    </w:p>
    <w:p w14:paraId="003917AD">
      <w:pPr>
        <w:spacing w:after="200" w:line="400" w:lineRule="atLeast"/>
      </w:pPr>
      <w:r>
        <w:fldChar w:fldCharType="begin"/>
      </w:r>
      <w:r>
        <w:instrText xml:space="preserve"> HYPERLINK "https://mkefactsettd.maybank-ke.com/PDFS/485616.pdf" \h </w:instrText>
      </w:r>
      <w:r>
        <w:fldChar w:fldCharType="separate"/>
      </w:r>
      <w:r>
        <w:rPr>
          <w:rStyle w:val="13"/>
          <w:color w:val="0563C1"/>
        </w:rPr>
        <w:t>[39]. Gold Breaks Out Higher</w:t>
      </w:r>
      <w:r>
        <w:rPr>
          <w:rStyle w:val="13"/>
          <w:color w:val="0563C1"/>
        </w:rPr>
        <w:fldChar w:fldCharType="end"/>
      </w:r>
    </w:p>
    <w:p w14:paraId="7A10E27C">
      <w:pPr>
        <w:spacing w:after="200" w:line="400" w:lineRule="atLeast"/>
      </w:pPr>
      <w:r>
        <w:fldChar w:fldCharType="begin"/>
      </w:r>
      <w:r>
        <w:instrText xml:space="preserve"> HYPERLINK "https://pdf.dfcfw.com/pdf/H3_AP202401191617730863_1.pdf" \h </w:instrText>
      </w:r>
      <w:r>
        <w:fldChar w:fldCharType="separate"/>
      </w:r>
      <w:r>
        <w:rPr>
          <w:rStyle w:val="13"/>
          <w:color w:val="0563C1"/>
        </w:rPr>
        <w:t>[41]. 平安私人银行2024年第一季度投资策略报告</w:t>
      </w:r>
      <w:r>
        <w:rPr>
          <w:rStyle w:val="13"/>
          <w:color w:val="0563C1"/>
        </w:rPr>
        <w:fldChar w:fldCharType="end"/>
      </w:r>
    </w:p>
    <w:p w14:paraId="775313D7">
      <w:pPr>
        <w:spacing w:after="200" w:line="400" w:lineRule="atLeast"/>
      </w:pPr>
      <w:r>
        <w:fldChar w:fldCharType="begin"/>
      </w:r>
      <w:r>
        <w:instrText xml:space="preserve"> HYPERLINK "https://bigquant.com/square/paper/a3e6d3c3-7ff0-4bd5-b26b-30d77aa26e5a" \h </w:instrText>
      </w:r>
      <w:r>
        <w:fldChar w:fldCharType="separate"/>
      </w:r>
      <w:r>
        <w:rPr>
          <w:rStyle w:val="13"/>
          <w:color w:val="0563C1"/>
        </w:rPr>
        <w:t>[44]. 宏观逻辑的量化验证：黄金的逻辑与估值模型构建</w:t>
      </w:r>
      <w:r>
        <w:rPr>
          <w:rStyle w:val="13"/>
          <w:color w:val="0563C1"/>
        </w:rPr>
        <w:fldChar w:fldCharType="end"/>
      </w:r>
    </w:p>
    <w:p w14:paraId="50CD5EC0">
      <w:pPr>
        <w:spacing w:after="200" w:line="400" w:lineRule="atLeast"/>
      </w:pPr>
      <w:r>
        <w:fldChar w:fldCharType="begin"/>
      </w:r>
      <w:r>
        <w:instrText xml:space="preserve"> HYPERLINK "https://goldbroker.com/charts/platinum-price/eur" \h </w:instrText>
      </w:r>
      <w:r>
        <w:fldChar w:fldCharType="separate"/>
      </w:r>
      <w:r>
        <w:rPr>
          <w:rStyle w:val="13"/>
          <w:color w:val="0563C1"/>
        </w:rPr>
        <w:t>[45,62]. Markets Closed</w:t>
      </w:r>
      <w:r>
        <w:rPr>
          <w:rStyle w:val="13"/>
          <w:color w:val="0563C1"/>
        </w:rPr>
        <w:fldChar w:fldCharType="end"/>
      </w:r>
    </w:p>
    <w:p w14:paraId="2A0EDA73">
      <w:pPr>
        <w:spacing w:after="200" w:line="400" w:lineRule="atLeast"/>
      </w:pPr>
      <w:r>
        <w:fldChar w:fldCharType="begin"/>
      </w:r>
      <w:r>
        <w:instrText xml:space="preserve"> HYPERLINK "https://www.annualreports.com/HostedData/AnnualReportArchive/z/zijin-mining-group-co-ltd_2010.pdf" \h </w:instrText>
      </w:r>
      <w:r>
        <w:fldChar w:fldCharType="separate"/>
      </w:r>
      <w:r>
        <w:rPr>
          <w:rStyle w:val="13"/>
          <w:color w:val="0563C1"/>
        </w:rPr>
        <w:t>[48,119,122,243]. Annual Report 2010</w:t>
      </w:r>
      <w:r>
        <w:rPr>
          <w:rStyle w:val="13"/>
          <w:color w:val="0563C1"/>
        </w:rPr>
        <w:fldChar w:fldCharType="end"/>
      </w:r>
    </w:p>
    <w:p w14:paraId="7A52F009">
      <w:pPr>
        <w:spacing w:after="200" w:line="400" w:lineRule="atLeast"/>
      </w:pPr>
      <w:r>
        <w:fldChar w:fldCharType="begin"/>
      </w:r>
      <w:r>
        <w:instrText xml:space="preserve"> HYPERLINK "https://www.statmuse.com/money/ask/gold-price-in-2010-per-ounce#%3A~%3Atext%3DThe%20closing%20price%20for%20gold%2Cup%2029.5%25%20for%20the%20year." \h </w:instrText>
      </w:r>
      <w:r>
        <w:fldChar w:fldCharType="separate"/>
      </w:r>
      <w:r>
        <w:rPr>
          <w:rStyle w:val="13"/>
          <w:color w:val="0563C1"/>
        </w:rPr>
        <w:t>[50,61,111,118,241,251]. Gold Price In 2010 Per Ounce | StatMuse Money</w:t>
      </w:r>
      <w:r>
        <w:rPr>
          <w:rStyle w:val="13"/>
          <w:color w:val="0563C1"/>
        </w:rPr>
        <w:fldChar w:fldCharType="end"/>
      </w:r>
    </w:p>
    <w:p w14:paraId="0E37A3B0">
      <w:pPr>
        <w:spacing w:after="200" w:line="400" w:lineRule="atLeast"/>
      </w:pPr>
      <w:r>
        <w:fldChar w:fldCharType="begin"/>
      </w:r>
      <w:r>
        <w:instrText xml:space="preserve"> HYPERLINK "https://www.statmuse.com/money/ask/gold-price-chart-from-2010-to-2025" \h </w:instrText>
      </w:r>
      <w:r>
        <w:fldChar w:fldCharType="separate"/>
      </w:r>
      <w:r>
        <w:rPr>
          <w:rStyle w:val="13"/>
          <w:color w:val="0563C1"/>
        </w:rPr>
        <w:t>[51,59,65,101,116,120,238,249]. Gold Price Chart From 2010 To 2025 | StatMuse Money</w:t>
      </w:r>
      <w:r>
        <w:rPr>
          <w:rStyle w:val="13"/>
          <w:color w:val="0563C1"/>
        </w:rPr>
        <w:fldChar w:fldCharType="end"/>
      </w:r>
    </w:p>
    <w:p w14:paraId="723D3CFD">
      <w:pPr>
        <w:spacing w:after="200" w:line="400" w:lineRule="atLeast"/>
      </w:pPr>
      <w:r>
        <w:fldChar w:fldCharType="begin"/>
      </w:r>
      <w:r>
        <w:instrText xml:space="preserve"> HYPERLINK "https://www.goldpricedata.com/en/" \h </w:instrText>
      </w:r>
      <w:r>
        <w:fldChar w:fldCharType="separate"/>
      </w:r>
      <w:r>
        <w:rPr>
          <w:rStyle w:val="13"/>
          <w:color w:val="0563C1"/>
        </w:rPr>
        <w:t>[52]. Gold Price USD: Ounce and Gram</w:t>
      </w:r>
      <w:r>
        <w:rPr>
          <w:rStyle w:val="13"/>
          <w:color w:val="0563C1"/>
        </w:rPr>
        <w:fldChar w:fldCharType="end"/>
      </w:r>
    </w:p>
    <w:p w14:paraId="4E7B8127">
      <w:pPr>
        <w:spacing w:after="200" w:line="400" w:lineRule="atLeast"/>
      </w:pPr>
      <w:r>
        <w:fldChar w:fldCharType="begin"/>
      </w:r>
      <w:r>
        <w:instrText xml:space="preserve"> HYPERLINK "https://reports.anglogoldashanti.com/24/download/AGA-20F24.pdf" \h </w:instrText>
      </w:r>
      <w:r>
        <w:fldChar w:fldCharType="separate"/>
      </w:r>
      <w:r>
        <w:rPr>
          <w:rStyle w:val="13"/>
          <w:color w:val="0563C1"/>
        </w:rPr>
        <w:t>[53,107,113]. FORM 20-F</w:t>
      </w:r>
      <w:r>
        <w:rPr>
          <w:rStyle w:val="13"/>
          <w:color w:val="0563C1"/>
        </w:rPr>
        <w:fldChar w:fldCharType="end"/>
      </w:r>
    </w:p>
    <w:p w14:paraId="28E5613F">
      <w:pPr>
        <w:spacing w:after="200" w:line="400" w:lineRule="atLeast"/>
      </w:pPr>
      <w:r>
        <w:fldChar w:fldCharType="begin"/>
      </w:r>
      <w:r>
        <w:instrText xml:space="preserve"> HYPERLINK "https://www.sedarplus.ca/csa-party/records/document.html?id=d0eda2239887b070190388f105b03ff0a1a59a23eb11cb29271486fa011aa6cb" \h </w:instrText>
      </w:r>
      <w:r>
        <w:fldChar w:fldCharType="separate"/>
      </w:r>
      <w:r>
        <w:rPr>
          <w:rStyle w:val="13"/>
          <w:color w:val="0563C1"/>
        </w:rPr>
        <w:t>[54,106]. Management's Discussion and Analysis</w:t>
      </w:r>
      <w:r>
        <w:rPr>
          <w:rStyle w:val="13"/>
          <w:color w:val="0563C1"/>
        </w:rPr>
        <w:fldChar w:fldCharType="end"/>
      </w:r>
    </w:p>
    <w:p w14:paraId="79E10704">
      <w:pPr>
        <w:spacing w:after="200" w:line="400" w:lineRule="atLeast"/>
      </w:pPr>
      <w:r>
        <w:fldChar w:fldCharType="begin"/>
      </w:r>
      <w:r>
        <w:instrText xml:space="preserve"> HYPERLINK "https://www.ssga.com/library-content/products/fund-docs/etfs/apac/monthly-gold-monitor-hk-sg.pdf" \h </w:instrText>
      </w:r>
      <w:r>
        <w:fldChar w:fldCharType="separate"/>
      </w:r>
      <w:r>
        <w:rPr>
          <w:rStyle w:val="13"/>
          <w:color w:val="0563C1"/>
        </w:rPr>
        <w:t>[55,114,246,266,269]. Monthly Gold Monitor</w:t>
      </w:r>
      <w:r>
        <w:rPr>
          <w:rStyle w:val="13"/>
          <w:color w:val="0563C1"/>
        </w:rPr>
        <w:fldChar w:fldCharType="end"/>
      </w:r>
    </w:p>
    <w:p w14:paraId="272EEB68">
      <w:pPr>
        <w:spacing w:after="200" w:line="400" w:lineRule="atLeast"/>
      </w:pPr>
      <w:r>
        <w:fldChar w:fldCharType="begin"/>
      </w:r>
      <w:r>
        <w:instrText xml:space="preserve"> HYPERLINK "https://files.metaso.cn/api/public-file/preview?fileName=8699952283353628672.pdf" \h </w:instrText>
      </w:r>
      <w:r>
        <w:fldChar w:fldCharType="separate"/>
      </w:r>
      <w:r>
        <w:rPr>
          <w:rStyle w:val="13"/>
          <w:color w:val="0563C1"/>
        </w:rPr>
        <w:t>[56,58]. 2026 Global Strategy Conference Investor Survey Results</w:t>
      </w:r>
      <w:r>
        <w:rPr>
          <w:rStyle w:val="13"/>
          <w:color w:val="0563C1"/>
        </w:rPr>
        <w:fldChar w:fldCharType="end"/>
      </w:r>
    </w:p>
    <w:p w14:paraId="1D59F5AD">
      <w:pPr>
        <w:spacing w:after="200" w:line="400" w:lineRule="atLeast"/>
      </w:pPr>
      <w:r>
        <w:fldChar w:fldCharType="begin"/>
      </w:r>
      <w:r>
        <w:instrText xml:space="preserve"> HYPERLINK "https://www.statista.com/statistics/673513/monthly-prices-for-gold-worldwide/?srsltid=AfmBOorFLE7pbonSrMKE-A8Pdvp2nZm54y5UcPbnXia61P3OUioTPLoP" \h </w:instrText>
      </w:r>
      <w:r>
        <w:fldChar w:fldCharType="separate"/>
      </w:r>
      <w:r>
        <w:rPr>
          <w:rStyle w:val="13"/>
          <w:color w:val="0563C1"/>
        </w:rPr>
        <w:t>[57,64,109,115,245]. Monthly prices for gold worldwide from January 2014 to May 2025 (in nominal U.S. dollars per troy ounce)</w:t>
      </w:r>
      <w:r>
        <w:rPr>
          <w:rStyle w:val="13"/>
          <w:color w:val="0563C1"/>
        </w:rPr>
        <w:fldChar w:fldCharType="end"/>
      </w:r>
    </w:p>
    <w:p w14:paraId="5DC894C4">
      <w:pPr>
        <w:spacing w:after="200" w:line="400" w:lineRule="atLeast"/>
      </w:pPr>
      <w:r>
        <w:fldChar w:fldCharType="begin"/>
      </w:r>
      <w:r>
        <w:instrText xml:space="preserve"> HYPERLINK "https://www.bcrp.gob.pe/docs/Publicaciones/Memoria/2010/Memoria-BCRP-2010.pdf" \h </w:instrText>
      </w:r>
      <w:r>
        <w:fldChar w:fldCharType="separate"/>
      </w:r>
      <w:r>
        <w:rPr>
          <w:rStyle w:val="13"/>
          <w:color w:val="0563C1"/>
        </w:rPr>
        <w:t>[63,105]. MEMORIA 2010</w:t>
      </w:r>
      <w:r>
        <w:rPr>
          <w:rStyle w:val="13"/>
          <w:color w:val="0563C1"/>
        </w:rPr>
        <w:fldChar w:fldCharType="end"/>
      </w:r>
    </w:p>
    <w:p w14:paraId="0454EA09">
      <w:pPr>
        <w:spacing w:after="200" w:line="400" w:lineRule="atLeast"/>
      </w:pPr>
      <w:r>
        <w:fldChar w:fldCharType="begin"/>
      </w:r>
      <w:r>
        <w:instrText xml:space="preserve"> HYPERLINK "https://www.bullionstar.com/gold-university/world-gold-council" \h </w:instrText>
      </w:r>
      <w:r>
        <w:fldChar w:fldCharType="separate"/>
      </w:r>
      <w:r>
        <w:rPr>
          <w:rStyle w:val="13"/>
          <w:color w:val="0563C1"/>
        </w:rPr>
        <w:t>[67,74,84,87]. World Gold Council</w:t>
      </w:r>
      <w:r>
        <w:rPr>
          <w:rStyle w:val="13"/>
          <w:color w:val="0563C1"/>
        </w:rPr>
        <w:fldChar w:fldCharType="end"/>
      </w:r>
    </w:p>
    <w:p w14:paraId="402E3836">
      <w:pPr>
        <w:spacing w:after="200" w:line="400" w:lineRule="atLeast"/>
      </w:pPr>
      <w:r>
        <w:fldChar w:fldCharType="begin"/>
      </w:r>
      <w:r>
        <w:instrText xml:space="preserve"> HYPERLINK "https://www.crown.co.za/latest-news/modern-mining-latest-news/32899-metals-focus-publishes-gold-focus-2025" \h </w:instrText>
      </w:r>
      <w:r>
        <w:fldChar w:fldCharType="separate"/>
      </w:r>
      <w:r>
        <w:rPr>
          <w:rStyle w:val="13"/>
          <w:color w:val="0563C1"/>
        </w:rPr>
        <w:t>[71,73]. Gold Focus 2025</w:t>
      </w:r>
      <w:r>
        <w:rPr>
          <w:rStyle w:val="13"/>
          <w:color w:val="0563C1"/>
        </w:rPr>
        <w:fldChar w:fldCharType="end"/>
      </w:r>
    </w:p>
    <w:p w14:paraId="45B529D6">
      <w:pPr>
        <w:spacing w:after="200" w:line="400" w:lineRule="atLeast"/>
      </w:pPr>
      <w:r>
        <w:fldChar w:fldCharType="begin"/>
      </w:r>
      <w:r>
        <w:instrText xml:space="preserve"> HYPERLINK "https://www.womeninmining.org.uk/sustaining-gold-demand-the-world-gold-council/" \h </w:instrText>
      </w:r>
      <w:r>
        <w:fldChar w:fldCharType="separate"/>
      </w:r>
      <w:r>
        <w:rPr>
          <w:rStyle w:val="13"/>
          <w:color w:val="0563C1"/>
        </w:rPr>
        <w:t>[76,203]. Gold Demand Overview</w:t>
      </w:r>
      <w:r>
        <w:rPr>
          <w:rStyle w:val="13"/>
          <w:color w:val="0563C1"/>
        </w:rPr>
        <w:fldChar w:fldCharType="end"/>
      </w:r>
    </w:p>
    <w:p w14:paraId="5D860B5B">
      <w:pPr>
        <w:spacing w:after="200" w:line="400" w:lineRule="atLeast"/>
      </w:pPr>
      <w:r>
        <w:fldChar w:fldCharType="begin"/>
      </w:r>
      <w:r>
        <w:instrText xml:space="preserve"> HYPERLINK "https://oma.on.ca/OMA-Economic---published-March-2025-FINAL.pdf" \h </w:instrText>
      </w:r>
      <w:r>
        <w:fldChar w:fldCharType="separate"/>
      </w:r>
      <w:r>
        <w:rPr>
          <w:rStyle w:val="13"/>
          <w:color w:val="0563C1"/>
        </w:rPr>
        <w:t>[81,205,208]. State of the Ontario Mining Sector</w:t>
      </w:r>
      <w:r>
        <w:rPr>
          <w:rStyle w:val="13"/>
          <w:color w:val="0563C1"/>
        </w:rPr>
        <w:fldChar w:fldCharType="end"/>
      </w:r>
    </w:p>
    <w:p w14:paraId="0254BAC8">
      <w:pPr>
        <w:spacing w:after="200" w:line="400" w:lineRule="atLeast"/>
      </w:pPr>
      <w:r>
        <w:fldChar w:fldCharType="begin"/>
      </w:r>
      <w:r>
        <w:instrText xml:space="preserve"> HYPERLINK "https://www.statista.com/statistics/267360/gold-demand-worldwide-since-2002/?srsltid=AfmBOoruOCRR9Yx_kxgtK0Xyw-u6dEQv2yfTLf-OZvHVhVLRPF07UDQe" \h </w:instrText>
      </w:r>
      <w:r>
        <w:fldChar w:fldCharType="separate"/>
      </w:r>
      <w:r>
        <w:rPr>
          <w:rStyle w:val="13"/>
          <w:color w:val="0563C1"/>
        </w:rPr>
        <w:t>[82]. Gold demand worldwide from 2010 to 2024 (in metric tons)</w:t>
      </w:r>
      <w:r>
        <w:rPr>
          <w:rStyle w:val="13"/>
          <w:color w:val="0563C1"/>
        </w:rPr>
        <w:fldChar w:fldCharType="end"/>
      </w:r>
    </w:p>
    <w:p w14:paraId="6D247B71">
      <w:pPr>
        <w:spacing w:after="200" w:line="400" w:lineRule="atLeast"/>
      </w:pPr>
      <w:r>
        <w:fldChar w:fldCharType="begin"/>
      </w:r>
      <w:r>
        <w:instrText xml:space="preserve"> HYPERLINK "https://www.blominvestbank.com/Library/Files/BLOM%20Invest/Spotlights%20on%20Lebanon/Spot2014/Gold-An-Old-Commodity-Still-at-the-Heart-of-Our-Modern-World.pdf" \h </w:instrText>
      </w:r>
      <w:r>
        <w:fldChar w:fldCharType="separate"/>
      </w:r>
      <w:r>
        <w:rPr>
          <w:rStyle w:val="13"/>
          <w:color w:val="0563C1"/>
        </w:rPr>
        <w:t>[88,91,273]. Gold: An Old Commodity still at the Heart of Our Modern World</w:t>
      </w:r>
      <w:r>
        <w:rPr>
          <w:rStyle w:val="13"/>
          <w:color w:val="0563C1"/>
        </w:rPr>
        <w:fldChar w:fldCharType="end"/>
      </w:r>
    </w:p>
    <w:p w14:paraId="49F436F3">
      <w:pPr>
        <w:spacing w:after="200" w:line="400" w:lineRule="atLeast"/>
      </w:pPr>
      <w:r>
        <w:fldChar w:fldCharType="begin"/>
      </w:r>
      <w:r>
        <w:instrText xml:space="preserve"> HYPERLINK "https://www.vaneck.com/gold-investing/vaneck-investment-case-for-gold.pdf" \h </w:instrText>
      </w:r>
      <w:r>
        <w:fldChar w:fldCharType="separate"/>
      </w:r>
      <w:r>
        <w:rPr>
          <w:rStyle w:val="13"/>
          <w:color w:val="0563C1"/>
        </w:rPr>
        <w:t>[89]. The Investment Case for Gold: Recent economic trends and gold’s role in a portfolio from a trusted leader in the space</w:t>
      </w:r>
      <w:r>
        <w:rPr>
          <w:rStyle w:val="13"/>
          <w:color w:val="0563C1"/>
        </w:rPr>
        <w:fldChar w:fldCharType="end"/>
      </w:r>
    </w:p>
    <w:p w14:paraId="1EF41728">
      <w:pPr>
        <w:spacing w:after="200" w:line="400" w:lineRule="atLeast"/>
      </w:pPr>
      <w:r>
        <w:fldChar w:fldCharType="begin"/>
      </w:r>
      <w:r>
        <w:instrText xml:space="preserve"> HYPERLINK "https://www.dbs.com.sg/content/article/pdf/CIO/2022/202212/CIOInsights1Q23.pdf" \h </w:instrText>
      </w:r>
      <w:r>
        <w:fldChar w:fldCharType="separate"/>
      </w:r>
      <w:r>
        <w:rPr>
          <w:rStyle w:val="13"/>
          <w:color w:val="0563C1"/>
        </w:rPr>
        <w:t>[90]. CIO Insights 1Q23</w:t>
      </w:r>
      <w:r>
        <w:rPr>
          <w:rStyle w:val="13"/>
          <w:color w:val="0563C1"/>
        </w:rPr>
        <w:fldChar w:fldCharType="end"/>
      </w:r>
    </w:p>
    <w:p w14:paraId="068F1AB3">
      <w:pPr>
        <w:spacing w:after="200" w:line="400" w:lineRule="atLeast"/>
      </w:pPr>
      <w:r>
        <w:fldChar w:fldCharType="begin"/>
      </w:r>
      <w:r>
        <w:instrText xml:space="preserve"> HYPERLINK "https://www.b360nepal.com/storage/wp-content/uploads/2022/02/Full-pdf-for-websiteb360_Mar-2020.pdf" \h </w:instrText>
      </w:r>
      <w:r>
        <w:fldChar w:fldCharType="separate"/>
      </w:r>
      <w:r>
        <w:rPr>
          <w:rStyle w:val="13"/>
          <w:color w:val="0563C1"/>
        </w:rPr>
        <w:t>[92,274]. Business 360°</w:t>
      </w:r>
      <w:r>
        <w:rPr>
          <w:rStyle w:val="13"/>
          <w:color w:val="0563C1"/>
        </w:rPr>
        <w:fldChar w:fldCharType="end"/>
      </w:r>
    </w:p>
    <w:p w14:paraId="4BE7646A">
      <w:pPr>
        <w:spacing w:after="200" w:line="400" w:lineRule="atLeast"/>
      </w:pPr>
      <w:r>
        <w:fldChar w:fldCharType="begin"/>
      </w:r>
      <w:r>
        <w:instrText xml:space="preserve"> HYPERLINK "https://cdn.lbma.org.uk/downloads/Alch-75-Complete.pdf" \h </w:instrText>
      </w:r>
      <w:r>
        <w:fldChar w:fldCharType="separate"/>
      </w:r>
      <w:r>
        <w:rPr>
          <w:rStyle w:val="13"/>
          <w:color w:val="0563C1"/>
        </w:rPr>
        <w:t>[93]. Has the Gold Market Already Discounted Fed Tightening?</w:t>
      </w:r>
      <w:r>
        <w:rPr>
          <w:rStyle w:val="13"/>
          <w:color w:val="0563C1"/>
        </w:rPr>
        <w:fldChar w:fldCharType="end"/>
      </w:r>
    </w:p>
    <w:p w14:paraId="0E1EBA5E">
      <w:pPr>
        <w:spacing w:after="200" w:line="400" w:lineRule="atLeast"/>
      </w:pPr>
      <w:r>
        <w:fldChar w:fldCharType="begin"/>
      </w:r>
      <w:r>
        <w:instrText xml:space="preserve"> HYPERLINK "https://www.goldpriceforecast.com/explanations/feds-tightening-cycle/#%3A~%3Atext%3DA%20tightening%20cycle%20is%20a%2Creserves%20via%20open%20market%20operations." \h </w:instrText>
      </w:r>
      <w:r>
        <w:fldChar w:fldCharType="separate"/>
      </w:r>
      <w:r>
        <w:rPr>
          <w:rStyle w:val="13"/>
          <w:color w:val="0563C1"/>
        </w:rPr>
        <w:t>[94]. Fed’s Tightening Cycle</w:t>
      </w:r>
      <w:r>
        <w:rPr>
          <w:rStyle w:val="13"/>
          <w:color w:val="0563C1"/>
        </w:rPr>
        <w:fldChar w:fldCharType="end"/>
      </w:r>
    </w:p>
    <w:p w14:paraId="55878E86">
      <w:pPr>
        <w:spacing w:after="400" w:line="400" w:lineRule="atLeast"/>
      </w:pPr>
      <w:r>
        <w:t>[[95]. 1H 2024 FX and Rates Outlook ](https://www.ocbc.com/iwov-resources/sg/ocbc/gbc/pdf/FX Outlook/1H 2024 FX and Rates Outlook.pdf)</w:t>
      </w:r>
    </w:p>
    <w:p w14:paraId="3F3AFEB9">
      <w:pPr>
        <w:spacing w:after="200" w:line="400" w:lineRule="atLeast"/>
      </w:pPr>
      <w:r>
        <w:fldChar w:fldCharType="begin"/>
      </w:r>
      <w:r>
        <w:instrText xml:space="preserve"> HYPERLINK "https://ijrpr.com/uploads/V6ISSUE3/IJRPR40348.pdf" \h </w:instrText>
      </w:r>
      <w:r>
        <w:fldChar w:fldCharType="separate"/>
      </w:r>
      <w:r>
        <w:rPr>
          <w:rStyle w:val="13"/>
          <w:color w:val="0563C1"/>
        </w:rPr>
        <w:t>[96]. An Empirical Study on Impact of Real Interest Rates and Stock Market Volatility on Gold Prices in the US</w:t>
      </w:r>
      <w:r>
        <w:rPr>
          <w:rStyle w:val="13"/>
          <w:color w:val="0563C1"/>
        </w:rPr>
        <w:fldChar w:fldCharType="end"/>
      </w:r>
    </w:p>
    <w:p w14:paraId="50200D0C">
      <w:pPr>
        <w:spacing w:after="200" w:line="400" w:lineRule="atLeast"/>
      </w:pPr>
      <w:r>
        <w:fldChar w:fldCharType="begin"/>
      </w:r>
      <w:r>
        <w:instrText xml:space="preserve"> HYPERLINK "https://www.goldpriceforecast.com/explanations/gold-real-interest-rates/" \h </w:instrText>
      </w:r>
      <w:r>
        <w:fldChar w:fldCharType="separate"/>
      </w:r>
      <w:r>
        <w:rPr>
          <w:rStyle w:val="13"/>
          <w:color w:val="0563C1"/>
        </w:rPr>
        <w:t>[97]. Real Interest Rates</w:t>
      </w:r>
      <w:r>
        <w:rPr>
          <w:rStyle w:val="13"/>
          <w:color w:val="0563C1"/>
        </w:rPr>
        <w:fldChar w:fldCharType="end"/>
      </w:r>
    </w:p>
    <w:p w14:paraId="0BA7C8C2">
      <w:pPr>
        <w:spacing w:after="200" w:line="400" w:lineRule="atLeast"/>
      </w:pPr>
      <w:r>
        <w:fldChar w:fldCharType="begin"/>
      </w:r>
      <w:r>
        <w:instrText xml:space="preserve"> HYPERLINK "https://www.um.edu.mt/library/oar/bitstream/123456789/140667/1/2518EMABFI533005056469_1.pdf" \h </w:instrText>
      </w:r>
      <w:r>
        <w:fldChar w:fldCharType="separate"/>
      </w:r>
      <w:r>
        <w:rPr>
          <w:rStyle w:val="13"/>
          <w:color w:val="0563C1"/>
        </w:rPr>
        <w:t>[98]. An Analysis of the Relationship Between Real Yields and Gold Prices: A Pre and Post Covid Analysis</w:t>
      </w:r>
      <w:r>
        <w:rPr>
          <w:rStyle w:val="13"/>
          <w:color w:val="0563C1"/>
        </w:rPr>
        <w:fldChar w:fldCharType="end"/>
      </w:r>
    </w:p>
    <w:p w14:paraId="409D674E">
      <w:pPr>
        <w:spacing w:after="200" w:line="400" w:lineRule="atLeast"/>
      </w:pPr>
      <w:r>
        <w:fldChar w:fldCharType="begin"/>
      </w:r>
      <w:r>
        <w:instrText xml:space="preserve"> HYPERLINK "https://www.invesco.com/content/dam/invesco/emea/en/pdf/q1-gold-report-2023.pdf" \h </w:instrText>
      </w:r>
      <w:r>
        <w:fldChar w:fldCharType="separate"/>
      </w:r>
      <w:r>
        <w:rPr>
          <w:rStyle w:val="13"/>
          <w:color w:val="0563C1"/>
        </w:rPr>
        <w:t>[100]. Market performance and macro factors Gold report Q1 2023</w:t>
      </w:r>
      <w:r>
        <w:rPr>
          <w:rStyle w:val="13"/>
          <w:color w:val="0563C1"/>
        </w:rPr>
        <w:fldChar w:fldCharType="end"/>
      </w:r>
    </w:p>
    <w:p w14:paraId="3BFAA63A">
      <w:pPr>
        <w:spacing w:after="200" w:line="400" w:lineRule="atLeast"/>
      </w:pPr>
      <w:r>
        <w:fldChar w:fldCharType="begin"/>
      </w:r>
      <w:r>
        <w:instrText xml:space="preserve"> HYPERLINK "https://blog.syzgroup.com/hubfs/wrap%20up%2029%20november_v3.pdf?hsLang=en" \h </w:instrText>
      </w:r>
      <w:r>
        <w:fldChar w:fldCharType="separate"/>
      </w:r>
      <w:r>
        <w:rPr>
          <w:rStyle w:val="13"/>
          <w:color w:val="0563C1"/>
        </w:rPr>
        <w:t>[108,175,190]. GLOBALMARKETS WEEKLY WRAP-UP</w:t>
      </w:r>
      <w:r>
        <w:rPr>
          <w:rStyle w:val="13"/>
          <w:color w:val="0563C1"/>
        </w:rPr>
        <w:fldChar w:fldCharType="end"/>
      </w:r>
    </w:p>
    <w:p w14:paraId="67C5517F">
      <w:pPr>
        <w:spacing w:after="200" w:line="400" w:lineRule="atLeast"/>
      </w:pPr>
      <w:r>
        <w:fldChar w:fldCharType="begin"/>
      </w:r>
      <w:r>
        <w:instrText xml:space="preserve"> HYPERLINK "https://goldbroker.com/charts/gold-price/dzd" \h </w:instrText>
      </w:r>
      <w:r>
        <w:fldChar w:fldCharType="separate"/>
      </w:r>
      <w:r>
        <w:rPr>
          <w:rStyle w:val="13"/>
          <w:color w:val="0563C1"/>
        </w:rPr>
        <w:t>[110]. Markets Closed</w:t>
      </w:r>
      <w:r>
        <w:rPr>
          <w:rStyle w:val="13"/>
          <w:color w:val="0563C1"/>
        </w:rPr>
        <w:fldChar w:fldCharType="end"/>
      </w:r>
    </w:p>
    <w:p w14:paraId="2DE8D84B">
      <w:pPr>
        <w:spacing w:after="200" w:line="400" w:lineRule="atLeast"/>
      </w:pPr>
      <w:r>
        <w:fldChar w:fldCharType="begin"/>
      </w:r>
      <w:r>
        <w:instrText xml:space="preserve"> HYPERLINK "http://q4live.s205.clientfiles.s3-website-us-east-1.amazonaws.com/243646470/files/doc_financials/annual/2024/2024-Annual-Report.pdf" \h </w:instrText>
      </w:r>
      <w:r>
        <w:fldChar w:fldCharType="separate"/>
      </w:r>
      <w:r>
        <w:rPr>
          <w:rStyle w:val="13"/>
          <w:color w:val="0563C1"/>
        </w:rPr>
        <w:t>[112]. Global Approach, Regional Focus</w:t>
      </w:r>
      <w:r>
        <w:rPr>
          <w:rStyle w:val="13"/>
          <w:color w:val="0563C1"/>
        </w:rPr>
        <w:fldChar w:fldCharType="end"/>
      </w:r>
    </w:p>
    <w:p w14:paraId="7D4FFE35">
      <w:pPr>
        <w:spacing w:after="200" w:line="400" w:lineRule="atLeast"/>
      </w:pPr>
      <w:r>
        <w:fldChar w:fldCharType="begin"/>
      </w:r>
      <w:r>
        <w:instrText xml:space="preserve"> HYPERLINK "http://www.pbc.gov.cn/en/3688110/3688259/3689026/3706088/4756448/5770923/2025070715395729850.pdf" \h </w:instrText>
      </w:r>
      <w:r>
        <w:fldChar w:fldCharType="separate"/>
      </w:r>
      <w:r>
        <w:rPr>
          <w:rStyle w:val="13"/>
          <w:color w:val="0563C1"/>
        </w:rPr>
        <w:t>[123,137,160,163,260,263,280]. China Financial Market Development Report 2023</w:t>
      </w:r>
      <w:r>
        <w:rPr>
          <w:rStyle w:val="13"/>
          <w:color w:val="0563C1"/>
        </w:rPr>
        <w:fldChar w:fldCharType="end"/>
      </w:r>
    </w:p>
    <w:p w14:paraId="2E737912">
      <w:pPr>
        <w:spacing w:after="200" w:line="400" w:lineRule="atLeast"/>
      </w:pPr>
      <w:r>
        <w:fldChar w:fldCharType="begin"/>
      </w:r>
      <w:r>
        <w:instrText xml:space="preserve"> HYPERLINK "https://pdf.hubbis.com/pdf/eventAgenda/wealth-planning-structuring-forum-hong-kong-2025-2025-10-22-Gold+Price+at+Record+High:+Is+it+too+late+to+join+the+party+or+are+only+halfway+into+the+show+.pdf" \h </w:instrText>
      </w:r>
      <w:r>
        <w:fldChar w:fldCharType="separate"/>
      </w:r>
      <w:r>
        <w:rPr>
          <w:rStyle w:val="13"/>
          <w:color w:val="0563C1"/>
        </w:rPr>
        <w:t>[124]. Gold Is At A Record High</w:t>
      </w:r>
      <w:r>
        <w:rPr>
          <w:rStyle w:val="13"/>
          <w:color w:val="0563C1"/>
        </w:rPr>
        <w:fldChar w:fldCharType="end"/>
      </w:r>
    </w:p>
    <w:p w14:paraId="34DDD04E">
      <w:pPr>
        <w:spacing w:after="200" w:line="400" w:lineRule="atLeast"/>
      </w:pPr>
      <w:r>
        <w:fldChar w:fldCharType="begin"/>
      </w:r>
      <w:r>
        <w:instrText xml:space="preserve"> HYPERLINK "https://www.kgi.com.hk/en/-/media/files/kgishk/research-reports/investment-perspectives/2025/kgis-global-markets-weekly-kickstart_20251013.pdf" \h </w:instrText>
      </w:r>
      <w:r>
        <w:fldChar w:fldCharType="separate"/>
      </w:r>
      <w:r>
        <w:rPr>
          <w:rStyle w:val="13"/>
          <w:color w:val="0563C1"/>
        </w:rPr>
        <w:t>[125,161]. The Golden Road Ahead</w:t>
      </w:r>
      <w:r>
        <w:rPr>
          <w:rStyle w:val="13"/>
          <w:color w:val="0563C1"/>
        </w:rPr>
        <w:fldChar w:fldCharType="end"/>
      </w:r>
    </w:p>
    <w:p w14:paraId="61666D36">
      <w:pPr>
        <w:spacing w:after="400" w:line="400" w:lineRule="atLeast"/>
      </w:pPr>
      <w:r>
        <w:t>[[126,133,148,150,151,153,156,254,275,278]. 9th Annual Report 2023-2024 ](https://www.iima.ac.in/sites/default/files/2024-06/IGPC 2024 Annual Report Print.pdf)</w:t>
      </w:r>
    </w:p>
    <w:p w14:paraId="0C1FBC00">
      <w:pPr>
        <w:spacing w:after="200" w:line="400" w:lineRule="atLeast"/>
      </w:pPr>
      <w:r>
        <w:fldChar w:fldCharType="begin"/>
      </w:r>
      <w:r>
        <w:instrText xml:space="preserve"> HYPERLINK "https://files.metaso.cn/api/public-file/preview?fileName=8691349633954770944.pdf" \h </w:instrText>
      </w:r>
      <w:r>
        <w:fldChar w:fldCharType="separate"/>
      </w:r>
      <w:r>
        <w:rPr>
          <w:rStyle w:val="13"/>
          <w:color w:val="0563C1"/>
        </w:rPr>
        <w:t>[127,134,139,141,152,155,170,259,270,279]. The Case For Precious Metals</w:t>
      </w:r>
      <w:r>
        <w:rPr>
          <w:rStyle w:val="13"/>
          <w:color w:val="0563C1"/>
        </w:rPr>
        <w:fldChar w:fldCharType="end"/>
      </w:r>
    </w:p>
    <w:p w14:paraId="3B5F7326">
      <w:pPr>
        <w:spacing w:after="200" w:line="400" w:lineRule="atLeast"/>
      </w:pPr>
      <w:r>
        <w:fldChar w:fldCharType="begin"/>
      </w:r>
      <w:r>
        <w:instrText xml:space="preserve"> HYPERLINK "https://www.resource-capital.ch/fileadmin/reports/2023/11/ok_en_EMRUp_2023.pdf" \h </w:instrText>
      </w:r>
      <w:r>
        <w:fldChar w:fldCharType="separate"/>
      </w:r>
      <w:r>
        <w:rPr>
          <w:rStyle w:val="13"/>
          <w:color w:val="0563C1"/>
        </w:rPr>
        <w:t>[128,135,138,154,157,258,262]. Precious Metals Report 2023</w:t>
      </w:r>
      <w:r>
        <w:rPr>
          <w:rStyle w:val="13"/>
          <w:color w:val="0563C1"/>
        </w:rPr>
        <w:fldChar w:fldCharType="end"/>
      </w:r>
    </w:p>
    <w:p w14:paraId="030DF2BB">
      <w:pPr>
        <w:spacing w:after="200" w:line="400" w:lineRule="atLeast"/>
      </w:pPr>
      <w:r>
        <w:fldChar w:fldCharType="begin"/>
      </w:r>
      <w:r>
        <w:instrText xml:space="preserve"> HYPERLINK "https://www.dws.com/AssetDownload/Index?assetGuid=ff2748b0-6d2c-4c23-bb68-eb15aa07b5f3&amp;consumer=E-Library" \h </w:instrText>
      </w:r>
      <w:r>
        <w:fldChar w:fldCharType="separate"/>
      </w:r>
      <w:r>
        <w:rPr>
          <w:rStyle w:val="13"/>
          <w:color w:val="0563C1"/>
        </w:rPr>
        <w:t>[129,142,144,162,261]. Special Report | Gold &amp; Precious Metals</w:t>
      </w:r>
      <w:r>
        <w:rPr>
          <w:rStyle w:val="13"/>
          <w:color w:val="0563C1"/>
        </w:rPr>
        <w:fldChar w:fldCharType="end"/>
      </w:r>
    </w:p>
    <w:p w14:paraId="57EFD1A6">
      <w:pPr>
        <w:spacing w:after="200" w:line="400" w:lineRule="atLeast"/>
      </w:pPr>
      <w:r>
        <w:fldChar w:fldCharType="begin"/>
      </w:r>
      <w:r>
        <w:instrText xml:space="preserve"> HYPERLINK "https://www.jameshambro.com/wp-content/uploads/2025/01/JHP-Quarterly-Outlook-January-2025-High-Res.pdf" \h </w:instrText>
      </w:r>
      <w:r>
        <w:fldChar w:fldCharType="separate"/>
      </w:r>
      <w:r>
        <w:rPr>
          <w:rStyle w:val="13"/>
          <w:color w:val="0563C1"/>
        </w:rPr>
        <w:t>[130,145,149,276]. THE ELEPHANT IS BACK IN THE ROOM.</w:t>
      </w:r>
      <w:r>
        <w:rPr>
          <w:rStyle w:val="13"/>
          <w:color w:val="0563C1"/>
        </w:rPr>
        <w:fldChar w:fldCharType="end"/>
      </w:r>
    </w:p>
    <w:p w14:paraId="0F75D96F">
      <w:pPr>
        <w:spacing w:after="200" w:line="400" w:lineRule="atLeast"/>
      </w:pPr>
      <w:r>
        <w:fldChar w:fldCharType="begin"/>
      </w:r>
      <w:r>
        <w:instrText xml:space="preserve"> HYPERLINK "https://archiindonesia.com/wp-content/uploads/2025/10/arci-analisa-sekuritas-mandiri-sekuritas.pdf" \h </w:instrText>
      </w:r>
      <w:r>
        <w:fldChar w:fldCharType="separate"/>
      </w:r>
      <w:r>
        <w:rPr>
          <w:rStyle w:val="13"/>
          <w:color w:val="0563C1"/>
        </w:rPr>
        <w:t>[131,146]. Well-Timed Turnaround Amidst Gold Price Rally</w:t>
      </w:r>
      <w:r>
        <w:rPr>
          <w:rStyle w:val="13"/>
          <w:color w:val="0563C1"/>
        </w:rPr>
        <w:fldChar w:fldCharType="end"/>
      </w:r>
    </w:p>
    <w:p w14:paraId="60F14666">
      <w:pPr>
        <w:spacing w:after="200" w:line="400" w:lineRule="atLeast"/>
      </w:pPr>
      <w:r>
        <w:fldChar w:fldCharType="begin"/>
      </w:r>
      <w:r>
        <w:instrText xml:space="preserve"> HYPERLINK "https://cdn.prod.website-files.com/672cea0ae7889396005b1e87/68668e2a5ea0829230c3b514_Opinions%20et%20d%C3%A9bats%20num%C3%A9ro%2031%20G%C3%A9ofinance%2C%20l%E2%80%99imbrication%20de%20la%20Finance%20et%20de%20la%20G%C3%A9opolitique.pdf" \h </w:instrText>
      </w:r>
      <w:r>
        <w:fldChar w:fldCharType="separate"/>
      </w:r>
      <w:r>
        <w:rPr>
          <w:rStyle w:val="13"/>
          <w:color w:val="0563C1"/>
        </w:rPr>
        <w:t>[132,147,281]. Géofinance, l’imbrication de la Finance et de la Géopolitique</w:t>
      </w:r>
      <w:r>
        <w:rPr>
          <w:rStyle w:val="13"/>
          <w:color w:val="0563C1"/>
        </w:rPr>
        <w:fldChar w:fldCharType="end"/>
      </w:r>
    </w:p>
    <w:p w14:paraId="43993AB0">
      <w:pPr>
        <w:spacing w:after="200" w:line="400" w:lineRule="atLeast"/>
      </w:pPr>
      <w:r>
        <w:fldChar w:fldCharType="begin"/>
      </w:r>
      <w:r>
        <w:instrText xml:space="preserve"> HYPERLINK "https://files.metaso.cn/api/public-file/preview?fileName=8691349638270058496.pdf" \h </w:instrText>
      </w:r>
      <w:r>
        <w:fldChar w:fldCharType="separate"/>
      </w:r>
      <w:r>
        <w:rPr>
          <w:rStyle w:val="13"/>
          <w:color w:val="0563C1"/>
        </w:rPr>
        <w:t>[136,143,169]. Gold takeaways from Asia</w:t>
      </w:r>
      <w:r>
        <w:rPr>
          <w:rStyle w:val="13"/>
          <w:color w:val="0563C1"/>
        </w:rPr>
        <w:fldChar w:fldCharType="end"/>
      </w:r>
    </w:p>
    <w:p w14:paraId="7268B45B">
      <w:pPr>
        <w:spacing w:after="200" w:line="400" w:lineRule="atLeast"/>
      </w:pPr>
      <w:r>
        <w:fldChar w:fldCharType="begin"/>
      </w:r>
      <w:r>
        <w:instrText xml:space="preserve"> HYPERLINK "https://s28.q4cdn.com/583965976/files/doc_financials/2023/sr/interactive/_doc/Royal_Gold_ISR_2023_final.pdf" \h </w:instrText>
      </w:r>
      <w:r>
        <w:fldChar w:fldCharType="separate"/>
      </w:r>
      <w:r>
        <w:rPr>
          <w:rStyle w:val="13"/>
          <w:color w:val="0563C1"/>
        </w:rPr>
        <w:t>[140]. 2023 Investment Stewardship Report</w:t>
      </w:r>
      <w:r>
        <w:rPr>
          <w:rStyle w:val="13"/>
          <w:color w:val="0563C1"/>
        </w:rPr>
        <w:fldChar w:fldCharType="end"/>
      </w:r>
    </w:p>
    <w:p w14:paraId="26962766">
      <w:pPr>
        <w:spacing w:after="200" w:line="400" w:lineRule="atLeast"/>
      </w:pPr>
      <w:r>
        <w:fldChar w:fldCharType="begin"/>
      </w:r>
      <w:r>
        <w:instrText xml:space="preserve"> HYPERLINK "https://www.dbs.com.sg/content/article/pdf/CIO/2022/202212/CIOInsights1Q23_Gold.pdf" \h </w:instrText>
      </w:r>
      <w:r>
        <w:fldChar w:fldCharType="separate"/>
      </w:r>
      <w:r>
        <w:rPr>
          <w:rStyle w:val="13"/>
          <w:color w:val="0563C1"/>
        </w:rPr>
        <w:t>[158,255,265]. Gold 1Q23: Paradigm Shift in Progress</w:t>
      </w:r>
      <w:r>
        <w:rPr>
          <w:rStyle w:val="13"/>
          <w:color w:val="0563C1"/>
        </w:rPr>
        <w:fldChar w:fldCharType="end"/>
      </w:r>
    </w:p>
    <w:p w14:paraId="0E92F8AB">
      <w:pPr>
        <w:spacing w:after="200" w:line="400" w:lineRule="atLeast"/>
      </w:pPr>
      <w:r>
        <w:fldChar w:fldCharType="begin"/>
      </w:r>
      <w:r>
        <w:instrText xml:space="preserve"> HYPERLINK "https://files.metaso.cn/api/public-file/preview?fileName=8691349384440213504.pdf" \h </w:instrText>
      </w:r>
      <w:r>
        <w:fldChar w:fldCharType="separate"/>
      </w:r>
      <w:r>
        <w:rPr>
          <w:rStyle w:val="13"/>
          <w:color w:val="0563C1"/>
        </w:rPr>
        <w:t>[159,257]. Gold: Overbought but underinvested</w:t>
      </w:r>
      <w:r>
        <w:rPr>
          <w:rStyle w:val="13"/>
          <w:color w:val="0563C1"/>
        </w:rPr>
        <w:fldChar w:fldCharType="end"/>
      </w:r>
    </w:p>
    <w:p w14:paraId="19054779">
      <w:pPr>
        <w:spacing w:after="200" w:line="400" w:lineRule="atLeast"/>
      </w:pPr>
      <w:r>
        <w:fldChar w:fldCharType="begin"/>
      </w:r>
      <w:r>
        <w:instrText xml:space="preserve"> HYPERLINK "https://www.szkb.ch/docs/default-source/die-szkb---manuell/schwerpunkt-aktuell.pdf?sfvrsn=1af00123_9" \h </w:instrText>
      </w:r>
      <w:r>
        <w:fldChar w:fldCharType="separate"/>
      </w:r>
      <w:r>
        <w:rPr>
          <w:rStyle w:val="13"/>
          <w:color w:val="0563C1"/>
        </w:rPr>
        <w:t>[164,282]. Von Vreneli bis ETF – die vielen Gesichter der Goldanlage</w:t>
      </w:r>
      <w:r>
        <w:rPr>
          <w:rStyle w:val="13"/>
          <w:color w:val="0563C1"/>
        </w:rPr>
        <w:fldChar w:fldCharType="end"/>
      </w:r>
    </w:p>
    <w:p w14:paraId="2E2E2D2D">
      <w:pPr>
        <w:spacing w:after="200" w:line="400" w:lineRule="atLeast"/>
      </w:pPr>
      <w:r>
        <w:fldChar w:fldCharType="begin"/>
      </w:r>
      <w:r>
        <w:instrText xml:space="preserve"> HYPERLINK "https://www.statista.com/statistics/1403268/central-bank-gold-demand-by-quarter/?srsltid=AfmBOoqaqDnbHCzesizrvSdFkw01xAUAfx2N-fGFAcPda6QjqCopbeWF" \h </w:instrText>
      </w:r>
      <w:r>
        <w:fldChar w:fldCharType="separate"/>
      </w:r>
      <w:r>
        <w:rPr>
          <w:rStyle w:val="13"/>
          <w:color w:val="0563C1"/>
        </w:rPr>
        <w:t>[165,283]. Quarterly value of global central bank gold buying 2010-2025</w:t>
      </w:r>
      <w:r>
        <w:rPr>
          <w:rStyle w:val="13"/>
          <w:color w:val="0563C1"/>
        </w:rPr>
        <w:fldChar w:fldCharType="end"/>
      </w:r>
    </w:p>
    <w:p w14:paraId="01A41527">
      <w:pPr>
        <w:spacing w:after="200" w:line="400" w:lineRule="atLeast"/>
      </w:pPr>
      <w:r>
        <w:fldChar w:fldCharType="begin"/>
      </w:r>
      <w:r>
        <w:instrText xml:space="preserve"> HYPERLINK "https://www.dbs.com/content/article/pdf/AIO/082024/240813_insights_gold_dancing_to_the_golden_tune_of_rate_cuts.pdf" \h </w:instrText>
      </w:r>
      <w:r>
        <w:fldChar w:fldCharType="separate"/>
      </w:r>
      <w:r>
        <w:rPr>
          <w:rStyle w:val="13"/>
          <w:color w:val="0563C1"/>
        </w:rPr>
        <w:t>[166,229,236,264]. Regional Market Focus ETF in Focus</w:t>
      </w:r>
      <w:r>
        <w:rPr>
          <w:rStyle w:val="13"/>
          <w:color w:val="0563C1"/>
        </w:rPr>
        <w:fldChar w:fldCharType="end"/>
      </w:r>
    </w:p>
    <w:p w14:paraId="40EB3D68">
      <w:pPr>
        <w:spacing w:after="400" w:line="400" w:lineRule="atLeast"/>
      </w:pPr>
      <w:r>
        <w:t>[[167,267]. 楽読（ラクヨミ） Vol. 2,032 上方修正が続く、世界銀行の金価格見通し ](https://www.fidelity.jp/media/PDFs/Market Reports/202411/上方修正が続く、世界銀行の金価格見通し(日興アセットマネジメント).pdf)</w:t>
      </w:r>
    </w:p>
    <w:p w14:paraId="1C3070C7">
      <w:pPr>
        <w:spacing w:after="200" w:line="400" w:lineRule="atLeast"/>
      </w:pPr>
      <w:r>
        <w:fldChar w:fldCharType="begin"/>
      </w:r>
      <w:r>
        <w:instrText xml:space="preserve"> HYPERLINK "https://www.scrapmonster.com/news/global-central-bank-gold-reserves-surged-in-december/1/90549" \h </w:instrText>
      </w:r>
      <w:r>
        <w:fldChar w:fldCharType="separate"/>
      </w:r>
      <w:r>
        <w:rPr>
          <w:rStyle w:val="13"/>
          <w:color w:val="0563C1"/>
        </w:rPr>
        <w:t>[168]. Global Central Bank Gold Reserves Surged in December</w:t>
      </w:r>
      <w:r>
        <w:rPr>
          <w:rStyle w:val="13"/>
          <w:color w:val="0563C1"/>
        </w:rPr>
        <w:fldChar w:fldCharType="end"/>
      </w:r>
    </w:p>
    <w:p w14:paraId="3BE7939E">
      <w:pPr>
        <w:spacing w:after="200" w:line="400" w:lineRule="atLeast"/>
      </w:pPr>
      <w:r>
        <w:fldChar w:fldCharType="begin"/>
      </w:r>
      <w:r>
        <w:instrText xml:space="preserve"> HYPERLINK "https://gold.cngold.org/hjbj/c10259651.html" \h </w:instrText>
      </w:r>
      <w:r>
        <w:fldChar w:fldCharType="separate"/>
      </w:r>
      <w:r>
        <w:rPr>
          <w:rStyle w:val="13"/>
          <w:color w:val="0563C1"/>
        </w:rPr>
        <w:t>[174]. 今日最新金价走势相关数据（2025年12月30日）</w:t>
      </w:r>
      <w:r>
        <w:rPr>
          <w:rStyle w:val="13"/>
          <w:color w:val="0563C1"/>
        </w:rPr>
        <w:fldChar w:fldCharType="end"/>
      </w:r>
    </w:p>
    <w:p w14:paraId="4AF171A7">
      <w:pPr>
        <w:spacing w:after="200" w:line="400" w:lineRule="atLeast"/>
      </w:pPr>
      <w:r>
        <w:fldChar w:fldCharType="begin"/>
      </w:r>
      <w:r>
        <w:instrText xml:space="preserve"> HYPERLINK "https://stocklight.com/stocks/us/nysearca-ounz/vaneck-merk-gold-trust/annual-reports/nysearca-ounz-2025-10K-25787997.pdf" \h </w:instrText>
      </w:r>
      <w:r>
        <w:fldChar w:fldCharType="separate"/>
      </w:r>
      <w:r>
        <w:rPr>
          <w:rStyle w:val="13"/>
          <w:color w:val="0563C1"/>
        </w:rPr>
        <w:t>[178,186]. VanEck Merk Gold Trust Annual Report 2025</w:t>
      </w:r>
      <w:r>
        <w:rPr>
          <w:rStyle w:val="13"/>
          <w:color w:val="0563C1"/>
        </w:rPr>
        <w:fldChar w:fldCharType="end"/>
      </w:r>
    </w:p>
    <w:p w14:paraId="7240F8E0">
      <w:pPr>
        <w:spacing w:after="200" w:line="400" w:lineRule="atLeast"/>
      </w:pPr>
      <w:r>
        <w:fldChar w:fldCharType="begin"/>
      </w:r>
      <w:r>
        <w:instrText xml:space="preserve"> HYPERLINK "https://www.theglobaleconomy.com/world/gold_prices/" \h </w:instrText>
      </w:r>
      <w:r>
        <w:fldChar w:fldCharType="separate"/>
      </w:r>
      <w:r>
        <w:rPr>
          <w:rStyle w:val="13"/>
          <w:color w:val="0563C1"/>
        </w:rPr>
        <w:t>[179]. Gold prices</w:t>
      </w:r>
      <w:r>
        <w:rPr>
          <w:rStyle w:val="13"/>
          <w:color w:val="0563C1"/>
        </w:rPr>
        <w:fldChar w:fldCharType="end"/>
      </w:r>
    </w:p>
    <w:p w14:paraId="7A07210E">
      <w:pPr>
        <w:spacing w:after="200" w:line="400" w:lineRule="atLeast"/>
      </w:pPr>
      <w:r>
        <w:fldChar w:fldCharType="begin"/>
      </w:r>
      <w:r>
        <w:instrText xml:space="preserve"> HYPERLINK "http://finance.sina.com.cn/money/nmetal/20130530/164015643191.shtml" \h </w:instrText>
      </w:r>
      <w:r>
        <w:fldChar w:fldCharType="separate"/>
      </w:r>
      <w:r>
        <w:rPr>
          <w:rStyle w:val="13"/>
          <w:color w:val="0563C1"/>
        </w:rPr>
        <w:t>[183]. 现货黄金昨日收盘价1392.32元/盎司，盘中最高1395.15美元/盎司，最低1379.97美元/盎司；现货白银昨日收盘价22.46元/盎司，盘中最高22.52美元/盎司，最低22.18美元/盎司。</w:t>
      </w:r>
      <w:r>
        <w:rPr>
          <w:rStyle w:val="13"/>
          <w:color w:val="0563C1"/>
        </w:rPr>
        <w:fldChar w:fldCharType="end"/>
      </w:r>
    </w:p>
    <w:p w14:paraId="4C6CC98F">
      <w:pPr>
        <w:spacing w:after="200" w:line="400" w:lineRule="atLeast"/>
      </w:pPr>
      <w:r>
        <w:fldChar w:fldCharType="begin"/>
      </w:r>
      <w:r>
        <w:instrText xml:space="preserve"> HYPERLINK "https://www.ximalaya.com/audio/767268109" \h </w:instrText>
      </w:r>
      <w:r>
        <w:fldChar w:fldCharType="separate"/>
      </w:r>
      <w:r>
        <w:rPr>
          <w:rStyle w:val="13"/>
          <w:color w:val="0563C1"/>
        </w:rPr>
        <w:t>[187,188]. 金价持续上涨，现货黄金收盘价达2727.60美元/盎司</w:t>
      </w:r>
      <w:r>
        <w:rPr>
          <w:rStyle w:val="13"/>
          <w:color w:val="0563C1"/>
        </w:rPr>
        <w:fldChar w:fldCharType="end"/>
      </w:r>
    </w:p>
    <w:p w14:paraId="075D3690">
      <w:pPr>
        <w:spacing w:after="200" w:line="400" w:lineRule="atLeast"/>
      </w:pPr>
      <w:r>
        <w:fldChar w:fldCharType="begin"/>
      </w:r>
      <w:r>
        <w:instrText xml:space="preserve"> HYPERLINK "https://25733253.fs1.hubspotusercontent-eu1.net/hubfs/25733253/Weekly%20Global%20Letter_24.05.2025_v2.pdf" \h </w:instrText>
      </w:r>
      <w:r>
        <w:fldChar w:fldCharType="separate"/>
      </w:r>
      <w:r>
        <w:rPr>
          <w:rStyle w:val="13"/>
          <w:color w:val="0563C1"/>
        </w:rPr>
        <w:t>[191]. #GLOBALMARKETS WEEKLY WRAP-UP Hand-curated selection of the best charts &amp; news flow</w:t>
      </w:r>
      <w:r>
        <w:rPr>
          <w:rStyle w:val="13"/>
          <w:color w:val="0563C1"/>
        </w:rPr>
        <w:fldChar w:fldCharType="end"/>
      </w:r>
    </w:p>
    <w:p w14:paraId="0053F4E1">
      <w:pPr>
        <w:spacing w:after="200" w:line="400" w:lineRule="atLeast"/>
      </w:pPr>
      <w:r>
        <w:fldChar w:fldCharType="begin"/>
      </w:r>
      <w:r>
        <w:instrText xml:space="preserve"> HYPERLINK "https://chl.cn/huilv/?gold-pingjun" \h </w:instrText>
      </w:r>
      <w:r>
        <w:fldChar w:fldCharType="separate"/>
      </w:r>
      <w:r>
        <w:rPr>
          <w:rStyle w:val="13"/>
          <w:color w:val="0563C1"/>
        </w:rPr>
        <w:t>[194]. 黄金平均价格</w:t>
      </w:r>
      <w:r>
        <w:rPr>
          <w:rStyle w:val="13"/>
          <w:color w:val="0563C1"/>
        </w:rPr>
        <w:fldChar w:fldCharType="end"/>
      </w:r>
    </w:p>
    <w:p w14:paraId="41D1D985">
      <w:pPr>
        <w:spacing w:after="200" w:line="400" w:lineRule="atLeast"/>
      </w:pPr>
      <w:r>
        <w:fldChar w:fldCharType="begin"/>
      </w:r>
      <w:r>
        <w:instrText xml:space="preserve"> HYPERLINK "https://cn.bing.com/search?q=Gold%20trends%2094%2F95." \h </w:instrText>
      </w:r>
      <w:r>
        <w:fldChar w:fldCharType="separate"/>
      </w:r>
      <w:r>
        <w:rPr>
          <w:rStyle w:val="13"/>
          <w:color w:val="0563C1"/>
        </w:rPr>
        <w:t>[202]. Gold trends 94/95.</w:t>
      </w:r>
      <w:r>
        <w:rPr>
          <w:rStyle w:val="13"/>
          <w:color w:val="0563C1"/>
        </w:rPr>
        <w:fldChar w:fldCharType="end"/>
      </w:r>
    </w:p>
    <w:p w14:paraId="021C9142">
      <w:pPr>
        <w:spacing w:after="200" w:line="400" w:lineRule="atLeast"/>
      </w:pPr>
      <w:r>
        <w:fldChar w:fldCharType="begin"/>
      </w:r>
      <w:r>
        <w:instrText xml:space="preserve"> HYPERLINK "http://www.xinhuanet.com/world/2013-06/22/c_124894639.htm" \h </w:instrText>
      </w:r>
      <w:r>
        <w:fldChar w:fldCharType="separate"/>
      </w:r>
      <w:r>
        <w:rPr>
          <w:rStyle w:val="13"/>
          <w:color w:val="0563C1"/>
        </w:rPr>
        <w:t>[211,219]. 美国联邦储备委员会可能在２０１４年年中退出第三轮量化宽松政策（ＱＥ３），这一消息令黄金价格和美国股市大跌，亚太股市大幅波动。</w:t>
      </w:r>
      <w:r>
        <w:rPr>
          <w:rStyle w:val="13"/>
          <w:color w:val="0563C1"/>
        </w:rPr>
        <w:fldChar w:fldCharType="end"/>
      </w:r>
    </w:p>
    <w:p w14:paraId="72C0939D">
      <w:pPr>
        <w:spacing w:after="200" w:line="400" w:lineRule="atLeast"/>
      </w:pPr>
      <w:r>
        <w:fldChar w:fldCharType="begin"/>
      </w:r>
      <w:r>
        <w:instrText xml:space="preserve"> HYPERLINK "https://stock.finance.sina.com.cn/stock/go.php/vReport_Show/kind/lastest/rptid/804965343718/index.phtml" \h </w:instrText>
      </w:r>
      <w:r>
        <w:fldChar w:fldCharType="separate"/>
      </w:r>
      <w:r>
        <w:rPr>
          <w:rStyle w:val="13"/>
          <w:color w:val="0563C1"/>
        </w:rPr>
        <w:t>[212,216]. 宏观专题研究：黄金价格波动的底层逻辑</w:t>
      </w:r>
      <w:r>
        <w:rPr>
          <w:rStyle w:val="13"/>
          <w:color w:val="0563C1"/>
        </w:rPr>
        <w:fldChar w:fldCharType="end"/>
      </w:r>
    </w:p>
    <w:p w14:paraId="39815967">
      <w:pPr>
        <w:spacing w:after="200" w:line="400" w:lineRule="atLeast"/>
      </w:pPr>
      <w:r>
        <w:fldChar w:fldCharType="begin"/>
      </w:r>
      <w:r>
        <w:instrText xml:space="preserve"> HYPERLINK "https://www.qhkyfund.com/upload/20230421/202304211682068532627.pdf" \h </w:instrText>
      </w:r>
      <w:r>
        <w:fldChar w:fldCharType="separate"/>
      </w:r>
      <w:r>
        <w:rPr>
          <w:rStyle w:val="13"/>
          <w:color w:val="0563C1"/>
        </w:rPr>
        <w:t>[213]. 前海开源黄金交易型开放式证券投资基金联接基金 2023年第1季度报告</w:t>
      </w:r>
      <w:r>
        <w:rPr>
          <w:rStyle w:val="13"/>
          <w:color w:val="0563C1"/>
        </w:rPr>
        <w:fldChar w:fldCharType="end"/>
      </w:r>
    </w:p>
    <w:p w14:paraId="7F97F6DE">
      <w:pPr>
        <w:spacing w:after="200" w:line="400" w:lineRule="atLeast"/>
      </w:pPr>
      <w:r>
        <w:fldChar w:fldCharType="begin"/>
      </w:r>
      <w:r>
        <w:instrText xml:space="preserve"> HYPERLINK "https://info.gorozen.com/hubfs/Commentaries%20+%20Content%20Offers/2025.Q3%20Commentary/2025.Q3%20GR%20Market%20Commentary.pdf" \h </w:instrText>
      </w:r>
      <w:r>
        <w:fldChar w:fldCharType="separate"/>
      </w:r>
      <w:r>
        <w:rPr>
          <w:rStyle w:val="13"/>
          <w:color w:val="0563C1"/>
        </w:rPr>
        <w:t>[214,217,220]. MOVING FROM CARRY TO ANTI CARRY</w:t>
      </w:r>
      <w:r>
        <w:rPr>
          <w:rStyle w:val="13"/>
          <w:color w:val="0563C1"/>
        </w:rPr>
        <w:fldChar w:fldCharType="end"/>
      </w:r>
    </w:p>
    <w:p w14:paraId="7CA092CC">
      <w:pPr>
        <w:spacing w:after="200" w:line="400" w:lineRule="atLeast"/>
      </w:pPr>
      <w:r>
        <w:fldChar w:fldCharType="begin"/>
      </w:r>
      <w:r>
        <w:instrText xml:space="preserve"> HYPERLINK "https://mp.weixin.qq.com/s?__biz=MjM5MDU3NDQ2MA==&amp;mid=2651315885&amp;idx=1&amp;sn=40c136ef7dc813472e1a0ebdc2959fe3&amp;chksm=bc3d4ff82d4295715f9490c35b8306066e709fd1793f35036fcc1f31cce897685c7ee2cb12a2&amp;scene=27" \h </w:instrText>
      </w:r>
      <w:r>
        <w:fldChar w:fldCharType="separate"/>
      </w:r>
      <w:r>
        <w:rPr>
          <w:rStyle w:val="13"/>
          <w:color w:val="0563C1"/>
        </w:rPr>
        <w:t>[215,218]. 2025年国际金价预计仍将保持上升态势</w:t>
      </w:r>
      <w:r>
        <w:rPr>
          <w:rStyle w:val="13"/>
          <w:color w:val="0563C1"/>
        </w:rPr>
        <w:fldChar w:fldCharType="end"/>
      </w:r>
    </w:p>
    <w:p w14:paraId="626C34D3">
      <w:pPr>
        <w:spacing w:after="200" w:line="400" w:lineRule="atLeast"/>
      </w:pPr>
      <w:r>
        <w:fldChar w:fldCharType="begin"/>
      </w:r>
      <w:r>
        <w:instrText xml:space="preserve"> HYPERLINK "https://stock.finance.sina.com.cn/stock/go.php/vReport_Show/kind/11/rptid/818156867496/index.phtml" \h </w:instrText>
      </w:r>
      <w:r>
        <w:fldChar w:fldCharType="separate"/>
      </w:r>
      <w:r>
        <w:rPr>
          <w:rStyle w:val="13"/>
          <w:color w:val="0563C1"/>
        </w:rPr>
        <w:t>[222,235]. 贵金属期货与期权日度策略</w:t>
      </w:r>
      <w:r>
        <w:rPr>
          <w:rStyle w:val="13"/>
          <w:color w:val="0563C1"/>
        </w:rPr>
        <w:fldChar w:fldCharType="end"/>
      </w:r>
    </w:p>
    <w:p w14:paraId="3A9D9E0B">
      <w:pPr>
        <w:spacing w:after="200" w:line="400" w:lineRule="atLeast"/>
      </w:pPr>
      <w:r>
        <w:fldChar w:fldCharType="begin"/>
      </w:r>
      <w:r>
        <w:instrText xml:space="preserve"> HYPERLINK "https://pdf.dfcfw.com/pdf/H3_AP202312081613632023_1.pdf" \h </w:instrText>
      </w:r>
      <w:r>
        <w:fldChar w:fldCharType="separate"/>
      </w:r>
      <w:r>
        <w:rPr>
          <w:rStyle w:val="13"/>
          <w:color w:val="0563C1"/>
        </w:rPr>
        <w:t>[223,232]. 贵金属行业研究</w:t>
      </w:r>
      <w:r>
        <w:rPr>
          <w:rStyle w:val="13"/>
          <w:color w:val="0563C1"/>
        </w:rPr>
        <w:fldChar w:fldCharType="end"/>
      </w:r>
    </w:p>
    <w:p w14:paraId="77F15593">
      <w:pPr>
        <w:spacing w:after="200" w:line="400" w:lineRule="atLeast"/>
      </w:pPr>
      <w:r>
        <w:fldChar w:fldCharType="begin"/>
      </w:r>
      <w:r>
        <w:instrText xml:space="preserve"> HYPERLINK "https://files.metaso.cn/api/public-file/preview?fileName=8687058633879625728.pdf" \h </w:instrText>
      </w:r>
      <w:r>
        <w:fldChar w:fldCharType="separate"/>
      </w:r>
      <w:r>
        <w:rPr>
          <w:rStyle w:val="13"/>
          <w:color w:val="0563C1"/>
        </w:rPr>
        <w:t>[224,226,233]. 有色牛市再进阶，AI 和机器人新材料乘风而起</w:t>
      </w:r>
      <w:r>
        <w:rPr>
          <w:rStyle w:val="13"/>
          <w:color w:val="0563C1"/>
        </w:rPr>
        <w:fldChar w:fldCharType="end"/>
      </w:r>
    </w:p>
    <w:p w14:paraId="25E4226B">
      <w:pPr>
        <w:spacing w:after="200" w:line="400" w:lineRule="atLeast"/>
      </w:pPr>
      <w:r>
        <w:fldChar w:fldCharType="begin"/>
      </w:r>
      <w:r>
        <w:instrText xml:space="preserve"> HYPERLINK "https://www.163.com/dy/article/KD45MEBF0534A4SC.html" \h </w:instrText>
      </w:r>
      <w:r>
        <w:fldChar w:fldCharType="separate"/>
      </w:r>
      <w:r>
        <w:rPr>
          <w:rStyle w:val="13"/>
          <w:color w:val="0563C1"/>
        </w:rPr>
        <w:t>[227]. 美联储如期降息并将结束缩表，黄金ETF基金(159937)回调超1%，机构：金价阶段性调整后有望重回涨势</w:t>
      </w:r>
      <w:r>
        <w:rPr>
          <w:rStyle w:val="13"/>
          <w:color w:val="0563C1"/>
        </w:rPr>
        <w:fldChar w:fldCharType="end"/>
      </w:r>
    </w:p>
    <w:p w14:paraId="04AF93BD">
      <w:pPr>
        <w:spacing w:after="200" w:line="400" w:lineRule="atLeast"/>
      </w:pPr>
      <w:r>
        <w:fldChar w:fldCharType="begin"/>
      </w:r>
      <w:r>
        <w:instrText xml:space="preserve"> HYPERLINK "https://m.163.com/dy/article/JFGCDIRO0556A3IO.html" \h </w:instrText>
      </w:r>
      <w:r>
        <w:fldChar w:fldCharType="separate"/>
      </w:r>
      <w:r>
        <w:rPr>
          <w:rStyle w:val="13"/>
          <w:color w:val="0563C1"/>
        </w:rPr>
        <w:t>[228]. 241025 新黄金定价模型</w:t>
      </w:r>
      <w:r>
        <w:rPr>
          <w:rStyle w:val="13"/>
          <w:color w:val="0563C1"/>
        </w:rPr>
        <w:fldChar w:fldCharType="end"/>
      </w:r>
    </w:p>
    <w:p w14:paraId="5710D1A0">
      <w:pPr>
        <w:spacing w:after="200" w:line="400" w:lineRule="atLeast"/>
      </w:pPr>
      <w:r>
        <w:fldChar w:fldCharType="begin"/>
      </w:r>
      <w:r>
        <w:instrText xml:space="preserve"> HYPERLINK "https://htfc.com/wz_upload/png_upload/20251207/176510161452469836c.pdf" \h </w:instrText>
      </w:r>
      <w:r>
        <w:fldChar w:fldCharType="separate"/>
      </w:r>
      <w:r>
        <w:rPr>
          <w:rStyle w:val="13"/>
          <w:color w:val="0563C1"/>
        </w:rPr>
        <w:t>[230]. Stabilized inflation plus softening jobs data underpins Fed's rate cut path</w:t>
      </w:r>
      <w:r>
        <w:rPr>
          <w:rStyle w:val="13"/>
          <w:color w:val="0563C1"/>
        </w:rPr>
        <w:fldChar w:fldCharType="end"/>
      </w:r>
    </w:p>
    <w:p w14:paraId="0AD6B014">
      <w:pPr>
        <w:spacing w:after="200" w:line="400" w:lineRule="atLeast"/>
      </w:pPr>
      <w:r>
        <w:fldChar w:fldCharType="begin"/>
      </w:r>
      <w:r>
        <w:instrText xml:space="preserve"> HYPERLINK "http://www.ccb.com/cn/gold/upload/hjzk/20140106_1388972398/20140106094504583688.pdf" \h </w:instrText>
      </w:r>
      <w:r>
        <w:fldChar w:fldCharType="separate"/>
      </w:r>
      <w:r>
        <w:rPr>
          <w:rStyle w:val="13"/>
          <w:color w:val="0563C1"/>
        </w:rPr>
        <w:t>[231]. 2013年国际黄金市场回顾与展望</w:t>
      </w:r>
      <w:r>
        <w:rPr>
          <w:rStyle w:val="13"/>
          <w:color w:val="0563C1"/>
        </w:rPr>
        <w:fldChar w:fldCharType="end"/>
      </w:r>
    </w:p>
    <w:p w14:paraId="4DB37B31">
      <w:pPr>
        <w:spacing w:after="200" w:line="400" w:lineRule="atLeast"/>
      </w:pPr>
      <w:r>
        <w:fldChar w:fldCharType="begin"/>
      </w:r>
      <w:r>
        <w:instrText xml:space="preserve"> HYPERLINK "https://www.sgpjbg.com/baogao/147799.html" \h </w:instrText>
      </w:r>
      <w:r>
        <w:fldChar w:fldCharType="separate"/>
      </w:r>
      <w:r>
        <w:rPr>
          <w:rStyle w:val="13"/>
          <w:color w:val="0563C1"/>
        </w:rPr>
        <w:t>[234]. IGWT：2023年执信黄金报告</w:t>
      </w:r>
      <w:r>
        <w:rPr>
          <w:rStyle w:val="13"/>
          <w:color w:val="0563C1"/>
        </w:rPr>
        <w:fldChar w:fldCharType="end"/>
      </w:r>
    </w:p>
    <w:p w14:paraId="4E391ECE">
      <w:pPr>
        <w:spacing w:after="200" w:line="400" w:lineRule="atLeast"/>
      </w:pPr>
      <w:r>
        <w:fldChar w:fldCharType="begin"/>
      </w:r>
      <w:r>
        <w:instrText xml:space="preserve"> HYPERLINK "https://www.statmuse.com/money/ask/gold-price-chart-by-month-in-inr" \h </w:instrText>
      </w:r>
      <w:r>
        <w:fldChar w:fldCharType="separate"/>
      </w:r>
      <w:r>
        <w:rPr>
          <w:rStyle w:val="13"/>
          <w:color w:val="0563C1"/>
        </w:rPr>
        <w:t>[237,252]. Gold Price Chart By Month In Inr | StatMuse Money</w:t>
      </w:r>
      <w:r>
        <w:rPr>
          <w:rStyle w:val="13"/>
          <w:color w:val="0563C1"/>
        </w:rPr>
        <w:fldChar w:fldCharType="end"/>
      </w:r>
    </w:p>
    <w:p w14:paraId="3C28C7A1">
      <w:pPr>
        <w:spacing w:after="200" w:line="400" w:lineRule="atLeast"/>
      </w:pPr>
      <w:r>
        <w:fldChar w:fldCharType="begin"/>
      </w:r>
      <w:r>
        <w:instrText xml:space="preserve"> HYPERLINK "http://www.kelseywilliamsgold.com/category/gold/" \h </w:instrText>
      </w:r>
      <w:r>
        <w:fldChar w:fldCharType="separate"/>
      </w:r>
      <w:r>
        <w:rPr>
          <w:rStyle w:val="13"/>
          <w:color w:val="0563C1"/>
        </w:rPr>
        <w:t>[244]. Gold Prices – 100 Year Historical Chart</w:t>
      </w:r>
      <w:r>
        <w:rPr>
          <w:rStyle w:val="13"/>
          <w:color w:val="0563C1"/>
        </w:rPr>
        <w:fldChar w:fldCharType="end"/>
      </w:r>
    </w:p>
    <w:p w14:paraId="23172B70">
      <w:pPr>
        <w:spacing w:after="200" w:line="400" w:lineRule="atLeast"/>
      </w:pPr>
      <w:r>
        <w:fldChar w:fldCharType="begin"/>
      </w:r>
      <w:r>
        <w:instrText xml:space="preserve"> HYPERLINK "https://www.mckinsey.org/~/media/mckinsey/business%20functions/strategy%20and%20corporate%20finance/our%20insights/global%20economics%20intelligence%20executive%20summary%20december%202023/gei-critical-trends-and-risks-december-2023.pdf" \h </w:instrText>
      </w:r>
      <w:r>
        <w:fldChar w:fldCharType="separate"/>
      </w:r>
      <w:r>
        <w:rPr>
          <w:rStyle w:val="13"/>
          <w:color w:val="0563C1"/>
        </w:rPr>
        <w:t>[247]. Global Economics Intelligence: Critical trends and risks</w:t>
      </w:r>
      <w:r>
        <w:rPr>
          <w:rStyle w:val="13"/>
          <w:color w:val="0563C1"/>
        </w:rPr>
        <w:fldChar w:fldCharType="end"/>
      </w:r>
    </w:p>
    <w:p w14:paraId="3E5AA31E">
      <w:pPr>
        <w:spacing w:after="200" w:line="400" w:lineRule="atLeast"/>
      </w:pPr>
      <w:r>
        <w:fldChar w:fldCharType="begin"/>
      </w:r>
      <w:r>
        <w:instrText xml:space="preserve"> HYPERLINK "https://www.annualreports.com/HostedData/AnnualReportArchive/b/NYSE_ABX_2010.pdf" \h </w:instrText>
      </w:r>
      <w:r>
        <w:fldChar w:fldCharType="separate"/>
      </w:r>
      <w:r>
        <w:rPr>
          <w:rStyle w:val="13"/>
          <w:color w:val="0563C1"/>
        </w:rPr>
        <w:t>[248]. Building Value in Everything We Do</w:t>
      </w:r>
      <w:r>
        <w:rPr>
          <w:rStyle w:val="13"/>
          <w:color w:val="0563C1"/>
        </w:rPr>
        <w:fldChar w:fldCharType="end"/>
      </w:r>
    </w:p>
    <w:p w14:paraId="5189BF6B">
      <w:pPr>
        <w:spacing w:after="200" w:line="400" w:lineRule="atLeast"/>
      </w:pPr>
      <w:r>
        <w:fldChar w:fldCharType="begin"/>
      </w:r>
      <w:r>
        <w:instrText xml:space="preserve"> HYPERLINK "https://goldpriceg.com/gold-rates/usa-us/oz-usd-dollar" \h </w:instrText>
      </w:r>
      <w:r>
        <w:fldChar w:fldCharType="separate"/>
      </w:r>
      <w:r>
        <w:rPr>
          <w:rStyle w:val="13"/>
          <w:color w:val="0563C1"/>
        </w:rPr>
        <w:t>[253]. Gold Price Per Gram in USD</w:t>
      </w:r>
      <w:r>
        <w:rPr>
          <w:rStyle w:val="13"/>
          <w:color w:val="0563C1"/>
        </w:rPr>
        <w:fldChar w:fldCharType="end"/>
      </w:r>
    </w:p>
    <w:p w14:paraId="2A1BE0E9">
      <w:pPr>
        <w:spacing w:after="200" w:line="400" w:lineRule="atLeast"/>
      </w:pPr>
      <w:r>
        <w:fldChar w:fldCharType="begin"/>
      </w:r>
      <w:r>
        <w:instrText xml:space="preserve"> HYPERLINK "https://www.gold.org/goldhub/gold-focus/2024/01/central-banks-bought-net-44t-gold-november" \h </w:instrText>
      </w:r>
      <w:r>
        <w:fldChar w:fldCharType="separate"/>
      </w:r>
      <w:r>
        <w:rPr>
          <w:rStyle w:val="13"/>
          <w:color w:val="0563C1"/>
        </w:rPr>
        <w:t>[256]. Reported global central bank gold reserves</w:t>
      </w:r>
      <w:r>
        <w:rPr>
          <w:rStyle w:val="13"/>
          <w:color w:val="0563C1"/>
        </w:rPr>
        <w:fldChar w:fldCharType="end"/>
      </w:r>
    </w:p>
    <w:p w14:paraId="4DD658B7">
      <w:pPr>
        <w:spacing w:after="200" w:line="400" w:lineRule="atLeast"/>
      </w:pPr>
      <w:r>
        <w:fldChar w:fldCharType="begin"/>
      </w:r>
      <w:r>
        <w:instrText xml:space="preserve"> HYPERLINK "https://www.researchaffiliates.com/content/dam/ra/publications/pdf/1079-gold-5000.pdf" \h </w:instrText>
      </w:r>
      <w:r>
        <w:fldChar w:fldCharType="separate"/>
      </w:r>
      <w:r>
        <w:rPr>
          <w:rStyle w:val="13"/>
          <w:color w:val="0563C1"/>
        </w:rPr>
        <w:t>[271]. Gold $5,000?</w:t>
      </w:r>
      <w:r>
        <w:rPr>
          <w:rStyle w:val="13"/>
          <w:color w:val="0563C1"/>
        </w:rPr>
        <w:fldChar w:fldCharType="end"/>
      </w:r>
    </w:p>
    <w:p w14:paraId="02D2A1EC">
      <w:pPr>
        <w:spacing w:after="400" w:line="400" w:lineRule="atLeast"/>
      </w:pPr>
      <w:r>
        <w:rPr>
          <w:i/>
        </w:rPr>
        <w:t>以下来源未被直接引用</w:t>
      </w:r>
    </w:p>
    <w:p w14:paraId="1B8C1CC0">
      <w:pPr>
        <w:spacing w:after="200" w:line="400" w:lineRule="atLeast"/>
      </w:pPr>
      <w:r>
        <w:fldChar w:fldCharType="begin"/>
      </w:r>
      <w:r>
        <w:instrText xml:space="preserve"> HYPERLINK "https://www.skyboundcapital.com/wp-content/uploads/2025/12/2025.12.17.pdf" \h </w:instrText>
      </w:r>
      <w:r>
        <w:fldChar w:fldCharType="separate"/>
      </w:r>
      <w:r>
        <w:rPr>
          <w:rStyle w:val="13"/>
          <w:color w:val="0563C1"/>
        </w:rPr>
        <w:t>DAILY GLOBAL MARKET UPDATE</w:t>
      </w:r>
      <w:r>
        <w:rPr>
          <w:rStyle w:val="13"/>
          <w:color w:val="0563C1"/>
        </w:rPr>
        <w:fldChar w:fldCharType="end"/>
      </w:r>
    </w:p>
    <w:p w14:paraId="0A60CB84">
      <w:pPr>
        <w:spacing w:after="200" w:line="400" w:lineRule="atLeast"/>
      </w:pPr>
      <w:r>
        <w:fldChar w:fldCharType="begin"/>
      </w:r>
      <w:r>
        <w:instrText xml:space="preserve"> HYPERLINK "https://help.aliyun.com/document_detail/2985092.html" \h </w:instrText>
      </w:r>
      <w:r>
        <w:fldChar w:fldCharType="separate"/>
      </w:r>
      <w:r>
        <w:rPr>
          <w:rStyle w:val="13"/>
          <w:color w:val="0563C1"/>
        </w:rPr>
        <w:t>现货贵金属-国际现货</w:t>
      </w:r>
      <w:r>
        <w:rPr>
          <w:rStyle w:val="13"/>
          <w:color w:val="0563C1"/>
        </w:rPr>
        <w:fldChar w:fldCharType="end"/>
      </w:r>
    </w:p>
    <w:p w14:paraId="0AE5FDC7">
      <w:pPr>
        <w:spacing w:after="200" w:line="400" w:lineRule="atLeast"/>
      </w:pPr>
      <w:r>
        <w:fldChar w:fldCharType="begin"/>
      </w:r>
      <w:r>
        <w:instrText xml:space="preserve"> HYPERLINK "https://www.statmuse.com/money/ask?q=how%20much%20did%20%28gld%29%20cost%20in%20october%202025" \h </w:instrText>
      </w:r>
      <w:r>
        <w:fldChar w:fldCharType="separate"/>
      </w:r>
      <w:r>
        <w:rPr>
          <w:rStyle w:val="13"/>
          <w:color w:val="0563C1"/>
        </w:rPr>
        <w:t>How Much Did (gld) Cost In October 2025 | StatMuse Money</w:t>
      </w:r>
      <w:r>
        <w:rPr>
          <w:rStyle w:val="13"/>
          <w:color w:val="0563C1"/>
        </w:rPr>
        <w:fldChar w:fldCharType="end"/>
      </w:r>
    </w:p>
    <w:p w14:paraId="67041679">
      <w:pPr>
        <w:spacing w:after="200" w:line="400" w:lineRule="atLeast"/>
      </w:pPr>
      <w:r>
        <w:fldChar w:fldCharType="begin"/>
      </w:r>
      <w:r>
        <w:instrText xml:space="preserve"> HYPERLINK "http://finance.sina.com.cn/money/nmetal/20101224/10149157686.shtml?from=wap" \h </w:instrText>
      </w:r>
      <w:r>
        <w:fldChar w:fldCharType="separate"/>
      </w:r>
      <w:r>
        <w:rPr>
          <w:rStyle w:val="13"/>
          <w:color w:val="0563C1"/>
        </w:rPr>
        <w:t>稳健的黄金2010与值得期待的黄金2011</w:t>
      </w:r>
      <w:r>
        <w:rPr>
          <w:rStyle w:val="13"/>
          <w:color w:val="0563C1"/>
        </w:rPr>
        <w:fldChar w:fldCharType="end"/>
      </w:r>
    </w:p>
    <w:p w14:paraId="0BFBA774">
      <w:pPr>
        <w:spacing w:after="200" w:line="400" w:lineRule="atLeast"/>
      </w:pPr>
      <w:r>
        <w:fldChar w:fldCharType="begin"/>
      </w:r>
      <w:r>
        <w:instrText xml:space="preserve"> HYPERLINK "http://www.pbc.gov.cn/en/3688235/3688609/3688630/index.html" \h </w:instrText>
      </w:r>
      <w:r>
        <w:fldChar w:fldCharType="separate"/>
      </w:r>
      <w:r>
        <w:rPr>
          <w:rStyle w:val="13"/>
          <w:color w:val="0563C1"/>
        </w:rPr>
        <w:t>Gold Market</w:t>
      </w:r>
      <w:r>
        <w:rPr>
          <w:rStyle w:val="13"/>
          <w:color w:val="0563C1"/>
        </w:rPr>
        <w:fldChar w:fldCharType="end"/>
      </w:r>
    </w:p>
    <w:p w14:paraId="647E5EA5">
      <w:pPr>
        <w:spacing w:after="200" w:line="400" w:lineRule="atLeast"/>
      </w:pPr>
      <w:r>
        <w:fldChar w:fldCharType="begin"/>
      </w:r>
      <w:r>
        <w:instrText xml:space="preserve"> HYPERLINK "https://www.gold.org/download/file/17696/GDT30-Two-Pager.pdf" \h </w:instrText>
      </w:r>
      <w:r>
        <w:fldChar w:fldCharType="separate"/>
      </w:r>
      <w:r>
        <w:rPr>
          <w:rStyle w:val="13"/>
          <w:color w:val="0563C1"/>
        </w:rPr>
        <w:t>30 years of Gold Demand Trends</w:t>
      </w:r>
      <w:r>
        <w:rPr>
          <w:rStyle w:val="13"/>
          <w:color w:val="0563C1"/>
        </w:rPr>
        <w:fldChar w:fldCharType="end"/>
      </w:r>
    </w:p>
    <w:p w14:paraId="01507C78">
      <w:pPr>
        <w:spacing w:after="200" w:line="400" w:lineRule="atLeast"/>
      </w:pPr>
      <w:r>
        <w:fldChar w:fldCharType="begin"/>
      </w:r>
      <w:r>
        <w:instrText xml:space="preserve"> HYPERLINK "https://www.gold.org/about-gold/market-structure-and-flows" \h </w:instrText>
      </w:r>
      <w:r>
        <w:fldChar w:fldCharType="separate"/>
      </w:r>
      <w:r>
        <w:rPr>
          <w:rStyle w:val="13"/>
          <w:color w:val="0563C1"/>
        </w:rPr>
        <w:t>Gold Market Structure and Flows</w:t>
      </w:r>
      <w:r>
        <w:rPr>
          <w:rStyle w:val="13"/>
          <w:color w:val="0563C1"/>
        </w:rPr>
        <w:fldChar w:fldCharType="end"/>
      </w:r>
    </w:p>
    <w:p w14:paraId="49178F3C">
      <w:pPr>
        <w:spacing w:after="200" w:line="400" w:lineRule="atLeast"/>
      </w:pPr>
      <w:r>
        <w:fldChar w:fldCharType="begin"/>
      </w:r>
      <w:r>
        <w:instrText xml:space="preserve"> HYPERLINK "https://www.kasikornasset.com/th/Pages/GlobalPartnership/pdf/know_the_markets/KTM_4Q2025.pdf" \h </w:instrText>
      </w:r>
      <w:r>
        <w:fldChar w:fldCharType="separate"/>
      </w:r>
      <w:r>
        <w:rPr>
          <w:rStyle w:val="13"/>
          <w:color w:val="0563C1"/>
        </w:rPr>
        <w:t>Know The Markets</w:t>
      </w:r>
      <w:r>
        <w:rPr>
          <w:rStyle w:val="13"/>
          <w:color w:val="0563C1"/>
        </w:rPr>
        <w:fldChar w:fldCharType="end"/>
      </w:r>
    </w:p>
    <w:p w14:paraId="310DD9B0">
      <w:pPr>
        <w:spacing w:after="200" w:line="400" w:lineRule="atLeast"/>
      </w:pPr>
      <w:r>
        <w:fldChar w:fldCharType="begin"/>
      </w:r>
      <w:r>
        <w:instrText xml:space="preserve"> HYPERLINK "https://www.statista.com/statistics/238414/global-gold-production-since-2005/?srsltid=AfmBOorHxAAnpOFTpcRMnXlTpRuV7t-egq9t3EObk8JxnYyFWbBv6w5d" \h </w:instrText>
      </w:r>
      <w:r>
        <w:fldChar w:fldCharType="separate"/>
      </w:r>
      <w:r>
        <w:rPr>
          <w:rStyle w:val="13"/>
          <w:color w:val="0563C1"/>
        </w:rPr>
        <w:t>Mine production of gold worldwide from 2010 to 2024 (in metric tons)</w:t>
      </w:r>
      <w:r>
        <w:rPr>
          <w:rStyle w:val="13"/>
          <w:color w:val="0563C1"/>
        </w:rPr>
        <w:fldChar w:fldCharType="end"/>
      </w:r>
    </w:p>
    <w:p w14:paraId="5760B382">
      <w:pPr>
        <w:spacing w:after="200" w:line="400" w:lineRule="atLeast"/>
      </w:pPr>
      <w:r>
        <w:fldChar w:fldCharType="begin"/>
      </w:r>
      <w:r>
        <w:instrText xml:space="preserve"> HYPERLINK "https://www.statista.com/statistics/1061454/gold-other-assets-10-year-average-returns-global/" \h </w:instrText>
      </w:r>
      <w:r>
        <w:fldChar w:fldCharType="separate"/>
      </w:r>
      <w:r>
        <w:rPr>
          <w:rStyle w:val="13"/>
          <w:color w:val="0563C1"/>
        </w:rPr>
        <w:t>10-year average return of gold and other assets worldwide as of 2023</w:t>
      </w:r>
      <w:r>
        <w:rPr>
          <w:rStyle w:val="13"/>
          <w:color w:val="0563C1"/>
        </w:rPr>
        <w:fldChar w:fldCharType="end"/>
      </w:r>
    </w:p>
    <w:p w14:paraId="73983E49">
      <w:pPr>
        <w:spacing w:after="200" w:line="400" w:lineRule="atLeast"/>
      </w:pPr>
      <w:r>
        <w:fldChar w:fldCharType="begin"/>
      </w:r>
      <w:r>
        <w:instrText xml:space="preserve"> HYPERLINK "https://stock.finance.sina.com.cn/stock/go.php/vReport_Show/kind/macro/rptid/769525785596/index.phtml" \h </w:instrText>
      </w:r>
      <w:r>
        <w:fldChar w:fldCharType="separate"/>
      </w:r>
      <w:r>
        <w:rPr>
          <w:rStyle w:val="13"/>
          <w:color w:val="0563C1"/>
        </w:rPr>
        <w:t>广发宏观：基于久期与凸性量化黄金空间</w:t>
      </w:r>
      <w:r>
        <w:rPr>
          <w:rStyle w:val="13"/>
          <w:color w:val="0563C1"/>
        </w:rPr>
        <w:fldChar w:fldCharType="end"/>
      </w:r>
    </w:p>
    <w:p w14:paraId="0F01605A">
      <w:pPr>
        <w:spacing w:after="200" w:line="400" w:lineRule="atLeast"/>
      </w:pPr>
      <w:r>
        <w:fldChar w:fldCharType="begin"/>
      </w:r>
      <w:r>
        <w:instrText xml:space="preserve"> HYPERLINK "http://finance.sina.com.cn/money/future/20140720/220419762977.shtml?from=wap" \h </w:instrText>
      </w:r>
      <w:r>
        <w:fldChar w:fldCharType="separate"/>
      </w:r>
      <w:r>
        <w:rPr>
          <w:rStyle w:val="13"/>
          <w:color w:val="0563C1"/>
        </w:rPr>
        <w:t>贵金属：受困的“黄金”岁月</w:t>
      </w:r>
      <w:r>
        <w:rPr>
          <w:rStyle w:val="13"/>
          <w:color w:val="0563C1"/>
        </w:rPr>
        <w:fldChar w:fldCharType="end"/>
      </w:r>
    </w:p>
    <w:p w14:paraId="7488EDC3">
      <w:pPr>
        <w:spacing w:after="200" w:line="400" w:lineRule="atLeast"/>
      </w:pPr>
      <w:r>
        <w:fldChar w:fldCharType="begin"/>
      </w:r>
      <w:r>
        <w:instrText xml:space="preserve"> HYPERLINK "https://finance.sina.cn/2022-08-23/detail-imizirav9284397.d.html" \h </w:instrText>
      </w:r>
      <w:r>
        <w:fldChar w:fldCharType="separate"/>
      </w:r>
      <w:r>
        <w:rPr>
          <w:rStyle w:val="13"/>
          <w:color w:val="0563C1"/>
        </w:rPr>
        <w:t>中金|贵金属：资产配置中的黄金角色</w:t>
      </w:r>
      <w:r>
        <w:rPr>
          <w:rStyle w:val="13"/>
          <w:color w:val="0563C1"/>
        </w:rPr>
        <w:fldChar w:fldCharType="end"/>
      </w:r>
    </w:p>
    <w:p w14:paraId="347A2E32">
      <w:pPr>
        <w:spacing w:after="200" w:line="400" w:lineRule="atLeast"/>
      </w:pPr>
      <w:r>
        <w:fldChar w:fldCharType="begin"/>
      </w:r>
      <w:r>
        <w:instrText xml:space="preserve"> HYPERLINK "https://files.metaso.cn/api/public-file/preview?fileName=8693984848316387328.pdf" \h </w:instrText>
      </w:r>
      <w:r>
        <w:fldChar w:fldCharType="separate"/>
      </w:r>
      <w:r>
        <w:rPr>
          <w:rStyle w:val="13"/>
          <w:color w:val="0563C1"/>
        </w:rPr>
        <w:t>变革与稳态：重构全球债务周期的两大路径</w:t>
      </w:r>
      <w:r>
        <w:rPr>
          <w:rStyle w:val="13"/>
          <w:color w:val="0563C1"/>
        </w:rPr>
        <w:fldChar w:fldCharType="end"/>
      </w:r>
    </w:p>
    <w:p w14:paraId="41507183">
      <w:pPr>
        <w:spacing w:after="200" w:line="400" w:lineRule="atLeast"/>
      </w:pPr>
      <w:r>
        <w:fldChar w:fldCharType="begin"/>
      </w:r>
      <w:r>
        <w:instrText xml:space="preserve"> HYPERLINK "https://www.gwyoo.com/haowen/58212.html" \h </w:instrText>
      </w:r>
      <w:r>
        <w:fldChar w:fldCharType="separate"/>
      </w:r>
      <w:r>
        <w:rPr>
          <w:rStyle w:val="13"/>
          <w:color w:val="0563C1"/>
        </w:rPr>
        <w:t>黄金价格影响因素分析及模糊综合评价研究</w:t>
      </w:r>
      <w:r>
        <w:rPr>
          <w:rStyle w:val="13"/>
          <w:color w:val="0563C1"/>
        </w:rPr>
        <w:fldChar w:fldCharType="end"/>
      </w:r>
    </w:p>
    <w:p w14:paraId="64E3B45B">
      <w:pPr>
        <w:spacing w:after="200" w:line="400" w:lineRule="atLeast"/>
      </w:pPr>
      <w:r>
        <w:fldChar w:fldCharType="begin"/>
      </w:r>
      <w:r>
        <w:instrText xml:space="preserve"> HYPERLINK "https://www.bankofcanada.ca/wp-content/uploads/2022/11/reserve-demand-quantitative-tightening.pdf" \h </w:instrText>
      </w:r>
      <w:r>
        <w:fldChar w:fldCharType="separate"/>
      </w:r>
      <w:r>
        <w:rPr>
          <w:rStyle w:val="13"/>
          <w:color w:val="0563C1"/>
        </w:rPr>
        <w:t>Reserve Demand and Quantitative Tightening</w:t>
      </w:r>
      <w:r>
        <w:rPr>
          <w:rStyle w:val="13"/>
          <w:color w:val="0563C1"/>
        </w:rPr>
        <w:fldChar w:fldCharType="end"/>
      </w:r>
    </w:p>
    <w:p w14:paraId="77A6BFBB">
      <w:pPr>
        <w:spacing w:after="200" w:line="400" w:lineRule="atLeast"/>
      </w:pPr>
      <w:r>
        <w:fldChar w:fldCharType="begin"/>
      </w:r>
      <w:r>
        <w:instrText xml:space="preserve"> HYPERLINK "https://www.statmuse.com/money/ask/gold-price-per-ounce-monthly-2023" \h </w:instrText>
      </w:r>
      <w:r>
        <w:fldChar w:fldCharType="separate"/>
      </w:r>
      <w:r>
        <w:rPr>
          <w:rStyle w:val="13"/>
          <w:color w:val="0563C1"/>
        </w:rPr>
        <w:t>Gold Price Per Ounce Monthly 2023 | StatMuse Money</w:t>
      </w:r>
      <w:r>
        <w:rPr>
          <w:rStyle w:val="13"/>
          <w:color w:val="0563C1"/>
        </w:rPr>
        <w:fldChar w:fldCharType="end"/>
      </w:r>
    </w:p>
    <w:p w14:paraId="1BA74361">
      <w:pPr>
        <w:spacing w:after="200" w:line="400" w:lineRule="atLeast"/>
      </w:pPr>
      <w:r>
        <w:fldChar w:fldCharType="begin"/>
      </w:r>
      <w:r>
        <w:instrText xml:space="preserve"> HYPERLINK "https://goldprice.org/" \h </w:instrText>
      </w:r>
      <w:r>
        <w:fldChar w:fldCharType="separate"/>
      </w:r>
      <w:r>
        <w:rPr>
          <w:rStyle w:val="13"/>
          <w:color w:val="0563C1"/>
        </w:rPr>
        <w:t>Gold Price Charts &amp; Historical Data - GoldPrice.org</w:t>
      </w:r>
      <w:r>
        <w:rPr>
          <w:rStyle w:val="13"/>
          <w:color w:val="0563C1"/>
        </w:rPr>
        <w:fldChar w:fldCharType="end"/>
      </w:r>
    </w:p>
    <w:p w14:paraId="24B2078C">
      <w:pPr>
        <w:spacing w:after="200" w:line="400" w:lineRule="atLeast"/>
      </w:pPr>
      <w:r>
        <w:fldChar w:fldCharType="begin"/>
      </w:r>
      <w:r>
        <w:instrText xml:space="preserve"> HYPERLINK "https://www.statmuse.com/money/ask/average-gold-price-per-ounce-monthly-2023" \h </w:instrText>
      </w:r>
      <w:r>
        <w:fldChar w:fldCharType="separate"/>
      </w:r>
      <w:r>
        <w:rPr>
          <w:rStyle w:val="13"/>
          <w:color w:val="0563C1"/>
        </w:rPr>
        <w:t>Average Gold Price Per Ounce Monthly 2023 | StatMuse Money</w:t>
      </w:r>
      <w:r>
        <w:rPr>
          <w:rStyle w:val="13"/>
          <w:color w:val="0563C1"/>
        </w:rPr>
        <w:fldChar w:fldCharType="end"/>
      </w:r>
    </w:p>
    <w:p w14:paraId="78C313AF">
      <w:pPr>
        <w:spacing w:after="200" w:line="400" w:lineRule="atLeast"/>
      </w:pPr>
      <w:r>
        <w:fldChar w:fldCharType="begin"/>
      </w:r>
      <w:r>
        <w:instrText xml:space="preserve"> HYPERLINK "https://goldpricez.com/cn/ounce" \h </w:instrText>
      </w:r>
      <w:r>
        <w:fldChar w:fldCharType="separate"/>
      </w:r>
      <w:r>
        <w:rPr>
          <w:rStyle w:val="13"/>
          <w:color w:val="0563C1"/>
        </w:rPr>
        <w:t>Gold Price per Ounce in China</w:t>
      </w:r>
      <w:r>
        <w:rPr>
          <w:rStyle w:val="13"/>
          <w:color w:val="0563C1"/>
        </w:rPr>
        <w:fldChar w:fldCharType="end"/>
      </w:r>
    </w:p>
    <w:p w14:paraId="7C37879E">
      <w:pPr>
        <w:spacing w:after="200" w:line="400" w:lineRule="atLeast"/>
      </w:pPr>
      <w:r>
        <w:fldChar w:fldCharType="begin"/>
      </w:r>
      <w:r>
        <w:instrText xml:space="preserve"> HYPERLINK "https://www.gold.org/download/file/20243/WMM-10-November-2025-Open-the-spigots.pdf" \h </w:instrText>
      </w:r>
      <w:r>
        <w:fldChar w:fldCharType="separate"/>
      </w:r>
      <w:r>
        <w:rPr>
          <w:rStyle w:val="13"/>
          <w:color w:val="0563C1"/>
        </w:rPr>
        <w:t>Weekly Markets Monitor</w:t>
      </w:r>
      <w:r>
        <w:rPr>
          <w:rStyle w:val="13"/>
          <w:color w:val="0563C1"/>
        </w:rPr>
        <w:fldChar w:fldCharType="end"/>
      </w:r>
    </w:p>
    <w:p w14:paraId="0127AD52">
      <w:pPr>
        <w:spacing w:after="200" w:line="400" w:lineRule="atLeast"/>
      </w:pPr>
      <w:r>
        <w:fldChar w:fldCharType="begin"/>
      </w:r>
      <w:r>
        <w:instrText xml:space="preserve"> HYPERLINK "https://www.ssga.com/library-content/assets/pdf/apac/gold/2025/ja/monthly-gold-monitor-apr-2025.pdf" \h </w:instrText>
      </w:r>
      <w:r>
        <w:fldChar w:fldCharType="separate"/>
      </w:r>
      <w:r>
        <w:rPr>
          <w:rStyle w:val="13"/>
          <w:color w:val="0563C1"/>
        </w:rPr>
        <w:t>Monthly Gold Monitor</w:t>
      </w:r>
      <w:r>
        <w:rPr>
          <w:rStyle w:val="13"/>
          <w:color w:val="0563C1"/>
        </w:rPr>
        <w:fldChar w:fldCharType="end"/>
      </w:r>
    </w:p>
    <w:p w14:paraId="0174D662">
      <w:pPr>
        <w:spacing w:after="200" w:line="400" w:lineRule="atLeast"/>
      </w:pPr>
      <w:r>
        <w:fldChar w:fldCharType="begin"/>
      </w:r>
      <w:r>
        <w:instrText xml:space="preserve"> HYPERLINK "https://www.pbc.gov.cn/en/3688235/3688609/3688630/index.html" \h </w:instrText>
      </w:r>
      <w:r>
        <w:fldChar w:fldCharType="separate"/>
      </w:r>
      <w:r>
        <w:rPr>
          <w:rStyle w:val="13"/>
          <w:color w:val="0563C1"/>
        </w:rPr>
        <w:t>Gold Market</w:t>
      </w:r>
      <w:r>
        <w:rPr>
          <w:rStyle w:val="13"/>
          <w:color w:val="0563C1"/>
        </w:rPr>
        <w:fldChar w:fldCharType="end"/>
      </w:r>
    </w:p>
    <w:p w14:paraId="428F3954">
      <w:pPr>
        <w:spacing w:after="200" w:line="400" w:lineRule="atLeast"/>
      </w:pPr>
      <w:r>
        <w:fldChar w:fldCharType="begin"/>
      </w:r>
      <w:r>
        <w:instrText xml:space="preserve"> HYPERLINK "https://cdn.lbma.org.uk/downloads/Alchemist/PDFs/Alch110Complete_FINAL.pdf" \h </w:instrText>
      </w:r>
      <w:r>
        <w:fldChar w:fldCharType="separate"/>
      </w:r>
      <w:r>
        <w:rPr>
          <w:rStyle w:val="13"/>
          <w:color w:val="0563C1"/>
        </w:rPr>
        <w:t>Alchemist ISSUE 110 July 2023</w:t>
      </w:r>
      <w:r>
        <w:rPr>
          <w:rStyle w:val="13"/>
          <w:color w:val="0563C1"/>
        </w:rPr>
        <w:fldChar w:fldCharType="end"/>
      </w:r>
    </w:p>
    <w:p w14:paraId="5A95748A">
      <w:pPr>
        <w:spacing w:after="200" w:line="400" w:lineRule="atLeast"/>
      </w:pPr>
      <w:r>
        <w:fldChar w:fldCharType="begin"/>
      </w:r>
      <w:r>
        <w:instrText xml:space="preserve"> HYPERLINK "https://mineriaenlinea.com/wp-content/uploads/2023/01/Heraeus_Precious_Metals_Precious_Forecast_2023.pdf" \h </w:instrText>
      </w:r>
      <w:r>
        <w:fldChar w:fldCharType="separate"/>
      </w:r>
      <w:r>
        <w:rPr>
          <w:rStyle w:val="13"/>
          <w:color w:val="0563C1"/>
        </w:rPr>
        <w:t>Precious Metals Forecast 2023</w:t>
      </w:r>
      <w:r>
        <w:rPr>
          <w:rStyle w:val="13"/>
          <w:color w:val="0563C1"/>
        </w:rPr>
        <w:fldChar w:fldCharType="end"/>
      </w:r>
    </w:p>
    <w:p w14:paraId="1DCAC8C4">
      <w:pPr>
        <w:spacing w:after="200" w:line="400" w:lineRule="atLeast"/>
      </w:pPr>
      <w:r>
        <w:fldChar w:fldCharType="begin"/>
      </w:r>
      <w:r>
        <w:instrText xml:space="preserve"> HYPERLINK "https://www.nbkr.kg/DOC/12062023/000000000060688.pdf" \h </w:instrText>
      </w:r>
      <w:r>
        <w:fldChar w:fldCharType="separate"/>
      </w:r>
      <w:r>
        <w:rPr>
          <w:rStyle w:val="13"/>
          <w:color w:val="0563C1"/>
        </w:rPr>
        <w:t>Monetary Policy Report. Quarter 1, 2023</w:t>
      </w:r>
      <w:r>
        <w:rPr>
          <w:rStyle w:val="13"/>
          <w:color w:val="0563C1"/>
        </w:rPr>
        <w:fldChar w:fldCharType="end"/>
      </w:r>
    </w:p>
    <w:p w14:paraId="592521F6">
      <w:pPr>
        <w:spacing w:after="200" w:line="400" w:lineRule="atLeast"/>
      </w:pPr>
      <w:r>
        <w:fldChar w:fldCharType="begin"/>
      </w:r>
      <w:r>
        <w:instrText xml:space="preserve"> HYPERLINK "https://www.dbs.com.sg/content/article/pdf/CIO/2023/202303/CIOInsights2Q23_Gold.pdf" \h </w:instrText>
      </w:r>
      <w:r>
        <w:fldChar w:fldCharType="separate"/>
      </w:r>
      <w:r>
        <w:rPr>
          <w:rStyle w:val="13"/>
          <w:color w:val="0563C1"/>
        </w:rPr>
        <w:t>Gold 2Q23: Driven by the Dollar</w:t>
      </w:r>
      <w:r>
        <w:rPr>
          <w:rStyle w:val="13"/>
          <w:color w:val="0563C1"/>
        </w:rPr>
        <w:fldChar w:fldCharType="end"/>
      </w:r>
    </w:p>
    <w:p w14:paraId="3E67640C">
      <w:pPr>
        <w:spacing w:after="200" w:line="400" w:lineRule="atLeast"/>
      </w:pPr>
      <w:r>
        <w:fldChar w:fldCharType="begin"/>
      </w:r>
      <w:r>
        <w:instrText xml:space="preserve"> HYPERLINK "https://www.bullion-rates.com/gold/USD/2025-10-history.htm" \h </w:instrText>
      </w:r>
      <w:r>
        <w:fldChar w:fldCharType="separate"/>
      </w:r>
      <w:r>
        <w:rPr>
          <w:rStyle w:val="13"/>
          <w:color w:val="0563C1"/>
        </w:rPr>
        <w:t>Gold Price History in US Dollars (USD) for October 2025</w:t>
      </w:r>
      <w:r>
        <w:rPr>
          <w:rStyle w:val="13"/>
          <w:color w:val="0563C1"/>
        </w:rPr>
        <w:fldChar w:fldCharType="end"/>
      </w:r>
    </w:p>
    <w:p w14:paraId="779C1C80">
      <w:pPr>
        <w:spacing w:after="200" w:line="400" w:lineRule="atLeast"/>
      </w:pPr>
      <w:r>
        <w:fldChar w:fldCharType="begin"/>
      </w:r>
      <w:r>
        <w:instrText xml:space="preserve"> HYPERLINK "https://blog.syzgroup.com/hubfs/wrap%20up%201%20november_v4.pdf?hsLang=en" \h </w:instrText>
      </w:r>
      <w:r>
        <w:fldChar w:fldCharType="separate"/>
      </w:r>
      <w:r>
        <w:rPr>
          <w:rStyle w:val="13"/>
          <w:color w:val="0563C1"/>
        </w:rPr>
        <w:t>#GLOBALMARKETS WEEKLY WRAP-UP</w:t>
      </w:r>
      <w:r>
        <w:rPr>
          <w:rStyle w:val="13"/>
          <w:color w:val="0563C1"/>
        </w:rPr>
        <w:fldChar w:fldCharType="end"/>
      </w:r>
    </w:p>
    <w:p w14:paraId="3DB58FAA">
      <w:pPr>
        <w:spacing w:after="200" w:line="400" w:lineRule="atLeast"/>
      </w:pPr>
      <w:r>
        <w:fldChar w:fldCharType="begin"/>
      </w:r>
      <w:r>
        <w:instrText xml:space="preserve"> HYPERLINK "https://www.asx.com.au/asxpdf/20140714/pdf/42qst1tjfzqyzr.pdf" \h </w:instrText>
      </w:r>
      <w:r>
        <w:fldChar w:fldCharType="separate"/>
      </w:r>
      <w:r>
        <w:rPr>
          <w:rStyle w:val="13"/>
          <w:color w:val="0563C1"/>
        </w:rPr>
        <w:t>NOTICE OF GENERAL MEETING and EXPLANATORY STATEMENT</w:t>
      </w:r>
      <w:r>
        <w:rPr>
          <w:rStyle w:val="13"/>
          <w:color w:val="0563C1"/>
        </w:rPr>
        <w:fldChar w:fldCharType="end"/>
      </w:r>
    </w:p>
    <w:p w14:paraId="4BFF557D">
      <w:pPr>
        <w:spacing w:after="200" w:line="400" w:lineRule="atLeast"/>
      </w:pPr>
      <w:r>
        <w:fldChar w:fldCharType="begin"/>
      </w:r>
      <w:r>
        <w:instrText xml:space="preserve"> HYPERLINK "https://www.aitrendview.com/gold-reserves-a-century-in-review-1925-%E2%86%92-2025/" \h </w:instrText>
      </w:r>
      <w:r>
        <w:fldChar w:fldCharType="separate"/>
      </w:r>
      <w:r>
        <w:rPr>
          <w:rStyle w:val="13"/>
          <w:color w:val="0563C1"/>
        </w:rPr>
        <w:t>Global Gold Reserves — A Century in Review (1925 → 2025)</w:t>
      </w:r>
      <w:r>
        <w:rPr>
          <w:rStyle w:val="13"/>
          <w:color w:val="0563C1"/>
        </w:rPr>
        <w:fldChar w:fldCharType="end"/>
      </w:r>
    </w:p>
    <w:p w14:paraId="57EB6928">
      <w:pPr>
        <w:spacing w:after="200" w:line="400" w:lineRule="atLeast"/>
      </w:pPr>
      <w:r>
        <w:fldChar w:fldCharType="begin"/>
      </w:r>
      <w:r>
        <w:instrText xml:space="preserve"> HYPERLINK "https://edrsilver.com/site/assets/files/14558/igwt_chartbook_2025.pdf" \h </w:instrText>
      </w:r>
      <w:r>
        <w:fldChar w:fldCharType="separate"/>
      </w:r>
      <w:r>
        <w:rPr>
          <w:rStyle w:val="13"/>
          <w:color w:val="0563C1"/>
        </w:rPr>
        <w:t>The Big Long</w:t>
      </w:r>
      <w:r>
        <w:rPr>
          <w:rStyle w:val="13"/>
          <w:color w:val="0563C1"/>
        </w:rPr>
        <w:fldChar w:fldCharType="end"/>
      </w:r>
    </w:p>
    <w:p w14:paraId="68A849C8">
      <w:pPr>
        <w:spacing w:after="200" w:line="400" w:lineRule="atLeast"/>
      </w:pPr>
      <w:r>
        <w:fldChar w:fldCharType="begin"/>
      </w:r>
      <w:r>
        <w:instrText xml:space="preserve"> HYPERLINK "https://www.capgemini.com/wp-content/uploads/2017/07/World_Wealth_Report_2010.pdf" \h </w:instrText>
      </w:r>
      <w:r>
        <w:fldChar w:fldCharType="separate"/>
      </w:r>
      <w:r>
        <w:rPr>
          <w:rStyle w:val="13"/>
          <w:color w:val="0563C1"/>
        </w:rPr>
        <w:t>World Wealth Report 2010</w:t>
      </w:r>
      <w:r>
        <w:rPr>
          <w:rStyle w:val="13"/>
          <w:color w:val="0563C1"/>
        </w:rPr>
        <w:fldChar w:fldCharType="end"/>
      </w:r>
    </w:p>
    <w:p w14:paraId="0D29F856">
      <w:pPr>
        <w:spacing w:after="200" w:line="400" w:lineRule="atLeast"/>
      </w:pPr>
      <w:r>
        <w:fldChar w:fldCharType="begin"/>
      </w:r>
      <w:r>
        <w:instrText xml:space="preserve"> HYPERLINK "https://www.usmart.sg/cn/news/7171054192612753523" \h </w:instrText>
      </w:r>
      <w:r>
        <w:fldChar w:fldCharType="separate"/>
      </w:r>
      <w:r>
        <w:rPr>
          <w:rStyle w:val="13"/>
          <w:color w:val="0563C1"/>
        </w:rPr>
        <w:t>Overview and Evolution of Gold Exchange-Traded Funds (ETFs)</w:t>
      </w:r>
      <w:r>
        <w:rPr>
          <w:rStyle w:val="13"/>
          <w:color w:val="0563C1"/>
        </w:rPr>
        <w:fldChar w:fldCharType="end"/>
      </w:r>
    </w:p>
    <w:p w14:paraId="0F992D24">
      <w:pPr>
        <w:spacing w:after="200" w:line="400" w:lineRule="atLeast"/>
      </w:pPr>
      <w:r>
        <w:fldChar w:fldCharType="begin"/>
      </w:r>
      <w:r>
        <w:instrText xml:space="preserve"> HYPERLINK "https://pubs.usgs.gov/periodicals/mcs2024/mcs2024-gold.pdf" \h </w:instrText>
      </w:r>
      <w:r>
        <w:fldChar w:fldCharType="separate"/>
      </w:r>
      <w:r>
        <w:rPr>
          <w:rStyle w:val="13"/>
          <w:color w:val="0563C1"/>
        </w:rPr>
        <w:t>GOLD</w:t>
      </w:r>
      <w:r>
        <w:rPr>
          <w:rStyle w:val="13"/>
          <w:color w:val="0563C1"/>
        </w:rPr>
        <w:fldChar w:fldCharType="end"/>
      </w:r>
    </w:p>
    <w:p w14:paraId="450C4747">
      <w:pPr>
        <w:spacing w:after="200" w:line="400" w:lineRule="atLeast"/>
      </w:pPr>
      <w:r>
        <w:fldChar w:fldCharType="begin"/>
      </w:r>
      <w:r>
        <w:instrText xml:space="preserve"> HYPERLINK "https://www.pnbindia.in/downloadprocess.aspx?fid=32ov3HDnOVTgAtuBOY0g4Q==" \h </w:instrText>
      </w:r>
      <w:r>
        <w:fldChar w:fldCharType="separate"/>
      </w:r>
      <w:r>
        <w:rPr>
          <w:rStyle w:val="13"/>
          <w:color w:val="0563C1"/>
        </w:rPr>
        <w:t>Thematic Research - Central Banks Shore Up Gold Reserves</w:t>
      </w:r>
      <w:r>
        <w:rPr>
          <w:rStyle w:val="13"/>
          <w:color w:val="0563C1"/>
        </w:rPr>
        <w:fldChar w:fldCharType="end"/>
      </w:r>
    </w:p>
    <w:p w14:paraId="4D1D2AF4">
      <w:pPr>
        <w:spacing w:after="200" w:line="400" w:lineRule="atLeast"/>
      </w:pPr>
      <w:r>
        <w:fldChar w:fldCharType="begin"/>
      </w:r>
      <w:r>
        <w:instrText xml:space="preserve"> HYPERLINK "https://goldbroker.com/charts/gold-price/cad" \h </w:instrText>
      </w:r>
      <w:r>
        <w:fldChar w:fldCharType="separate"/>
      </w:r>
      <w:r>
        <w:rPr>
          <w:rStyle w:val="13"/>
          <w:color w:val="0563C1"/>
        </w:rPr>
        <w:t>Markets Closed</w:t>
      </w:r>
      <w:r>
        <w:rPr>
          <w:rStyle w:val="13"/>
          <w:color w:val="0563C1"/>
        </w:rPr>
        <w:fldChar w:fldCharType="end"/>
      </w:r>
    </w:p>
    <w:p w14:paraId="42D20524">
      <w:pPr>
        <w:spacing w:after="200" w:line="400" w:lineRule="atLeast"/>
      </w:pPr>
      <w:r>
        <w:fldChar w:fldCharType="begin"/>
      </w:r>
      <w:r>
        <w:instrText xml:space="preserve"> HYPERLINK "https://finance.sina.cn/2024-10-21/detail-inctiimw2474346.d.html" \h </w:instrText>
      </w:r>
      <w:r>
        <w:fldChar w:fldCharType="separate"/>
      </w:r>
      <w:r>
        <w:rPr>
          <w:rStyle w:val="13"/>
          <w:color w:val="0563C1"/>
        </w:rPr>
        <w:t>金价持续上涨 现货黄金收盘价达2727.60美元/盎司</w:t>
      </w:r>
      <w:r>
        <w:rPr>
          <w:rStyle w:val="13"/>
          <w:color w:val="0563C1"/>
        </w:rPr>
        <w:fldChar w:fldCharType="end"/>
      </w:r>
    </w:p>
    <w:p w14:paraId="52A0E0BC">
      <w:pPr>
        <w:spacing w:after="200" w:line="400" w:lineRule="atLeast"/>
      </w:pPr>
      <w:r>
        <w:fldChar w:fldCharType="begin"/>
      </w:r>
      <w:r>
        <w:instrText xml:space="preserve"> HYPERLINK "https://www.statmuse.com/money/ask/gold-price-per-ounce-last-50-years" \h </w:instrText>
      </w:r>
      <w:r>
        <w:fldChar w:fldCharType="separate"/>
      </w:r>
      <w:r>
        <w:rPr>
          <w:rStyle w:val="13"/>
          <w:color w:val="0563C1"/>
        </w:rPr>
        <w:t>Gold Price Per Ounce Last 50 Years | StatMuse Money</w:t>
      </w:r>
      <w:r>
        <w:rPr>
          <w:rStyle w:val="13"/>
          <w:color w:val="0563C1"/>
        </w:rPr>
        <w:fldChar w:fldCharType="end"/>
      </w:r>
    </w:p>
    <w:p w14:paraId="77B4D483">
      <w:pPr>
        <w:spacing w:after="200" w:line="400" w:lineRule="atLeast"/>
      </w:pPr>
      <w:r>
        <w:fldChar w:fldCharType="begin"/>
      </w:r>
      <w:r>
        <w:instrText xml:space="preserve"> HYPERLINK "https://www.ewadirect.com/proceedings/aemps/article/view/21953" \h </w:instrText>
      </w:r>
      <w:r>
        <w:fldChar w:fldCharType="separate"/>
      </w:r>
      <w:r>
        <w:rPr>
          <w:rStyle w:val="13"/>
          <w:color w:val="0563C1"/>
        </w:rPr>
        <w:t>An Analysis of Gold Price Trends Based on the Current Economic Environment</w:t>
      </w:r>
      <w:r>
        <w:rPr>
          <w:rStyle w:val="13"/>
          <w:color w:val="0563C1"/>
        </w:rPr>
        <w:fldChar w:fldCharType="end"/>
      </w:r>
    </w:p>
    <w:p w14:paraId="5BF45B4F">
      <w:pPr>
        <w:spacing w:after="200" w:line="400" w:lineRule="atLeast"/>
      </w:pPr>
      <w:r>
        <w:fldChar w:fldCharType="begin"/>
      </w:r>
      <w:r>
        <w:instrText xml:space="preserve"> HYPERLINK "http://finance.sina.com.cn/money/nmetal/hjzx/2023-10-13/doc-imzqyepk0851375.shtml" \h </w:instrText>
      </w:r>
      <w:r>
        <w:fldChar w:fldCharType="separate"/>
      </w:r>
      <w:r>
        <w:rPr>
          <w:rStyle w:val="13"/>
          <w:color w:val="0563C1"/>
        </w:rPr>
        <w:t>数据更新 | 9月全球实物黄金ETF持仓减少59吨</w:t>
      </w:r>
      <w:r>
        <w:rPr>
          <w:rStyle w:val="13"/>
          <w:color w:val="0563C1"/>
        </w:rPr>
        <w:fldChar w:fldCharType="end"/>
      </w:r>
    </w:p>
    <w:p w14:paraId="7C0D18B4">
      <w:pPr>
        <w:spacing w:after="200" w:line="400" w:lineRule="atLeast"/>
      </w:pPr>
      <w:r>
        <w:fldChar w:fldCharType="begin"/>
      </w:r>
      <w:r>
        <w:instrText xml:space="preserve"> HYPERLINK "https://files.metaso.cn/api/public-file/preview?fileName=8673491001612685312.pdf" \h </w:instrText>
      </w:r>
      <w:r>
        <w:fldChar w:fldCharType="separate"/>
      </w:r>
      <w:r>
        <w:rPr>
          <w:rStyle w:val="13"/>
          <w:color w:val="0563C1"/>
        </w:rPr>
        <w:t>黄金需求结构：新特征新变化</w:t>
      </w:r>
      <w:r>
        <w:rPr>
          <w:rStyle w:val="13"/>
          <w:color w:val="0563C1"/>
        </w:rPr>
        <w:fldChar w:fldCharType="end"/>
      </w:r>
    </w:p>
    <w:p w14:paraId="7F1AD7DC">
      <w:pPr>
        <w:spacing w:after="200" w:line="400" w:lineRule="atLeast"/>
      </w:pPr>
      <w:r>
        <w:fldChar w:fldCharType="begin"/>
      </w:r>
      <w:r>
        <w:instrText xml:space="preserve"> HYPERLINK "https://cnpsec.com/plat_files/upload/png_upload/20251226/202512261766716337496.pdf" \h </w:instrText>
      </w:r>
      <w:r>
        <w:fldChar w:fldCharType="separate"/>
      </w:r>
      <w:r>
        <w:rPr>
          <w:rStyle w:val="13"/>
          <w:color w:val="0563C1"/>
        </w:rPr>
        <w:t>黄金牛市的鼓点</w:t>
      </w:r>
      <w:r>
        <w:rPr>
          <w:rStyle w:val="13"/>
          <w:color w:val="0563C1"/>
        </w:rPr>
        <w:fldChar w:fldCharType="end"/>
      </w:r>
    </w:p>
    <w:p w14:paraId="6EFB1E7D">
      <w:pPr>
        <w:spacing w:after="200" w:line="400" w:lineRule="atLeast"/>
      </w:pPr>
      <w:r>
        <w:fldChar w:fldCharType="begin"/>
      </w:r>
      <w:r>
        <w:instrText xml:space="preserve"> HYPERLINK "https://xueqiu.com/3211379804/344313596" \h </w:instrText>
      </w:r>
      <w:r>
        <w:fldChar w:fldCharType="separate"/>
      </w:r>
      <w:r>
        <w:rPr>
          <w:rStyle w:val="13"/>
          <w:color w:val="0563C1"/>
        </w:rPr>
        <w:t>雪球</w:t>
      </w:r>
      <w:r>
        <w:rPr>
          <w:rStyle w:val="13"/>
          <w:color w:val="0563C1"/>
        </w:rPr>
        <w:fldChar w:fldCharType="end"/>
      </w:r>
    </w:p>
    <w:p w14:paraId="48C6F3E2">
      <w:pPr>
        <w:spacing w:after="200" w:line="400" w:lineRule="atLeast"/>
      </w:pPr>
      <w:r>
        <w:fldChar w:fldCharType="begin"/>
      </w:r>
      <w:r>
        <w:instrText xml:space="preserve"> HYPERLINK "https://www.statmuse.com/money/ask/gold-price-from-2010-to-2015" \h </w:instrText>
      </w:r>
      <w:r>
        <w:fldChar w:fldCharType="separate"/>
      </w:r>
      <w:r>
        <w:rPr>
          <w:rStyle w:val="13"/>
          <w:color w:val="0563C1"/>
        </w:rPr>
        <w:t>Gold Price From 2010 To 2015 | StatMuse Money</w:t>
      </w:r>
      <w:r>
        <w:rPr>
          <w:rStyle w:val="13"/>
          <w:color w:val="0563C1"/>
        </w:rPr>
        <w:fldChar w:fldCharType="end"/>
      </w:r>
    </w:p>
    <w:p w14:paraId="23C4693E">
      <w:pPr>
        <w:spacing w:after="200" w:line="400" w:lineRule="atLeast"/>
      </w:pPr>
      <w:r>
        <w:fldChar w:fldCharType="begin"/>
      </w:r>
      <w:r>
        <w:instrText xml:space="preserve"> HYPERLINK "http://finance.sina.com.cn/jjxw/2023-12-04/doc-imzwvrzt7495397.shtml" \h </w:instrText>
      </w:r>
      <w:r>
        <w:fldChar w:fldCharType="separate"/>
      </w:r>
      <w:r>
        <w:rPr>
          <w:rStyle w:val="13"/>
          <w:color w:val="0563C1"/>
        </w:rPr>
        <w:t>11月黄金创下历史最高月度收盘价</w:t>
      </w:r>
      <w:r>
        <w:rPr>
          <w:rStyle w:val="13"/>
          <w:color w:val="0563C1"/>
        </w:rPr>
        <w:fldChar w:fldCharType="end"/>
      </w:r>
    </w:p>
    <w:p w14:paraId="4DB7A564">
      <w:pPr>
        <w:spacing w:after="200" w:line="400" w:lineRule="atLeast"/>
      </w:pPr>
      <w:r>
        <w:fldChar w:fldCharType="begin"/>
      </w:r>
      <w:r>
        <w:instrText xml:space="preserve"> HYPERLINK "https://bigdata-s3.wmcloud.com/researchreport/2023-01/6079f46da8ea80f3d165e2c447c9f312.pdf" \h </w:instrText>
      </w:r>
      <w:r>
        <w:fldChar w:fldCharType="separate"/>
      </w:r>
      <w:r>
        <w:rPr>
          <w:rStyle w:val="13"/>
          <w:color w:val="0563C1"/>
        </w:rPr>
        <w:t>金牛将启，银亦相随</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B6D950">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BF205925"/>
    <w:multiLevelType w:val="multilevel"/>
    <w:tmpl w:val="BF20592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
    <w:nsid w:val="CF092B84"/>
    <w:multiLevelType w:val="multilevel"/>
    <w:tmpl w:val="CF092B84"/>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3">
    <w:nsid w:val="0053208E"/>
    <w:multiLevelType w:val="multilevel"/>
    <w:tmpl w:val="0053208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4">
    <w:nsid w:val="03D62ECE"/>
    <w:multiLevelType w:val="multilevel"/>
    <w:tmpl w:val="03D62EC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5">
    <w:nsid w:val="25B654F3"/>
    <w:multiLevelType w:val="multilevel"/>
    <w:tmpl w:val="25B654F3"/>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6">
    <w:nsid w:val="59ADCABA"/>
    <w:multiLevelType w:val="multilevel"/>
    <w:tmpl w:val="59ADCABA"/>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3"/>
  </w:num>
  <w:num w:numId="2">
    <w:abstractNumId w:val="2"/>
  </w:num>
  <w:num w:numId="3">
    <w:abstractNumId w:val="6"/>
  </w:num>
  <w:num w:numId="4">
    <w:abstractNumId w:val="1"/>
  </w:num>
  <w:num w:numId="5">
    <w:abstractNumId w:val="0"/>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3"/>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0F5E2E9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25</Pages>
  <Words>5191</Words>
  <Characters>5854</Characters>
  <TotalTime>0</TotalTime>
  <ScaleCrop>false</ScaleCrop>
  <LinksUpToDate>false</LinksUpToDate>
  <CharactersWithSpaces>5903</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2026-01-17T16:36:32Z</dcterms:created>
  <dc:creator>86188</dc:creator>
  <cp:lastModifiedBy>dyx</cp:lastModifiedBy>
  <dcterms:modified xsi:type="dcterms:W3CDTF">2026-01-17T16:36:43Z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Label":"1","ReservedCode1":"55b22e149a25eedb731cb45cf21f7538","ProduceID":"Metasota_docx_6968e1ac22e002cab2b2b924_1_ae40ec25-c38c-4bdd-b62a-f89ccaa84c18","ReservedCode2":"55b22e149a25eedb731cb45cf21f7538","PropagateID":"Metasota_docx_6968e1ac22e002cab2b2b924_1_ae40ec25-c38c-4bdd-b62a-f89ccaa84c18","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1014B5B7C4C14CEEBB784CD0CC784764_12</vt:lpwstr>
  </property>
</Properties>
</file>