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089AE5">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762C78BA">
      <w:pPr>
        <w:spacing w:before="157" w:after="157" w:line="270" w:lineRule="auto"/>
        <w:jc w:val="left"/>
      </w:pPr>
      <w:bookmarkStart w:id="0" w:name="黄金市场专业分析报告"/>
      <w:r>
        <w:rPr>
          <w:rFonts w:ascii="inter" w:hAnsi="inter" w:eastAsia="inter" w:cs="inter"/>
          <w:b/>
          <w:color w:val="000000"/>
          <w:sz w:val="39"/>
        </w:rPr>
        <w:t>黄金市场专业分析报告</w:t>
      </w:r>
      <w:bookmarkEnd w:id="0"/>
    </w:p>
    <w:p w14:paraId="2C545BAD">
      <w:pPr>
        <w:spacing w:before="315" w:after="105" w:line="360" w:lineRule="auto"/>
        <w:ind w:left="-30"/>
        <w:jc w:val="left"/>
      </w:pPr>
      <w:bookmarkStart w:id="1" w:name="bm_2010_2026年历史回顾与前瞻分析"/>
      <w:r>
        <w:rPr>
          <w:rFonts w:ascii="inter" w:hAnsi="inter" w:eastAsia="inter" w:cs="inter"/>
          <w:b/>
          <w:color w:val="000000"/>
          <w:sz w:val="24"/>
        </w:rPr>
        <w:t>2010-2026年历史回顾与前瞻分析</w:t>
      </w:r>
      <w:bookmarkEnd w:id="1"/>
    </w:p>
    <w:p w14:paraId="3DC1DF62">
      <w:pPr>
        <w:tabs>
          <w:tab w:val="left" w:pos="8118"/>
        </w:tabs>
        <w:spacing w:before="315" w:after="105" w:line="360" w:lineRule="auto"/>
        <w:ind w:left="-30"/>
        <w:jc w:val="left"/>
        <w:rPr>
          <w:rFonts w:hint="eastAsia" w:eastAsia="宋体"/>
          <w:lang w:eastAsia="zh-CN"/>
        </w:rPr>
      </w:pPr>
      <w:bookmarkStart w:id="2" w:name="执行摘要"/>
      <w:r>
        <w:rPr>
          <w:rFonts w:ascii="inter" w:hAnsi="inter" w:eastAsia="inter" w:cs="inter"/>
          <w:b/>
          <w:color w:val="000000"/>
          <w:sz w:val="24"/>
        </w:rPr>
        <w:t>执行摘要</w:t>
      </w:r>
      <w:bookmarkEnd w:id="2"/>
      <w:r>
        <w:rPr>
          <w:rFonts w:hint="eastAsia" w:ascii="inter" w:hAnsi="inter" w:eastAsia="宋体" w:cs="inter"/>
          <w:b/>
          <w:color w:val="000000"/>
          <w:sz w:val="24"/>
          <w:lang w:eastAsia="zh-CN"/>
        </w:rPr>
        <w:tab/>
      </w:r>
      <w:bookmarkStart w:id="201" w:name="_GoBack"/>
      <w:bookmarkEnd w:id="201"/>
    </w:p>
    <w:p w14:paraId="557230A5">
      <w:pPr>
        <w:spacing w:after="210" w:line="360" w:lineRule="auto"/>
      </w:pPr>
      <w:r>
        <w:rPr>
          <w:rFonts w:ascii="inter" w:hAnsi="inter" w:eastAsia="inter" w:cs="inter"/>
          <w:color w:val="000000"/>
        </w:rPr>
        <w:t>黄金在2025年创造了近50年最强年度表现，全年涨幅超60%，年末突破4500美元/盎司大关，创造46年来最大年度涨幅。 这一历史性上涨体现了多重驱动因素的共振：美联储进入降息周期、全球央行积极增持、地缘政治风险升温，以及投资者对传统货币体系稳定性的担忧。截至2026年1月中旬，金价已突破4600美元/盎司，并在4450-4650美元区间形成高位震荡格局。</w:t>
      </w:r>
      <w:bookmarkStart w:id="3" w:name="fnref1"/>
      <w:bookmarkEnd w:id="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4" w:name="fnref2"/>
      <w:bookmarkEnd w:id="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5" w:name="fnref3"/>
      <w:bookmarkEnd w:id="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6" w:name="fnref4"/>
      <w:bookmarkEnd w:id="6"/>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7" w:name="fnref5"/>
      <w:bookmarkEnd w:id="7"/>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2EFAE615">
      <w:pPr>
        <w:spacing w:after="210" w:line="360" w:lineRule="auto"/>
      </w:pPr>
      <w:r>
        <w:rPr>
          <w:rFonts w:ascii="inter" w:hAnsi="inter" w:eastAsia="inter" w:cs="inter"/>
          <w:color w:val="000000"/>
        </w:rPr>
        <w:t>本报告基于过去16年的完整历史周期分析，结合当前宏观环境、技术面形态和市场情绪，系统性地推演了三种主要情景，并识别了多个层级的关键技术位。关键发现是：黄金的长期上升趋势仍未改变，但高位震荡与调整风险已开始积累，4200美元和4770美元分别成为本轮周期的关键防守和进攻目标。</w:t>
      </w:r>
    </w:p>
    <w:p w14:paraId="6306E43A">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2CF4ADB7">
      <w:pPr>
        <w:spacing w:before="315" w:after="105" w:line="360" w:lineRule="auto"/>
        <w:ind w:left="-30"/>
        <w:jc w:val="left"/>
      </w:pPr>
      <w:bookmarkStart w:id="8" w:name="第一部分_历史走势回顾_2010_2026"/>
      <w:r>
        <w:rPr>
          <w:rFonts w:ascii="inter" w:hAnsi="inter" w:eastAsia="inter" w:cs="inter"/>
          <w:b/>
          <w:color w:val="000000"/>
          <w:sz w:val="24"/>
        </w:rPr>
        <w:t>第一部分：历史走势回顾（2010-2026）</w:t>
      </w:r>
      <w:bookmarkEnd w:id="8"/>
    </w:p>
    <w:p w14:paraId="61A2F57C">
      <w:pPr>
        <w:spacing w:before="315" w:after="105" w:line="360" w:lineRule="auto"/>
        <w:ind w:left="-30"/>
        <w:jc w:val="left"/>
      </w:pPr>
      <w:bookmarkStart w:id="9" w:name="bm_2010_2011年_危机避险与首次牛市突破"/>
      <w:r>
        <w:rPr>
          <w:rFonts w:ascii="inter" w:hAnsi="inter" w:eastAsia="inter" w:cs="inter"/>
          <w:b/>
          <w:color w:val="000000"/>
          <w:sz w:val="24"/>
        </w:rPr>
        <w:t>2010-2011年：危机避险与首次牛市突破</w:t>
      </w:r>
      <w:bookmarkEnd w:id="9"/>
    </w:p>
    <w:p w14:paraId="701F7520">
      <w:pPr>
        <w:spacing w:after="210" w:line="360" w:lineRule="auto"/>
      </w:pPr>
      <w:r>
        <w:rPr>
          <w:rFonts w:ascii="inter" w:hAnsi="inter" w:eastAsia="inter" w:cs="inter"/>
          <w:b/>
          <w:color w:val="000000"/>
        </w:rPr>
        <w:t>历史背景与驱动因素</w:t>
      </w:r>
    </w:p>
    <w:p w14:paraId="5642066A">
      <w:pPr>
        <w:spacing w:after="210" w:line="360" w:lineRule="auto"/>
      </w:pPr>
      <w:r>
        <w:rPr>
          <w:rFonts w:ascii="inter" w:hAnsi="inter" w:eastAsia="inter" w:cs="inter"/>
          <w:color w:val="000000"/>
        </w:rPr>
        <w:t>2010-2011年期间，黄金经历了第二次金融危机以来最壮观的牛市。2010年全年，金价从年初的1096美元/盎司攀升至1421美元，年涨幅达29.7%，成为当年全球最佳投资品。 2011年更是扣人心弦：金价在9月6日突破1920.8美元历史新高，创造1968年布雷顿森林体系瓦解以来最高纪录。</w:t>
      </w:r>
      <w:bookmarkStart w:id="10" w:name="fnref6"/>
      <w:bookmarkEnd w:id="10"/>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1" w:name="fnref7"/>
      <w:bookmarkEnd w:id="11"/>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2" w:name="fnref8"/>
      <w:bookmarkEnd w:id="12"/>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76AB871E">
      <w:pPr>
        <w:spacing w:after="210" w:line="360" w:lineRule="auto"/>
      </w:pPr>
      <w:r>
        <w:rPr>
          <w:rFonts w:ascii="inter" w:hAnsi="inter" w:eastAsia="inter" w:cs="inter"/>
          <w:color w:val="000000"/>
        </w:rPr>
        <w:t>这一时期的核心驱动因素包括：</w:t>
      </w:r>
    </w:p>
    <w:p w14:paraId="1C5A76A7">
      <w:pPr>
        <w:spacing w:after="210" w:line="360" w:lineRule="auto"/>
      </w:pPr>
      <w:r>
        <w:rPr>
          <w:rFonts w:ascii="inter" w:hAnsi="inter" w:eastAsia="inter" w:cs="inter"/>
          <w:b/>
          <w:color w:val="000000"/>
        </w:rPr>
        <w:t>宏观经济因素</w:t>
      </w:r>
      <w:r>
        <w:rPr>
          <w:rFonts w:ascii="inter" w:hAnsi="inter" w:eastAsia="inter" w:cs="inter"/>
          <w:color w:val="000000"/>
        </w:rPr>
        <w:t>：2008-2009年全球金融危机的余波仍在蔓延，美国国债被标普在2011年8月调降至AA+级，欧元区深陷主权债务危机。希腊、爱尔兰、葡萄牙等国相继陷入债务困境，欧洲金融体系面临崩塌风险。这一系列"黑天鹅"事件激发了全球投资者的避险本能，资金争相涌入黄金。</w:t>
      </w:r>
      <w:bookmarkStart w:id="13" w:name="fnref6_1"/>
      <w:bookmarkEnd w:id="13"/>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5B8BCBB0">
      <w:pPr>
        <w:spacing w:after="210" w:line="360" w:lineRule="auto"/>
      </w:pPr>
      <w:r>
        <w:rPr>
          <w:rFonts w:ascii="inter" w:hAnsi="inter" w:eastAsia="inter" w:cs="inter"/>
          <w:b/>
          <w:color w:val="000000"/>
        </w:rPr>
        <w:t>央行流动性注入</w:t>
      </w:r>
      <w:r>
        <w:rPr>
          <w:rFonts w:ascii="inter" w:hAnsi="inter" w:eastAsia="inter" w:cs="inter"/>
          <w:color w:val="000000"/>
        </w:rPr>
        <w:t>：美联储在2010-2011年期间继续实施量化宽松政策（QE2和隐性QE3），向金融体系注入巨额流动性。欧洲央行、日本央行等也相继跟进，全球史无前例的低利率环境大幅降低了持有黄金的机会成本，同时对冲了投资者对通胀的担忧。</w:t>
      </w:r>
      <w:bookmarkStart w:id="14" w:name="fnref6_2"/>
      <w:bookmarkEnd w:id="14"/>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3F211B27">
      <w:pPr>
        <w:spacing w:after="210" w:line="360" w:lineRule="auto"/>
      </w:pPr>
      <w:r>
        <w:rPr>
          <w:rFonts w:ascii="inter" w:hAnsi="inter" w:eastAsia="inter" w:cs="inter"/>
          <w:b/>
          <w:color w:val="000000"/>
        </w:rPr>
        <w:t>黄金ETF大幅净流入</w:t>
      </w:r>
      <w:r>
        <w:rPr>
          <w:rFonts w:ascii="inter" w:hAnsi="inter" w:eastAsia="inter" w:cs="inter"/>
          <w:color w:val="000000"/>
        </w:rPr>
        <w:t>：全球黄金ETF基金在2010-2011年期间录得历史性的资金流入，反映出机构和散户对黄金避险属性的共同认可。</w:t>
      </w:r>
    </w:p>
    <w:p w14:paraId="1E71C73A">
      <w:pPr>
        <w:spacing w:before="315" w:after="105" w:line="360" w:lineRule="auto"/>
        <w:ind w:left="-30"/>
        <w:jc w:val="left"/>
      </w:pPr>
      <w:bookmarkStart w:id="15" w:name="bm_2013年_缩减恐慌_从牛市见顶到熊市开启"/>
      <w:r>
        <w:rPr>
          <w:rFonts w:ascii="inter" w:hAnsi="inter" w:eastAsia="inter" w:cs="inter"/>
          <w:b/>
          <w:color w:val="000000"/>
          <w:sz w:val="24"/>
        </w:rPr>
        <w:t>2013年"缩减恐慌"：从牛市见顶到熊市开启</w:t>
      </w:r>
      <w:bookmarkEnd w:id="15"/>
    </w:p>
    <w:p w14:paraId="4F559C32">
      <w:pPr>
        <w:spacing w:after="210" w:line="360" w:lineRule="auto"/>
      </w:pPr>
      <w:r>
        <w:rPr>
          <w:rFonts w:ascii="inter" w:hAnsi="inter" w:eastAsia="inter" w:cs="inter"/>
          <w:b/>
          <w:color w:val="000000"/>
        </w:rPr>
        <w:t>转折点的形成</w:t>
      </w:r>
    </w:p>
    <w:p w14:paraId="02375B45">
      <w:pPr>
        <w:spacing w:after="210" w:line="360" w:lineRule="auto"/>
      </w:pPr>
      <w:r>
        <w:rPr>
          <w:rFonts w:ascii="inter" w:hAnsi="inter" w:eastAsia="inter" w:cs="inter"/>
          <w:color w:val="000000"/>
        </w:rPr>
        <w:t>2013年5月，美联储主席伯南克在新闻发布会上暗示可能逐步缩减QE3的购债规模（"Taper"），这一声明立即引发全球市场震荡。从历史数据看，2013年全年黄金跌幅高达27.79%，从年初的1693.5美元跌至年末的1203.75美元，创造了自2000年以来单年最大跌幅。</w:t>
      </w:r>
      <w:bookmarkStart w:id="16" w:name="fnref1_1"/>
      <w:bookmarkEnd w:id="16"/>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17" w:name="fnref9"/>
      <w:bookmarkEnd w:id="17"/>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175244E9">
      <w:pPr>
        <w:spacing w:after="210" w:line="360" w:lineRule="auto"/>
      </w:pPr>
      <w:r>
        <w:rPr>
          <w:rFonts w:ascii="inter" w:hAnsi="inter" w:eastAsia="inter" w:cs="inter"/>
          <w:b/>
          <w:color w:val="000000"/>
        </w:rPr>
        <w:t>核心驱动逻辑</w:t>
      </w:r>
    </w:p>
    <w:p w14:paraId="5055445A">
      <w:pPr>
        <w:spacing w:after="210" w:line="360" w:lineRule="auto"/>
      </w:pPr>
      <w:r>
        <w:rPr>
          <w:rFonts w:ascii="inter" w:hAnsi="inter" w:eastAsia="inter" w:cs="inter"/>
          <w:color w:val="000000"/>
        </w:rPr>
        <w:t>这一阶段的黄金下跌本质上反映了市场对利率预期的急剧重新定价。 当投资者意识到美联储将逐步退出量化宽松时，持有无息资产（如黄金）的机会成本显著上升，美元指数也随之大幅反弹。此外，实际利率（通胀调整后的收益率）出现急速上升，这与黄金的长期负相关关系形成了双重打击。</w:t>
      </w:r>
      <w:bookmarkStart w:id="18" w:name="fnref10"/>
      <w:bookmarkEnd w:id="18"/>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19" w:name="fnref11"/>
      <w:bookmarkEnd w:id="19"/>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2FF2990C">
      <w:pPr>
        <w:spacing w:after="210" w:line="360" w:lineRule="auto"/>
      </w:pPr>
      <w:r>
        <w:rPr>
          <w:rFonts w:ascii="inter" w:hAnsi="inter" w:eastAsia="inter" w:cs="inter"/>
          <w:color w:val="000000"/>
        </w:rPr>
        <w:t>这一事件被称为"缩减恐慌"（Taper Tantrum），标志着黄金熊市的正式开启，整个下行周期将持续至2015年。</w:t>
      </w:r>
    </w:p>
    <w:p w14:paraId="15399CA5">
      <w:pPr>
        <w:spacing w:before="315" w:after="105" w:line="360" w:lineRule="auto"/>
        <w:ind w:left="-30"/>
        <w:jc w:val="left"/>
      </w:pPr>
      <w:bookmarkStart w:id="20" w:name="bm_2013_2015年_漫长熊市与底部盘整"/>
      <w:r>
        <w:rPr>
          <w:rFonts w:ascii="inter" w:hAnsi="inter" w:eastAsia="inter" w:cs="inter"/>
          <w:b/>
          <w:color w:val="000000"/>
          <w:sz w:val="24"/>
        </w:rPr>
        <w:t>2013-2015年：漫长熊市与底部盘整</w:t>
      </w:r>
      <w:bookmarkEnd w:id="20"/>
    </w:p>
    <w:p w14:paraId="793E5CFE">
      <w:pPr>
        <w:spacing w:after="210" w:line="360" w:lineRule="auto"/>
      </w:pPr>
      <w:r>
        <w:rPr>
          <w:rFonts w:ascii="inter" w:hAnsi="inter" w:eastAsia="inter" w:cs="inter"/>
          <w:color w:val="000000"/>
        </w:rPr>
        <w:t>在美联储正式宣布缩减QE3规模（2013年12月）至完全退出QE（2014年10月）期间，黄金经历了持续的空头压制。 这一时期的特点是：</w:t>
      </w:r>
      <w:bookmarkStart w:id="21" w:name="fnref12"/>
      <w:bookmarkEnd w:id="21"/>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07F29CEC">
      <w:pPr>
        <w:numPr>
          <w:ilvl w:val="0"/>
          <w:numId w:val="1"/>
        </w:numPr>
        <w:spacing w:before="105" w:after="105" w:line="360" w:lineRule="auto"/>
      </w:pPr>
      <w:r>
        <w:rPr>
          <w:rFonts w:ascii="inter" w:hAnsi="inter" w:eastAsia="inter" w:cs="inter"/>
          <w:b/>
          <w:color w:val="000000"/>
          <w:sz w:val="21"/>
        </w:rPr>
        <w:t>美元持续升值</w:t>
      </w:r>
      <w:r>
        <w:rPr>
          <w:rFonts w:ascii="inter" w:hAnsi="inter" w:eastAsia="inter" w:cs="inter"/>
          <w:color w:val="000000"/>
          <w:sz w:val="21"/>
        </w:rPr>
        <w:t>：美联储加息预期升温，美元指数从2010年的80水平一路上升至2015年的100附近</w:t>
      </w:r>
    </w:p>
    <w:p w14:paraId="2996E574">
      <w:pPr>
        <w:numPr>
          <w:ilvl w:val="0"/>
          <w:numId w:val="1"/>
        </w:numPr>
        <w:spacing w:before="105" w:after="105" w:line="360" w:lineRule="auto"/>
      </w:pPr>
      <w:r>
        <w:rPr>
          <w:rFonts w:ascii="inter" w:hAnsi="inter" w:eastAsia="inter" w:cs="inter"/>
          <w:b/>
          <w:color w:val="000000"/>
          <w:sz w:val="21"/>
        </w:rPr>
        <w:t>实际利率上升</w:t>
      </w:r>
      <w:r>
        <w:rPr>
          <w:rFonts w:ascii="inter" w:hAnsi="inter" w:eastAsia="inter" w:cs="inter"/>
          <w:color w:val="000000"/>
          <w:sz w:val="21"/>
        </w:rPr>
        <w:t>：美国10年期实际收益率从负值区域逐步上升至正值，侵蚀了黄金的吸引力</w:t>
      </w:r>
    </w:p>
    <w:p w14:paraId="10E7C69F">
      <w:pPr>
        <w:numPr>
          <w:ilvl w:val="0"/>
          <w:numId w:val="1"/>
        </w:numPr>
        <w:spacing w:before="105" w:after="105" w:line="360" w:lineRule="auto"/>
      </w:pPr>
      <w:r>
        <w:rPr>
          <w:rFonts w:ascii="inter" w:hAnsi="inter" w:eastAsia="inter" w:cs="inter"/>
          <w:b/>
          <w:color w:val="000000"/>
          <w:sz w:val="21"/>
        </w:rPr>
        <w:t>风险资产表现强劲</w:t>
      </w:r>
      <w:r>
        <w:rPr>
          <w:rFonts w:ascii="inter" w:hAnsi="inter" w:eastAsia="inter" w:cs="inter"/>
          <w:color w:val="000000"/>
          <w:sz w:val="21"/>
        </w:rPr>
        <w:t>：美股牛市启动，相对收益性更强的股票和高收益债券吸引了避险资金回流</w:t>
      </w:r>
    </w:p>
    <w:p w14:paraId="4840AAA7">
      <w:pPr>
        <w:spacing w:after="210" w:line="360" w:lineRule="auto"/>
      </w:pPr>
      <w:r>
        <w:rPr>
          <w:rFonts w:ascii="inter" w:hAnsi="inter" w:eastAsia="inter" w:cs="inter"/>
          <w:color w:val="000000"/>
        </w:rPr>
        <w:t>2015年8月，金价创造当轮熊市低点，约为1049.60美元/盎司。 这一低点几乎完全抹去了2010-2011年的所有涨幅。</w:t>
      </w:r>
      <w:bookmarkStart w:id="22" w:name="fnref1_2"/>
      <w:bookmarkEnd w:id="2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28C22F99">
      <w:pPr>
        <w:spacing w:before="315" w:after="105" w:line="360" w:lineRule="auto"/>
        <w:ind w:left="-30"/>
        <w:jc w:val="left"/>
      </w:pPr>
      <w:bookmarkStart w:id="23" w:name="bm_2016_2020年_震荡上行至疫情突破"/>
      <w:r>
        <w:rPr>
          <w:rFonts w:ascii="inter" w:hAnsi="inter" w:eastAsia="inter" w:cs="inter"/>
          <w:b/>
          <w:color w:val="000000"/>
          <w:sz w:val="24"/>
        </w:rPr>
        <w:t>2016-2020年：震荡上行至疫情突破</w:t>
      </w:r>
      <w:bookmarkEnd w:id="23"/>
    </w:p>
    <w:p w14:paraId="69F2D996">
      <w:pPr>
        <w:spacing w:after="210" w:line="360" w:lineRule="auto"/>
      </w:pPr>
      <w:r>
        <w:rPr>
          <w:rFonts w:ascii="inter" w:hAnsi="inter" w:eastAsia="inter" w:cs="inter"/>
          <w:b/>
          <w:color w:val="000000"/>
        </w:rPr>
        <w:t>2016年底的转折</w:t>
      </w:r>
    </w:p>
    <w:p w14:paraId="0176FC96">
      <w:pPr>
        <w:spacing w:after="210" w:line="360" w:lineRule="auto"/>
      </w:pPr>
      <w:r>
        <w:rPr>
          <w:rFonts w:ascii="inter" w:hAnsi="inter" w:eastAsia="inter" w:cs="inter"/>
          <w:color w:val="000000"/>
        </w:rPr>
        <w:t>从2016年开始，黄金逐步走出底部。特朗普当选美国总统后，市场对美国财政扩张和通胀上行的预期升温，虽然美联储持续加息，但黄金仍然获得上升支撑。2016年全年，金价上涨8.63%，从底部1073.60美元上升至1372.60美元。</w:t>
      </w:r>
      <w:bookmarkStart w:id="24" w:name="fnref1_3"/>
      <w:bookmarkEnd w:id="24"/>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2F6818B5">
      <w:pPr>
        <w:spacing w:after="210" w:line="360" w:lineRule="auto"/>
      </w:pPr>
      <w:r>
        <w:rPr>
          <w:rFonts w:ascii="inter" w:hAnsi="inter" w:eastAsia="inter" w:cs="inter"/>
          <w:b/>
          <w:color w:val="000000"/>
        </w:rPr>
        <w:t>2017-2019年的震荡</w:t>
      </w:r>
    </w:p>
    <w:p w14:paraId="133AFFD2">
      <w:pPr>
        <w:spacing w:after="210" w:line="360" w:lineRule="auto"/>
      </w:pPr>
      <w:r>
        <w:rPr>
          <w:rFonts w:ascii="inter" w:hAnsi="inter" w:eastAsia="inter" w:cs="inter"/>
          <w:color w:val="000000"/>
        </w:rPr>
        <w:t>这一时期值得注意的是，黄金在美联储加息周期中反而上涨。2017年美联储加息3次，2018年加息4次，但黄金仍分别上涨12.57%和下跌1.15%，表明央行政策预期的变化对金价的影响已开始超越简单的利率政策。 2017年底至2018年初，美元指数下跌12.8%，而黄金同期上涨17.2%，印证了美元弱势与黄金强势的正相关性。</w:t>
      </w:r>
      <w:bookmarkStart w:id="25" w:name="fnref13"/>
      <w:bookmarkEnd w:id="25"/>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26" w:name="fnref14"/>
      <w:bookmarkEnd w:id="26"/>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27" w:name="fnref15"/>
      <w:bookmarkEnd w:id="27"/>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15EF8A88">
      <w:pPr>
        <w:spacing w:after="210" w:line="360" w:lineRule="auto"/>
      </w:pPr>
      <w:r>
        <w:rPr>
          <w:rFonts w:ascii="inter" w:hAnsi="inter" w:eastAsia="inter" w:cs="inter"/>
          <w:b/>
          <w:color w:val="000000"/>
        </w:rPr>
        <w:t>2020年疫情时期的突破</w:t>
      </w:r>
    </w:p>
    <w:p w14:paraId="6F0D8338">
      <w:pPr>
        <w:spacing w:after="210" w:line="360" w:lineRule="auto"/>
      </w:pPr>
      <w:r>
        <w:rPr>
          <w:rFonts w:ascii="inter" w:hAnsi="inter" w:eastAsia="inter" w:cs="inter"/>
          <w:color w:val="000000"/>
        </w:rPr>
        <w:t>2020年3月，新冠疫情全球爆发，美联储宣布无限量量化宽松政策，美国国会通过了规模达3万亿美元的财政刺激法案。这一"完美风暴"为黄金提供了强劲支撑。 金价从年初的1500美元左右，快速上升至8月6日创造的历史新高2072美元/盎司附近。 这一上涨过程中，黄金ETF录得了历史性的资金流入，全球央行购金量也创造新纪录。</w:t>
      </w:r>
      <w:bookmarkStart w:id="28" w:name="fnref6_3"/>
      <w:bookmarkEnd w:id="28"/>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29" w:name="fnref16"/>
      <w:bookmarkEnd w:id="29"/>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2A57E7B6">
      <w:pPr>
        <w:spacing w:after="210" w:line="360" w:lineRule="auto"/>
      </w:pPr>
      <w:r>
        <w:rPr>
          <w:rFonts w:ascii="inter" w:hAnsi="inter" w:eastAsia="inter" w:cs="inter"/>
          <w:color w:val="000000"/>
        </w:rPr>
        <w:t>值得注意的是，2020年8月7日金价曾突破2070美元，标志着黄金突破了1980年1月创造的历史高点（843美元，需调整通胀因素）。</w:t>
      </w:r>
      <w:bookmarkStart w:id="30" w:name="fnref16_1"/>
      <w:bookmarkEnd w:id="30"/>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31" w:name="fnref17"/>
      <w:bookmarkEnd w:id="31"/>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2C185060">
      <w:pPr>
        <w:spacing w:before="315" w:after="105" w:line="360" w:lineRule="auto"/>
        <w:ind w:left="-30"/>
        <w:jc w:val="left"/>
      </w:pPr>
      <w:bookmarkStart w:id="32" w:name="bm_2022年_美联储激进加息与高位回调"/>
      <w:r>
        <w:rPr>
          <w:rFonts w:ascii="inter" w:hAnsi="inter" w:eastAsia="inter" w:cs="inter"/>
          <w:b/>
          <w:color w:val="000000"/>
          <w:sz w:val="24"/>
        </w:rPr>
        <w:t>2022年：美联储激进加息与高位回调</w:t>
      </w:r>
      <w:bookmarkEnd w:id="32"/>
    </w:p>
    <w:p w14:paraId="3DD393B3">
      <w:pPr>
        <w:spacing w:after="210" w:line="360" w:lineRule="auto"/>
      </w:pPr>
      <w:r>
        <w:rPr>
          <w:rFonts w:ascii="inter" w:hAnsi="inter" w:eastAsia="inter" w:cs="inter"/>
          <w:b/>
          <w:color w:val="000000"/>
        </w:rPr>
        <w:t>政策急剧转向</w:t>
      </w:r>
    </w:p>
    <w:p w14:paraId="712763F0">
      <w:pPr>
        <w:spacing w:after="210" w:line="360" w:lineRule="auto"/>
      </w:pPr>
      <w:r>
        <w:rPr>
          <w:rFonts w:ascii="inter" w:hAnsi="inter" w:eastAsia="inter" w:cs="inter"/>
          <w:color w:val="000000"/>
        </w:rPr>
        <w:t>2021年末，美国通胀数据出现意外跳升，美联储被迫改变政策立场。2022年3月，美联储开启加息周期，首次加息25个基点；5月进行了自2000年以来首次单次加息50个基点；到年末，2022年已累计加息425个基点。</w:t>
      </w:r>
      <w:bookmarkStart w:id="33" w:name="fnref18"/>
      <w:bookmarkEnd w:id="33"/>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34" w:name="fnref19"/>
      <w:bookmarkEnd w:id="34"/>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0CE309F1">
      <w:pPr>
        <w:spacing w:after="210" w:line="360" w:lineRule="auto"/>
      </w:pPr>
      <w:r>
        <w:rPr>
          <w:rFonts w:ascii="inter" w:hAnsi="inter" w:eastAsia="inter" w:cs="inter"/>
          <w:color w:val="000000"/>
        </w:rPr>
        <w:t>在这一快速加息背景下，黄金从年初的1920美元左右下跌至年末的约1800美元，全年跌幅为-0.23%，创造了近年罕见的"加息不跌"的格局。 关键原因是：虽然名义利率上升，但黄金作为美元保值工具的价值在全球风险资产暴跌、实际收益率飙升的背景下得到了部分对冲。</w:t>
      </w:r>
      <w:bookmarkStart w:id="35" w:name="fnref1_4"/>
      <w:bookmarkEnd w:id="35"/>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54507FFE">
      <w:pPr>
        <w:spacing w:before="315" w:after="105" w:line="360" w:lineRule="auto"/>
        <w:ind w:left="-30"/>
        <w:jc w:val="left"/>
      </w:pPr>
      <w:bookmarkStart w:id="36" w:name="bm_2023_2025年_央行增持引领的超级牛市"/>
      <w:r>
        <w:rPr>
          <w:rFonts w:ascii="inter" w:hAnsi="inter" w:eastAsia="inter" w:cs="inter"/>
          <w:b/>
          <w:color w:val="000000"/>
          <w:sz w:val="24"/>
        </w:rPr>
        <w:t>2023-2025年：央行增持引领的超级牛市</w:t>
      </w:r>
      <w:bookmarkEnd w:id="36"/>
    </w:p>
    <w:p w14:paraId="3284B7E4">
      <w:pPr>
        <w:spacing w:after="210" w:line="360" w:lineRule="auto"/>
      </w:pPr>
      <w:r>
        <w:rPr>
          <w:rFonts w:ascii="inter" w:hAnsi="inter" w:eastAsia="inter" w:cs="inter"/>
          <w:b/>
          <w:color w:val="000000"/>
        </w:rPr>
        <w:t>央行购金的战略转变</w:t>
      </w:r>
    </w:p>
    <w:p w14:paraId="28D74536">
      <w:pPr>
        <w:spacing w:after="210" w:line="360" w:lineRule="auto"/>
      </w:pPr>
      <w:r>
        <w:rPr>
          <w:rFonts w:ascii="inter" w:hAnsi="inter" w:eastAsia="inter" w:cs="inter"/>
          <w:color w:val="000000"/>
        </w:rPr>
        <w:t>从2023年下半年开始，全球央行开始大规模增持黄金，标志着一个新时代的开启。2023年全年，黄金涨幅超过13%，成功突破2000美元/盎司。 进入2024年，涨幅更是超过26%，年内高点接近2790美元。 而2025年则创造了历史：全年累计涨幅超过60%（从2624美元涨至4500美元附近），创造46年来最大年度涨幅。</w:t>
      </w:r>
      <w:bookmarkStart w:id="37" w:name="fnref1_5"/>
      <w:bookmarkEnd w:id="37"/>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38" w:name="fnref9_1"/>
      <w:bookmarkEnd w:id="38"/>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39" w:name="fnref2_1"/>
      <w:bookmarkEnd w:id="39"/>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40" w:name="fnref3_1"/>
      <w:bookmarkEnd w:id="40"/>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14DF0877">
      <w:pPr>
        <w:spacing w:after="210" w:line="360" w:lineRule="auto"/>
      </w:pPr>
      <w:r>
        <w:rPr>
          <w:rFonts w:ascii="inter" w:hAnsi="inter" w:eastAsia="inter" w:cs="inter"/>
          <w:b/>
          <w:color w:val="000000"/>
        </w:rPr>
        <w:t>核心驱动因素</w:t>
      </w:r>
    </w:p>
    <w:p w14:paraId="0B20862F">
      <w:pPr>
        <w:spacing w:after="210" w:line="360" w:lineRule="auto"/>
      </w:pPr>
      <w:r>
        <w:rPr>
          <w:rFonts w:ascii="inter" w:hAnsi="inter" w:eastAsia="inter" w:cs="inter"/>
          <w:color w:val="000000"/>
        </w:rPr>
        <w:t>根据世界黄金协会数据，2025年全球央行净购金量达902吨，95%的央行计划未来12个月继续增持黄金。 这种购金行为反映了三重担忧：</w:t>
      </w:r>
      <w:bookmarkStart w:id="41" w:name="fnref20"/>
      <w:bookmarkEnd w:id="41"/>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42" w:name="fnref21"/>
      <w:bookmarkEnd w:id="42"/>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4501D92F">
      <w:pPr>
        <w:numPr>
          <w:ilvl w:val="0"/>
          <w:numId w:val="2"/>
        </w:numPr>
        <w:spacing w:after="210" w:line="360" w:lineRule="auto"/>
      </w:pPr>
      <w:r>
        <w:rPr>
          <w:rFonts w:ascii="inter" w:hAnsi="inter" w:eastAsia="inter" w:cs="inter"/>
          <w:b/>
          <w:color w:val="000000"/>
          <w:sz w:val="21"/>
        </w:rPr>
        <w:t>去美元化进程加速</w:t>
      </w:r>
      <w:r>
        <w:rPr>
          <w:rFonts w:ascii="inter" w:hAnsi="inter" w:eastAsia="inter" w:cs="inter"/>
          <w:color w:val="000000"/>
          <w:sz w:val="21"/>
        </w:rPr>
        <w:t>：美债规模突破38万亿美元，美国将美元"武器化"冻结俄罗斯外汇储备等举动，促使各国加速减少美元资产、增加黄金储备。 黄金在2025年首次超越美债成为全球官方储备的首选资产。</w:t>
      </w:r>
      <w:bookmarkStart w:id="43" w:name="fnref20_1"/>
      <w:bookmarkEnd w:id="43"/>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2DD58289">
      <w:pPr>
        <w:numPr>
          <w:ilvl w:val="0"/>
          <w:numId w:val="2"/>
        </w:numPr>
        <w:spacing w:after="210" w:line="360" w:lineRule="auto"/>
      </w:pPr>
      <w:r>
        <w:rPr>
          <w:rFonts w:ascii="inter" w:hAnsi="inter" w:eastAsia="inter" w:cs="inter"/>
          <w:b/>
          <w:color w:val="000000"/>
          <w:sz w:val="21"/>
        </w:rPr>
        <w:t>人民币国际化支撑</w:t>
      </w:r>
      <w:r>
        <w:rPr>
          <w:rFonts w:ascii="inter" w:hAnsi="inter" w:eastAsia="inter" w:cs="inter"/>
          <w:color w:val="000000"/>
          <w:sz w:val="21"/>
        </w:rPr>
        <w:t>：中国央行自2024年11月重启增持后，连续14个月不间断地增持黄金，虽然节奏从早期月均16万盎司降至近期月均3万盎司，但体现了"高位少买、低位多买"的战略。 这种持续增持为人民币国际化提供了信用基础。</w:t>
      </w:r>
      <w:bookmarkStart w:id="44" w:name="fnref20_2"/>
      <w:bookmarkEnd w:id="44"/>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0EB4C366">
      <w:pPr>
        <w:numPr>
          <w:ilvl w:val="0"/>
          <w:numId w:val="2"/>
        </w:numPr>
        <w:spacing w:after="210" w:line="360" w:lineRule="auto"/>
      </w:pPr>
      <w:r>
        <w:rPr>
          <w:rFonts w:ascii="inter" w:hAnsi="inter" w:eastAsia="inter" w:cs="inter"/>
          <w:b/>
          <w:color w:val="000000"/>
          <w:sz w:val="21"/>
        </w:rPr>
        <w:t>地缘政治避险升温</w:t>
      </w:r>
      <w:r>
        <w:rPr>
          <w:rFonts w:ascii="inter" w:hAnsi="inter" w:eastAsia="inter" w:cs="inter"/>
          <w:color w:val="000000"/>
          <w:sz w:val="21"/>
        </w:rPr>
        <w:t>：俄乌战争、中东局势升级、美国选举政策反复等因素持续推高黄金避险需求。</w:t>
      </w:r>
    </w:p>
    <w:p w14:paraId="7E5D3F57">
      <w:pPr>
        <w:spacing w:after="210" w:line="360" w:lineRule="auto"/>
      </w:pPr>
      <w:r>
        <w:rPr>
          <w:rFonts w:ascii="inter" w:hAnsi="inter" w:eastAsia="inter" w:cs="inter"/>
          <w:b/>
          <w:color w:val="000000"/>
        </w:rPr>
        <w:t>政策转向与利率预期重新定价</w:t>
      </w:r>
    </w:p>
    <w:p w14:paraId="5829F7F1">
      <w:pPr>
        <w:spacing w:after="210" w:line="360" w:lineRule="auto"/>
      </w:pPr>
      <w:r>
        <w:rPr>
          <w:rFonts w:ascii="inter" w:hAnsi="inter" w:eastAsia="inter" w:cs="inter"/>
          <w:color w:val="000000"/>
        </w:rPr>
        <w:t>2025年5月以来，美联储开始释放降息信号。美联储主席鲍威尔在多个场合暗示可能启动降息周期，市场对美联储年内降息的预期从零升温至2次50个基点。 这一预期转变大幅降低了黄金的机会成本，同时实际收益率（名义收益率减去通胀预期）出现下行，双重因素推动黄金创历史新高。</w:t>
      </w:r>
      <w:bookmarkStart w:id="45" w:name="fnref22"/>
      <w:bookmarkEnd w:id="45"/>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46" w:name="fnref23"/>
      <w:bookmarkEnd w:id="46"/>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47" w:name="fnref4_1"/>
      <w:bookmarkEnd w:id="4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39CE400A">
      <w:pPr>
        <w:spacing w:after="210" w:line="360" w:lineRule="auto"/>
      </w:pPr>
      <w:r>
        <w:rPr>
          <w:rFonts w:ascii="inter" w:hAnsi="inter" w:eastAsia="inter" w:cs="inter"/>
          <w:color w:val="000000"/>
        </w:rPr>
        <w:t>截至2026年1月中旬，现货黄金已站上4600美元，并多次刷新历史高点。</w:t>
      </w:r>
      <w:bookmarkStart w:id="48" w:name="fnref4_2"/>
      <w:bookmarkEnd w:id="48"/>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49" w:name="fnref5_1"/>
      <w:bookmarkEnd w:id="49"/>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481A0660">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24878F57">
      <w:pPr>
        <w:spacing w:before="315" w:after="105" w:line="360" w:lineRule="auto"/>
        <w:ind w:left="-30"/>
        <w:jc w:val="left"/>
      </w:pPr>
      <w:bookmarkStart w:id="50" w:name="第二部分_未来趋势可能性分析"/>
      <w:r>
        <w:rPr>
          <w:rFonts w:ascii="inter" w:hAnsi="inter" w:eastAsia="inter" w:cs="inter"/>
          <w:b/>
          <w:color w:val="000000"/>
          <w:sz w:val="24"/>
        </w:rPr>
        <w:t>第二部分：未来趋势可能性分析</w:t>
      </w:r>
      <w:bookmarkEnd w:id="50"/>
    </w:p>
    <w:p w14:paraId="3C5F644F">
      <w:pPr>
        <w:spacing w:after="210" w:line="360" w:lineRule="auto"/>
      </w:pPr>
      <w:r>
        <w:rPr>
          <w:rFonts w:ascii="inter" w:hAnsi="inter" w:eastAsia="inter" w:cs="inter"/>
          <w:color w:val="000000"/>
        </w:rPr>
        <w:t>基于当前宏观环境、历史规律和技术面形态，黄金未来12-24个月可能演绎以下三种情景：</w:t>
      </w:r>
    </w:p>
    <w:p w14:paraId="39AA5189">
      <w:pPr>
        <w:spacing w:before="315" w:after="105" w:line="360" w:lineRule="auto"/>
        <w:ind w:left="-30"/>
        <w:jc w:val="left"/>
      </w:pPr>
      <w:bookmarkStart w:id="51" w:name="情景一_牛市继续_概率40_50"/>
      <w:r>
        <w:rPr>
          <w:rFonts w:ascii="inter" w:hAnsi="inter" w:eastAsia="inter" w:cs="inter"/>
          <w:b/>
          <w:color w:val="000000"/>
          <w:sz w:val="24"/>
        </w:rPr>
        <w:t>情景一：牛市继续（概率40-50%）</w:t>
      </w:r>
      <w:bookmarkEnd w:id="51"/>
    </w:p>
    <w:p w14:paraId="7168F05E">
      <w:pPr>
        <w:spacing w:after="210" w:line="360" w:lineRule="auto"/>
      </w:pPr>
      <w:r>
        <w:rPr>
          <w:rFonts w:ascii="inter" w:hAnsi="inter" w:eastAsia="inter" w:cs="inter"/>
          <w:b/>
          <w:color w:val="000000"/>
        </w:rPr>
        <w:t>假设条件</w:t>
      </w:r>
    </w:p>
    <w:p w14:paraId="0EA8FC5E">
      <w:pPr>
        <w:numPr>
          <w:ilvl w:val="0"/>
          <w:numId w:val="3"/>
        </w:numPr>
        <w:spacing w:before="105" w:after="105" w:line="360" w:lineRule="auto"/>
      </w:pPr>
      <w:r>
        <w:rPr>
          <w:rFonts w:ascii="inter" w:hAnsi="inter" w:eastAsia="inter" w:cs="inter"/>
          <w:color w:val="000000"/>
          <w:sz w:val="21"/>
        </w:rPr>
        <w:t>美联储确认降息周期，2026年降息2-3次，联邦基金利率降至3.5%-4.0%区间</w:t>
      </w:r>
    </w:p>
    <w:p w14:paraId="3C621DD9">
      <w:pPr>
        <w:numPr>
          <w:ilvl w:val="0"/>
          <w:numId w:val="3"/>
        </w:numPr>
        <w:spacing w:before="105" w:after="105" w:line="360" w:lineRule="auto"/>
      </w:pPr>
      <w:r>
        <w:rPr>
          <w:rFonts w:ascii="inter" w:hAnsi="inter" w:eastAsia="inter" w:cs="inter"/>
          <w:color w:val="000000"/>
          <w:sz w:val="21"/>
        </w:rPr>
        <w:t>美国经济出现衰退迹象，失业率上升，非农就业增长放缓</w:t>
      </w:r>
    </w:p>
    <w:p w14:paraId="2342EFC4">
      <w:pPr>
        <w:numPr>
          <w:ilvl w:val="0"/>
          <w:numId w:val="3"/>
        </w:numPr>
        <w:spacing w:before="105" w:after="105" w:line="360" w:lineRule="auto"/>
      </w:pPr>
      <w:r>
        <w:rPr>
          <w:rFonts w:ascii="inter" w:hAnsi="inter" w:eastAsia="inter" w:cs="inter"/>
          <w:color w:val="000000"/>
          <w:sz w:val="21"/>
        </w:rPr>
        <w:t>地缘政治冲突（中东、俄乌、台海等）升级，推高避险溢价</w:t>
      </w:r>
    </w:p>
    <w:p w14:paraId="69FC9647">
      <w:pPr>
        <w:numPr>
          <w:ilvl w:val="0"/>
          <w:numId w:val="3"/>
        </w:numPr>
        <w:spacing w:before="105" w:after="105" w:line="360" w:lineRule="auto"/>
      </w:pPr>
      <w:r>
        <w:rPr>
          <w:rFonts w:ascii="inter" w:hAnsi="inter" w:eastAsia="inter" w:cs="inter"/>
          <w:color w:val="000000"/>
          <w:sz w:val="21"/>
        </w:rPr>
        <w:t>全球央行继续增持黄金，尤其是新兴市场国家运回已存放在欧美的黄金储备</w:t>
      </w:r>
    </w:p>
    <w:p w14:paraId="0C3869C8">
      <w:pPr>
        <w:numPr>
          <w:ilvl w:val="0"/>
          <w:numId w:val="3"/>
        </w:numPr>
        <w:spacing w:before="105" w:after="105" w:line="360" w:lineRule="auto"/>
      </w:pPr>
      <w:r>
        <w:rPr>
          <w:rFonts w:ascii="inter" w:hAnsi="inter" w:eastAsia="inter" w:cs="inter"/>
          <w:color w:val="000000"/>
          <w:sz w:val="21"/>
        </w:rPr>
        <w:t>实际收益率维持低位或继续下行</w:t>
      </w:r>
    </w:p>
    <w:p w14:paraId="73F7EAC5">
      <w:pPr>
        <w:spacing w:after="210" w:line="360" w:lineRule="auto"/>
      </w:pPr>
      <w:r>
        <w:rPr>
          <w:rFonts w:ascii="inter" w:hAnsi="inter" w:eastAsia="inter" w:cs="inter"/>
          <w:b/>
          <w:color w:val="000000"/>
        </w:rPr>
        <w:t>逻辑推演</w:t>
      </w:r>
    </w:p>
    <w:p w14:paraId="524BE35A">
      <w:pPr>
        <w:spacing w:after="210" w:line="360" w:lineRule="auto"/>
      </w:pPr>
      <w:r>
        <w:rPr>
          <w:rFonts w:ascii="inter" w:hAnsi="inter" w:eastAsia="inter" w:cs="inter"/>
          <w:color w:val="000000"/>
        </w:rPr>
        <w:t>在这一情景下，黄金将继续受益于"实际利率下行+避险需求+央行购金"三重驱动。历史上，每当实际利率进入负值区域（如2008-2011年、2020年），黄金都创造了历史新高。当前美国实际10年期收益率仍在正值区域（约2.3%），降息空间仍然充足。</w:t>
      </w:r>
      <w:bookmarkStart w:id="52" w:name="fnref24"/>
      <w:bookmarkEnd w:id="52"/>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1F5C4119">
      <w:pPr>
        <w:spacing w:after="210" w:line="360" w:lineRule="auto"/>
      </w:pPr>
      <w:r>
        <w:rPr>
          <w:rFonts w:ascii="inter" w:hAnsi="inter" w:eastAsia="inter" w:cs="inter"/>
          <w:color w:val="000000"/>
        </w:rPr>
        <w:t>如果美联储在经济衰退压力下加快降息步伐，实际利率可能跌入负值，黄金将获得强劲动能。同时，全球央行的结构性需求（增持黄金占比至20%-30%水平）将提供长期托底。</w:t>
      </w:r>
    </w:p>
    <w:p w14:paraId="151007D2">
      <w:pPr>
        <w:spacing w:after="210" w:line="360" w:lineRule="auto"/>
      </w:pPr>
      <w:r>
        <w:rPr>
          <w:rFonts w:ascii="inter" w:hAnsi="inter" w:eastAsia="inter" w:cs="inter"/>
          <w:b/>
          <w:color w:val="000000"/>
        </w:rPr>
        <w:t>目标位</w:t>
      </w:r>
    </w:p>
    <w:p w14:paraId="3C01DE11">
      <w:pPr>
        <w:numPr>
          <w:ilvl w:val="0"/>
          <w:numId w:val="4"/>
        </w:numPr>
        <w:spacing w:before="105" w:after="105" w:line="360" w:lineRule="auto"/>
      </w:pPr>
      <w:r>
        <w:rPr>
          <w:rFonts w:ascii="inter" w:hAnsi="inter" w:eastAsia="inter" w:cs="inter"/>
          <w:color w:val="000000"/>
          <w:sz w:val="21"/>
        </w:rPr>
        <w:t>近期目标：4700-4800美元/盎司（3-6个月）</w:t>
      </w:r>
    </w:p>
    <w:p w14:paraId="7D087193">
      <w:pPr>
        <w:numPr>
          <w:ilvl w:val="0"/>
          <w:numId w:val="4"/>
        </w:numPr>
        <w:spacing w:before="105" w:after="105" w:line="360" w:lineRule="auto"/>
      </w:pPr>
      <w:r>
        <w:rPr>
          <w:rFonts w:ascii="inter" w:hAnsi="inter" w:eastAsia="inter" w:cs="inter"/>
          <w:color w:val="000000"/>
          <w:sz w:val="21"/>
        </w:rPr>
        <w:t>中期目标：5000美元/盎司（6-12个月）</w:t>
      </w:r>
    </w:p>
    <w:p w14:paraId="292504A0">
      <w:pPr>
        <w:numPr>
          <w:ilvl w:val="0"/>
          <w:numId w:val="4"/>
        </w:numPr>
        <w:spacing w:before="105" w:after="105" w:line="360" w:lineRule="auto"/>
      </w:pPr>
      <w:r>
        <w:rPr>
          <w:rFonts w:ascii="inter" w:hAnsi="inter" w:eastAsia="inter" w:cs="inter"/>
          <w:color w:val="000000"/>
          <w:sz w:val="21"/>
        </w:rPr>
        <w:t>极端目标：5500美元以上（主要驱动因素为地缘冲突升级或美元信心危机）</w:t>
      </w:r>
    </w:p>
    <w:p w14:paraId="17983C38">
      <w:pPr>
        <w:spacing w:after="210" w:line="360" w:lineRule="auto"/>
      </w:pPr>
      <w:r>
        <w:rPr>
          <w:rFonts w:ascii="inter" w:hAnsi="inter" w:eastAsia="inter" w:cs="inter"/>
          <w:b/>
          <w:color w:val="000000"/>
        </w:rPr>
        <w:t>历史参考</w:t>
      </w:r>
      <w:r>
        <w:rPr>
          <w:rFonts w:ascii="inter" w:hAnsi="inter" w:eastAsia="inter" w:cs="inter"/>
          <w:color w:val="000000"/>
        </w:rPr>
        <w:t>：2011年金价在历史高点附近震荡数月，最终在避险情绪高涨中创造新高。本轮牛市在央行增持的长期支撑下，破位向上的概率超过60%。</w:t>
      </w:r>
    </w:p>
    <w:p w14:paraId="167D7FED">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63D90750">
      <w:pPr>
        <w:spacing w:before="315" w:after="105" w:line="360" w:lineRule="auto"/>
        <w:ind w:left="-30"/>
        <w:jc w:val="left"/>
      </w:pPr>
      <w:bookmarkStart w:id="53" w:name="情景二_调整回落_熊市情景_概率25_30"/>
      <w:r>
        <w:rPr>
          <w:rFonts w:ascii="inter" w:hAnsi="inter" w:eastAsia="inter" w:cs="inter"/>
          <w:b/>
          <w:color w:val="000000"/>
          <w:sz w:val="24"/>
        </w:rPr>
        <w:t>情景二：调整回落（熊市情景，概率25-30%）</w:t>
      </w:r>
      <w:bookmarkEnd w:id="53"/>
    </w:p>
    <w:p w14:paraId="73D8853B">
      <w:pPr>
        <w:spacing w:after="210" w:line="360" w:lineRule="auto"/>
      </w:pPr>
      <w:r>
        <w:rPr>
          <w:rFonts w:ascii="inter" w:hAnsi="inter" w:eastAsia="inter" w:cs="inter"/>
          <w:b/>
          <w:color w:val="000000"/>
        </w:rPr>
        <w:t>假设条件</w:t>
      </w:r>
    </w:p>
    <w:p w14:paraId="2D837C5E">
      <w:pPr>
        <w:numPr>
          <w:ilvl w:val="0"/>
          <w:numId w:val="5"/>
        </w:numPr>
        <w:spacing w:before="105" w:after="105" w:line="360" w:lineRule="auto"/>
      </w:pPr>
      <w:r>
        <w:rPr>
          <w:rFonts w:ascii="inter" w:hAnsi="inter" w:eastAsia="inter" w:cs="inter"/>
          <w:color w:val="000000"/>
          <w:sz w:val="21"/>
        </w:rPr>
        <w:t>美国经济数据意外强劲，Q1-Q2 GDP增速超预期，失业率继续下行至3.5%以下</w:t>
      </w:r>
    </w:p>
    <w:p w14:paraId="4E2F3A7B">
      <w:pPr>
        <w:numPr>
          <w:ilvl w:val="0"/>
          <w:numId w:val="5"/>
        </w:numPr>
        <w:spacing w:before="105" w:after="105" w:line="360" w:lineRule="auto"/>
      </w:pPr>
      <w:r>
        <w:rPr>
          <w:rFonts w:ascii="inter" w:hAnsi="inter" w:eastAsia="inter" w:cs="inter"/>
          <w:color w:val="000000"/>
          <w:sz w:val="21"/>
        </w:rPr>
        <w:t>通胀反弹，CPI或核心CPI重新冲高至3.5%-4%，迫使美联储暂停或延迟降息</w:t>
      </w:r>
    </w:p>
    <w:p w14:paraId="15F91B20">
      <w:pPr>
        <w:numPr>
          <w:ilvl w:val="0"/>
          <w:numId w:val="5"/>
        </w:numPr>
        <w:spacing w:before="105" w:after="105" w:line="360" w:lineRule="auto"/>
      </w:pPr>
      <w:r>
        <w:rPr>
          <w:rFonts w:ascii="inter" w:hAnsi="inter" w:eastAsia="inter" w:cs="inter"/>
          <w:color w:val="000000"/>
          <w:sz w:val="21"/>
        </w:rPr>
        <w:t>美国财政整顿预期升温，特朗普政府收紧财政支出，长端美债收益率上升</w:t>
      </w:r>
    </w:p>
    <w:p w14:paraId="39DB8963">
      <w:pPr>
        <w:numPr>
          <w:ilvl w:val="0"/>
          <w:numId w:val="5"/>
        </w:numPr>
        <w:spacing w:before="105" w:after="105" w:line="360" w:lineRule="auto"/>
      </w:pPr>
      <w:r>
        <w:rPr>
          <w:rFonts w:ascii="inter" w:hAnsi="inter" w:eastAsia="inter" w:cs="inter"/>
          <w:color w:val="000000"/>
          <w:sz w:val="21"/>
        </w:rPr>
        <w:t>美元指数重新上升至105-110水平</w:t>
      </w:r>
    </w:p>
    <w:p w14:paraId="4457A3E7">
      <w:pPr>
        <w:numPr>
          <w:ilvl w:val="0"/>
          <w:numId w:val="5"/>
        </w:numPr>
        <w:spacing w:before="105" w:after="105" w:line="360" w:lineRule="auto"/>
      </w:pPr>
      <w:r>
        <w:rPr>
          <w:rFonts w:ascii="inter" w:hAnsi="inter" w:eastAsia="inter" w:cs="inter"/>
          <w:color w:val="000000"/>
          <w:sz w:val="21"/>
        </w:rPr>
        <w:t>地缘冲突缓解，风险资产重获青睐，避险情绪降温</w:t>
      </w:r>
    </w:p>
    <w:p w14:paraId="29928A02">
      <w:pPr>
        <w:spacing w:after="210" w:line="360" w:lineRule="auto"/>
      </w:pPr>
      <w:r>
        <w:rPr>
          <w:rFonts w:ascii="inter" w:hAnsi="inter" w:eastAsia="inter" w:cs="inter"/>
          <w:b/>
          <w:color w:val="000000"/>
        </w:rPr>
        <w:t>逻辑推演</w:t>
      </w:r>
    </w:p>
    <w:p w14:paraId="0F3D6707">
      <w:pPr>
        <w:spacing w:after="210" w:line="360" w:lineRule="auto"/>
      </w:pPr>
      <w:r>
        <w:rPr>
          <w:rFonts w:ascii="inter" w:hAnsi="inter" w:eastAsia="inter" w:cs="inter"/>
          <w:color w:val="000000"/>
        </w:rPr>
        <w:t>这一情景本质上是对2021-2022年美联储加息周期的重演。美国经济的韧性可能超市场预期——制造业PMI虽然处于荣枯线以下（2025年12月为47.9%），但劳动力市场仍相对稳健，消费支出仍保持正增长。 如果通胀再度抬头，美联储被迫维持高利率，实际收益率将重新上升至3-4%，黄金的吸引力将大幅下降。</w:t>
      </w:r>
      <w:bookmarkStart w:id="54" w:name="fnref25"/>
      <w:bookmarkEnd w:id="54"/>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059EAA32">
      <w:pPr>
        <w:spacing w:after="210" w:line="360" w:lineRule="auto"/>
      </w:pPr>
      <w:r>
        <w:rPr>
          <w:rFonts w:ascii="inter" w:hAnsi="inter" w:eastAsia="inter" w:cs="inter"/>
          <w:color w:val="000000"/>
        </w:rPr>
        <w:t>这一情景下，金价将面临两道关键防线：第一道在4200美元（200日均线附近），第二道在3800-4000美元（2023年见顶区域的支撑），最终可能向极端下行目标3500美元（2022年低点1628美元向上50%斐波那契回撤位）挑战。</w:t>
      </w:r>
    </w:p>
    <w:p w14:paraId="2FA81C1A">
      <w:pPr>
        <w:spacing w:after="210" w:line="360" w:lineRule="auto"/>
      </w:pPr>
      <w:r>
        <w:rPr>
          <w:rFonts w:ascii="inter" w:hAnsi="inter" w:eastAsia="inter" w:cs="inter"/>
          <w:b/>
          <w:color w:val="000000"/>
        </w:rPr>
        <w:t>目标位</w:t>
      </w:r>
    </w:p>
    <w:p w14:paraId="1449F3AD">
      <w:pPr>
        <w:numPr>
          <w:ilvl w:val="0"/>
          <w:numId w:val="6"/>
        </w:numPr>
        <w:spacing w:before="105" w:after="105" w:line="360" w:lineRule="auto"/>
      </w:pPr>
      <w:r>
        <w:rPr>
          <w:rFonts w:ascii="inter" w:hAnsi="inter" w:eastAsia="inter" w:cs="inter"/>
          <w:color w:val="000000"/>
          <w:sz w:val="21"/>
        </w:rPr>
        <w:t>第一下行目标：4200-4300美元/盎司（破位概率50%）</w:t>
      </w:r>
    </w:p>
    <w:p w14:paraId="581BD3E3">
      <w:pPr>
        <w:numPr>
          <w:ilvl w:val="0"/>
          <w:numId w:val="6"/>
        </w:numPr>
        <w:spacing w:before="105" w:after="105" w:line="360" w:lineRule="auto"/>
      </w:pPr>
      <w:r>
        <w:rPr>
          <w:rFonts w:ascii="inter" w:hAnsi="inter" w:eastAsia="inter" w:cs="inter"/>
          <w:color w:val="000000"/>
          <w:sz w:val="21"/>
        </w:rPr>
        <w:t>第二下行目标：3800-4000美元/盎司（破位概率30%）</w:t>
      </w:r>
    </w:p>
    <w:p w14:paraId="35A95064">
      <w:pPr>
        <w:numPr>
          <w:ilvl w:val="0"/>
          <w:numId w:val="6"/>
        </w:numPr>
        <w:spacing w:before="105" w:after="105" w:line="360" w:lineRule="auto"/>
      </w:pPr>
      <w:r>
        <w:rPr>
          <w:rFonts w:ascii="inter" w:hAnsi="inter" w:eastAsia="inter" w:cs="inter"/>
          <w:color w:val="000000"/>
          <w:sz w:val="21"/>
        </w:rPr>
        <w:t>技术底部：3500美元/盎司（极端情景）</w:t>
      </w:r>
    </w:p>
    <w:p w14:paraId="781ABFC8">
      <w:pPr>
        <w:spacing w:after="210" w:line="360" w:lineRule="auto"/>
      </w:pPr>
      <w:r>
        <w:rPr>
          <w:rFonts w:ascii="inter" w:hAnsi="inter" w:eastAsia="inter" w:cs="inter"/>
          <w:b/>
          <w:color w:val="000000"/>
        </w:rPr>
        <w:t>注意事项</w:t>
      </w:r>
      <w:r>
        <w:rPr>
          <w:rFonts w:ascii="inter" w:hAnsi="inter" w:eastAsia="inter" w:cs="inter"/>
          <w:color w:val="000000"/>
        </w:rPr>
        <w:t>：虽然这一情景的概率较低，但一旦发生，下跌的幅度可能达到15%-25%，因此风险管理仍需关注。</w:t>
      </w:r>
    </w:p>
    <w:p w14:paraId="2C9D6381">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6D1C85DE">
      <w:pPr>
        <w:spacing w:before="315" w:after="105" w:line="360" w:lineRule="auto"/>
        <w:ind w:left="-30"/>
        <w:jc w:val="left"/>
      </w:pPr>
      <w:bookmarkStart w:id="55" w:name="情景三_宽幅震荡_概率20_30"/>
      <w:r>
        <w:rPr>
          <w:rFonts w:ascii="inter" w:hAnsi="inter" w:eastAsia="inter" w:cs="inter"/>
          <w:b/>
          <w:color w:val="000000"/>
          <w:sz w:val="24"/>
        </w:rPr>
        <w:t>情景三：宽幅震荡（概率20-30%）</w:t>
      </w:r>
      <w:bookmarkEnd w:id="55"/>
    </w:p>
    <w:p w14:paraId="24F34E57">
      <w:pPr>
        <w:spacing w:after="210" w:line="360" w:lineRule="auto"/>
      </w:pPr>
      <w:r>
        <w:rPr>
          <w:rFonts w:ascii="inter" w:hAnsi="inter" w:eastAsia="inter" w:cs="inter"/>
          <w:b/>
          <w:color w:val="000000"/>
        </w:rPr>
        <w:t>假设条件</w:t>
      </w:r>
    </w:p>
    <w:p w14:paraId="7D744FE3">
      <w:pPr>
        <w:numPr>
          <w:ilvl w:val="0"/>
          <w:numId w:val="7"/>
        </w:numPr>
        <w:spacing w:before="105" w:after="105" w:line="360" w:lineRule="auto"/>
      </w:pPr>
      <w:r>
        <w:rPr>
          <w:rFonts w:ascii="inter" w:hAnsi="inter" w:eastAsia="inter" w:cs="inter"/>
          <w:color w:val="000000"/>
          <w:sz w:val="21"/>
        </w:rPr>
        <w:t>美联储政策立场反复：先降息后可能加息，或在降息路上多次暂停</w:t>
      </w:r>
    </w:p>
    <w:p w14:paraId="583CF032">
      <w:pPr>
        <w:numPr>
          <w:ilvl w:val="0"/>
          <w:numId w:val="7"/>
        </w:numPr>
        <w:spacing w:before="105" w:after="105" w:line="360" w:lineRule="auto"/>
      </w:pPr>
      <w:r>
        <w:rPr>
          <w:rFonts w:ascii="inter" w:hAnsi="inter" w:eastAsia="inter" w:cs="inter"/>
          <w:color w:val="000000"/>
          <w:sz w:val="21"/>
        </w:rPr>
        <w:t>经济数据好坏混杂：部分指标强劲，部分显示疲软（典型如强就业但弱消费）</w:t>
      </w:r>
    </w:p>
    <w:p w14:paraId="1A8FA3C1">
      <w:pPr>
        <w:numPr>
          <w:ilvl w:val="0"/>
          <w:numId w:val="7"/>
        </w:numPr>
        <w:spacing w:before="105" w:after="105" w:line="360" w:lineRule="auto"/>
      </w:pPr>
      <w:r>
        <w:rPr>
          <w:rFonts w:ascii="inter" w:hAnsi="inter" w:eastAsia="inter" w:cs="inter"/>
          <w:color w:val="000000"/>
          <w:sz w:val="21"/>
        </w:rPr>
        <w:t>地缘政治风险"温和"升温：局部冲突但不扩大，避险溢价维持在温和水平</w:t>
      </w:r>
    </w:p>
    <w:p w14:paraId="2DBFB358">
      <w:pPr>
        <w:numPr>
          <w:ilvl w:val="0"/>
          <w:numId w:val="7"/>
        </w:numPr>
        <w:spacing w:before="105" w:after="105" w:line="360" w:lineRule="auto"/>
      </w:pPr>
      <w:r>
        <w:rPr>
          <w:rFonts w:ascii="inter" w:hAnsi="inter" w:eastAsia="inter" w:cs="inter"/>
          <w:color w:val="000000"/>
          <w:sz w:val="21"/>
        </w:rPr>
        <w:t>央行购金保持现有节奏，但市场投资需求出现周期性调整</w:t>
      </w:r>
    </w:p>
    <w:p w14:paraId="44E34424">
      <w:pPr>
        <w:numPr>
          <w:ilvl w:val="0"/>
          <w:numId w:val="7"/>
        </w:numPr>
        <w:spacing w:before="105" w:after="105" w:line="360" w:lineRule="auto"/>
      </w:pPr>
      <w:r>
        <w:rPr>
          <w:rFonts w:ascii="inter" w:hAnsi="inter" w:eastAsia="inter" w:cs="inter"/>
          <w:color w:val="000000"/>
          <w:sz w:val="21"/>
        </w:rPr>
        <w:t>美联储政策不确定性高企，市场反复择时</w:t>
      </w:r>
    </w:p>
    <w:p w14:paraId="5AD71695">
      <w:pPr>
        <w:spacing w:after="210" w:line="360" w:lineRule="auto"/>
      </w:pPr>
      <w:r>
        <w:rPr>
          <w:rFonts w:ascii="inter" w:hAnsi="inter" w:eastAsia="inter" w:cs="inter"/>
          <w:b/>
          <w:color w:val="000000"/>
        </w:rPr>
        <w:t>逻辑推演</w:t>
      </w:r>
    </w:p>
    <w:p w14:paraId="6DF459A4">
      <w:pPr>
        <w:spacing w:after="210" w:line="360" w:lineRule="auto"/>
      </w:pPr>
      <w:r>
        <w:rPr>
          <w:rFonts w:ascii="inter" w:hAnsi="inter" w:eastAsia="inter" w:cs="inter"/>
          <w:color w:val="000000"/>
        </w:rPr>
        <w:t>这一情景是最"现实"的，也是历史最常见的。黄金将在4200-4650美元区间内形成宽幅震荡，打破多头单边上扬的局面，取而代之的是复杂的多方面博弈——避险与风险偏好的切换、央行增持与投资基金调仓、美元强弱与实际利率升降的反复。</w:t>
      </w:r>
    </w:p>
    <w:p w14:paraId="6625E342">
      <w:pPr>
        <w:spacing w:after="210" w:line="360" w:lineRule="auto"/>
      </w:pPr>
      <w:r>
        <w:rPr>
          <w:rFonts w:ascii="inter" w:hAnsi="inter" w:eastAsia="inter" w:cs="inter"/>
          <w:color w:val="000000"/>
        </w:rPr>
        <w:t>在这种情景下，4350-4450美元将成为多空争夺的焦点区域，每次破位都可能引发技术性反弹或加速下跌。</w:t>
      </w:r>
    </w:p>
    <w:p w14:paraId="060D5137">
      <w:pPr>
        <w:spacing w:after="210" w:line="360" w:lineRule="auto"/>
      </w:pPr>
      <w:r>
        <w:rPr>
          <w:rFonts w:ascii="inter" w:hAnsi="inter" w:eastAsia="inter" w:cs="inter"/>
          <w:b/>
          <w:color w:val="000000"/>
        </w:rPr>
        <w:t>预期特征</w:t>
      </w:r>
    </w:p>
    <w:p w14:paraId="4BB1CA7C">
      <w:pPr>
        <w:numPr>
          <w:ilvl w:val="0"/>
          <w:numId w:val="8"/>
        </w:numPr>
        <w:spacing w:before="105" w:after="105" w:line="360" w:lineRule="auto"/>
      </w:pPr>
      <w:r>
        <w:rPr>
          <w:rFonts w:ascii="inter" w:hAnsi="inter" w:eastAsia="inter" w:cs="inter"/>
          <w:color w:val="000000"/>
          <w:sz w:val="21"/>
        </w:rPr>
        <w:t>震荡区间：4200-4650美元/盎司</w:t>
      </w:r>
    </w:p>
    <w:p w14:paraId="02DFA130">
      <w:pPr>
        <w:numPr>
          <w:ilvl w:val="0"/>
          <w:numId w:val="8"/>
        </w:numPr>
        <w:spacing w:before="105" w:after="105" w:line="360" w:lineRule="auto"/>
      </w:pPr>
      <w:r>
        <w:rPr>
          <w:rFonts w:ascii="inter" w:hAnsi="inter" w:eastAsia="inter" w:cs="inter"/>
          <w:color w:val="000000"/>
          <w:sz w:val="21"/>
        </w:rPr>
        <w:t>核心成交密集区：4350-4500美元</w:t>
      </w:r>
    </w:p>
    <w:p w14:paraId="31F3C42A">
      <w:pPr>
        <w:numPr>
          <w:ilvl w:val="0"/>
          <w:numId w:val="8"/>
        </w:numPr>
        <w:spacing w:before="105" w:after="105" w:line="360" w:lineRule="auto"/>
      </w:pPr>
      <w:r>
        <w:rPr>
          <w:rFonts w:ascii="inter" w:hAnsi="inter" w:eastAsia="inter" w:cs="inter"/>
          <w:color w:val="000000"/>
          <w:sz w:val="21"/>
        </w:rPr>
        <w:t>预期时间周期：6-12个月</w:t>
      </w:r>
    </w:p>
    <w:p w14:paraId="2EFA72DE">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3272AFCF">
      <w:pPr>
        <w:spacing w:before="315" w:after="105" w:line="360" w:lineRule="auto"/>
        <w:ind w:left="-30"/>
        <w:jc w:val="left"/>
      </w:pPr>
      <w:bookmarkStart w:id="56" w:name="第三部分_关键技术位置识别"/>
      <w:r>
        <w:rPr>
          <w:rFonts w:ascii="inter" w:hAnsi="inter" w:eastAsia="inter" w:cs="inter"/>
          <w:b/>
          <w:color w:val="000000"/>
          <w:sz w:val="24"/>
        </w:rPr>
        <w:t>第三部分：关键技术位置识别</w:t>
      </w:r>
      <w:bookmarkEnd w:id="56"/>
    </w:p>
    <w:p w14:paraId="52A4564D">
      <w:pPr>
        <w:spacing w:before="315" w:after="105" w:line="360" w:lineRule="auto"/>
        <w:ind w:left="-30"/>
        <w:jc w:val="left"/>
      </w:pPr>
      <w:bookmarkStart w:id="57" w:name="关键支撑位详解"/>
      <w:r>
        <w:rPr>
          <w:rFonts w:ascii="inter" w:hAnsi="inter" w:eastAsia="inter" w:cs="inter"/>
          <w:b/>
          <w:color w:val="000000"/>
          <w:sz w:val="24"/>
        </w:rPr>
        <w:t>关键支撑位详解</w:t>
      </w:r>
      <w:bookmarkEnd w:id="57"/>
    </w:p>
    <w:p w14:paraId="043C3FAF">
      <w:pPr>
        <w:spacing w:before="315" w:after="105" w:line="360" w:lineRule="auto"/>
        <w:ind w:left="-30"/>
        <w:jc w:val="left"/>
      </w:pPr>
      <w:bookmarkStart w:id="58" w:name="第一级支撑_4447美元_盎司"/>
      <w:r>
        <w:rPr>
          <w:rFonts w:ascii="inter" w:hAnsi="inter" w:eastAsia="inter" w:cs="inter"/>
          <w:b/>
          <w:color w:val="000000"/>
          <w:sz w:val="24"/>
        </w:rPr>
        <w:t>第一级支撑：4447美元/盎司</w:t>
      </w:r>
      <w:bookmarkEnd w:id="58"/>
    </w:p>
    <w:p w14:paraId="1814BE1B">
      <w:pPr>
        <w:spacing w:after="210" w:line="360" w:lineRule="auto"/>
      </w:pPr>
      <w:r>
        <w:rPr>
          <w:rFonts w:ascii="inter" w:hAnsi="inter" w:eastAsia="inter" w:cs="inter"/>
          <w:b/>
          <w:color w:val="000000"/>
        </w:rPr>
        <w:t>判断依据</w:t>
      </w:r>
    </w:p>
    <w:p w14:paraId="711FEC03">
      <w:pPr>
        <w:numPr>
          <w:ilvl w:val="0"/>
          <w:numId w:val="9"/>
        </w:numPr>
        <w:spacing w:before="105" w:after="105" w:line="360" w:lineRule="auto"/>
      </w:pPr>
      <w:r>
        <w:rPr>
          <w:rFonts w:ascii="inter" w:hAnsi="inter" w:eastAsia="inter" w:cs="inter"/>
          <w:color w:val="000000"/>
          <w:sz w:val="21"/>
        </w:rPr>
        <w:t>这是短期上升趋势线的重要支撑位</w:t>
      </w:r>
    </w:p>
    <w:p w14:paraId="467351D1">
      <w:pPr>
        <w:numPr>
          <w:ilvl w:val="0"/>
          <w:numId w:val="9"/>
        </w:numPr>
        <w:spacing w:before="105" w:after="105" w:line="360" w:lineRule="auto"/>
      </w:pPr>
      <w:r>
        <w:rPr>
          <w:rFonts w:ascii="inter" w:hAnsi="inter" w:eastAsia="inter" w:cs="inter"/>
          <w:color w:val="000000"/>
          <w:sz w:val="21"/>
        </w:rPr>
        <w:t>13日指数移动平均线（13-day EMA）目前运行于此附近</w:t>
      </w:r>
    </w:p>
    <w:p w14:paraId="3917991E">
      <w:pPr>
        <w:numPr>
          <w:ilvl w:val="0"/>
          <w:numId w:val="9"/>
        </w:numPr>
        <w:spacing w:before="105" w:after="105" w:line="360" w:lineRule="auto"/>
      </w:pPr>
      <w:r>
        <w:rPr>
          <w:rFonts w:ascii="inter" w:hAnsi="inter" w:eastAsia="inter" w:cs="inter"/>
          <w:color w:val="000000"/>
          <w:sz w:val="21"/>
        </w:rPr>
        <w:t>2026年1月中旬金价在此区域企稳并反弹，确认其技术支撑意义</w:t>
      </w:r>
    </w:p>
    <w:p w14:paraId="587F5EC6">
      <w:pPr>
        <w:numPr>
          <w:ilvl w:val="0"/>
          <w:numId w:val="9"/>
        </w:numPr>
        <w:spacing w:before="105" w:after="105" w:line="360" w:lineRule="auto"/>
      </w:pPr>
      <w:r>
        <w:rPr>
          <w:rFonts w:ascii="inter" w:hAnsi="inter" w:eastAsia="inter" w:cs="inter"/>
          <w:color w:val="000000"/>
          <w:sz w:val="21"/>
        </w:rPr>
        <w:t>只要金价不破此位，短期上升趋势线就不会改变</w:t>
      </w:r>
    </w:p>
    <w:p w14:paraId="7EC27349">
      <w:pPr>
        <w:spacing w:after="210" w:line="360" w:lineRule="auto"/>
      </w:pPr>
      <w:r>
        <w:rPr>
          <w:rFonts w:ascii="inter" w:hAnsi="inter" w:eastAsia="inter" w:cs="inter"/>
          <w:b/>
          <w:color w:val="000000"/>
        </w:rPr>
        <w:t>技术意义</w:t>
      </w:r>
      <w:r>
        <w:rPr>
          <w:rFonts w:ascii="inter" w:hAnsi="inter" w:eastAsia="inter" w:cs="inter"/>
          <w:color w:val="000000"/>
        </w:rPr>
        <w:t>：这是最近7-10天内的日线级别支撑，破位意味着短期技术形态恶化，可能引发更深层次回调。</w:t>
      </w:r>
    </w:p>
    <w:p w14:paraId="1A95B625">
      <w:pPr>
        <w:spacing w:before="315" w:after="105" w:line="360" w:lineRule="auto"/>
        <w:ind w:left="-30"/>
        <w:jc w:val="left"/>
      </w:pPr>
      <w:bookmarkStart w:id="59" w:name="第二级支撑_4350_4380美元_盎司"/>
      <w:r>
        <w:rPr>
          <w:rFonts w:ascii="inter" w:hAnsi="inter" w:eastAsia="inter" w:cs="inter"/>
          <w:b/>
          <w:color w:val="000000"/>
          <w:sz w:val="24"/>
        </w:rPr>
        <w:t>第二级支撑：4350-4380美元/盎司</w:t>
      </w:r>
      <w:bookmarkEnd w:id="59"/>
    </w:p>
    <w:p w14:paraId="736FA0E1">
      <w:pPr>
        <w:spacing w:after="210" w:line="360" w:lineRule="auto"/>
      </w:pPr>
      <w:r>
        <w:rPr>
          <w:rFonts w:ascii="inter" w:hAnsi="inter" w:eastAsia="inter" w:cs="inter"/>
          <w:b/>
          <w:color w:val="000000"/>
        </w:rPr>
        <w:t>判断依据</w:t>
      </w:r>
    </w:p>
    <w:p w14:paraId="42EBB1D4">
      <w:pPr>
        <w:numPr>
          <w:ilvl w:val="0"/>
          <w:numId w:val="10"/>
        </w:numPr>
        <w:spacing w:before="105" w:after="105" w:line="360" w:lineRule="auto"/>
      </w:pPr>
      <w:r>
        <w:rPr>
          <w:rFonts w:ascii="inter" w:hAnsi="inter" w:eastAsia="inter" w:cs="inter"/>
          <w:color w:val="000000"/>
          <w:sz w:val="21"/>
        </w:rPr>
        <w:t>这是近期反弹中多次企稳的低点（2026年初的回调低点）</w:t>
      </w:r>
    </w:p>
    <w:p w14:paraId="715C3755">
      <w:pPr>
        <w:numPr>
          <w:ilvl w:val="0"/>
          <w:numId w:val="10"/>
        </w:numPr>
        <w:spacing w:before="105" w:after="105" w:line="360" w:lineRule="auto"/>
      </w:pPr>
      <w:r>
        <w:rPr>
          <w:rFonts w:ascii="inter" w:hAnsi="inter" w:eastAsia="inter" w:cs="inter"/>
          <w:color w:val="000000"/>
          <w:sz w:val="21"/>
        </w:rPr>
        <w:t>心理整数关口4350处汇聚了机构委托单和止损点</w:t>
      </w:r>
    </w:p>
    <w:p w14:paraId="4E7B515E">
      <w:pPr>
        <w:numPr>
          <w:ilvl w:val="0"/>
          <w:numId w:val="10"/>
        </w:numPr>
        <w:spacing w:before="105" w:after="105" w:line="360" w:lineRule="auto"/>
      </w:pPr>
      <w:r>
        <w:rPr>
          <w:rFonts w:ascii="inter" w:hAnsi="inter" w:eastAsia="inter" w:cs="inter"/>
          <w:color w:val="000000"/>
          <w:sz w:val="21"/>
        </w:rPr>
        <w:t>历史成交密集区下沿</w:t>
      </w:r>
    </w:p>
    <w:p w14:paraId="397EA3ED">
      <w:pPr>
        <w:numPr>
          <w:ilvl w:val="0"/>
          <w:numId w:val="10"/>
        </w:numPr>
        <w:spacing w:before="105" w:after="105" w:line="360" w:lineRule="auto"/>
      </w:pPr>
      <w:r>
        <w:rPr>
          <w:rFonts w:ascii="inter" w:hAnsi="inter" w:eastAsia="inter" w:cs="inter"/>
          <w:color w:val="000000"/>
          <w:sz w:val="21"/>
        </w:rPr>
        <w:t>1周期图中的50日移动平均线附近</w:t>
      </w:r>
    </w:p>
    <w:p w14:paraId="0CC7EF15">
      <w:pPr>
        <w:spacing w:after="210" w:line="360" w:lineRule="auto"/>
      </w:pPr>
      <w:r>
        <w:rPr>
          <w:rFonts w:ascii="inter" w:hAnsi="inter" w:eastAsia="inter" w:cs="inter"/>
          <w:b/>
          <w:color w:val="000000"/>
        </w:rPr>
        <w:t>技术意义</w:t>
      </w:r>
      <w:r>
        <w:rPr>
          <w:rFonts w:ascii="inter" w:hAnsi="inter" w:eastAsia="inter" w:cs="inter"/>
          <w:color w:val="000000"/>
        </w:rPr>
        <w:t>：这是中期支撑区域。如果金价跌破此区域，意味着中期调整已成立，可能导致向下一级支撑进一步扩展。</w:t>
      </w:r>
    </w:p>
    <w:p w14:paraId="6B8C6ABF">
      <w:pPr>
        <w:spacing w:before="315" w:after="105" w:line="360" w:lineRule="auto"/>
        <w:ind w:left="-30"/>
        <w:jc w:val="left"/>
      </w:pPr>
      <w:bookmarkStart w:id="60" w:name="第三级支撑_4200美元_盎司"/>
      <w:r>
        <w:rPr>
          <w:rFonts w:ascii="inter" w:hAnsi="inter" w:eastAsia="inter" w:cs="inter"/>
          <w:b/>
          <w:color w:val="000000"/>
          <w:sz w:val="24"/>
        </w:rPr>
        <w:t>第三级支撑：4200美元/盎司</w:t>
      </w:r>
      <w:bookmarkEnd w:id="60"/>
    </w:p>
    <w:p w14:paraId="6E520763">
      <w:pPr>
        <w:spacing w:after="210" w:line="360" w:lineRule="auto"/>
      </w:pPr>
      <w:r>
        <w:rPr>
          <w:rFonts w:ascii="inter" w:hAnsi="inter" w:eastAsia="inter" w:cs="inter"/>
          <w:b/>
          <w:color w:val="000000"/>
        </w:rPr>
        <w:t>判断依据</w:t>
      </w:r>
    </w:p>
    <w:p w14:paraId="56E5FC2B">
      <w:pPr>
        <w:numPr>
          <w:ilvl w:val="0"/>
          <w:numId w:val="11"/>
        </w:numPr>
        <w:spacing w:before="105" w:after="105" w:line="360" w:lineRule="auto"/>
      </w:pPr>
      <w:r>
        <w:rPr>
          <w:rFonts w:ascii="inter" w:hAnsi="inter" w:eastAsia="inter" w:cs="inter"/>
          <w:color w:val="000000"/>
          <w:sz w:val="21"/>
        </w:rPr>
        <w:t>200日移动均线（200-day MA）附近，这是长期趋势的分水岭</w:t>
      </w:r>
    </w:p>
    <w:p w14:paraId="4C2A151E">
      <w:pPr>
        <w:numPr>
          <w:ilvl w:val="0"/>
          <w:numId w:val="11"/>
        </w:numPr>
        <w:spacing w:before="105" w:after="105" w:line="360" w:lineRule="auto"/>
      </w:pPr>
      <w:r>
        <w:rPr>
          <w:rFonts w:ascii="inter" w:hAnsi="inter" w:eastAsia="inter" w:cs="inter"/>
          <w:color w:val="000000"/>
          <w:sz w:val="21"/>
        </w:rPr>
        <w:t>价格高于200日均线代表技术性牛市，低于则代表熊市</w:t>
      </w:r>
    </w:p>
    <w:p w14:paraId="1C6D6D89">
      <w:pPr>
        <w:numPr>
          <w:ilvl w:val="0"/>
          <w:numId w:val="11"/>
        </w:numPr>
        <w:spacing w:before="105" w:after="105" w:line="360" w:lineRule="auto"/>
      </w:pPr>
      <w:r>
        <w:rPr>
          <w:rFonts w:ascii="inter" w:hAnsi="inter" w:eastAsia="inter" w:cs="inter"/>
          <w:color w:val="000000"/>
          <w:sz w:val="21"/>
        </w:rPr>
        <w:t>从2020年8月高点(2072美元)至2022年9月低点(1628美元)，4200美元是这段跌幅的50%斐波那契回撤位</w:t>
      </w:r>
    </w:p>
    <w:p w14:paraId="49EDDF35">
      <w:pPr>
        <w:numPr>
          <w:ilvl w:val="0"/>
          <w:numId w:val="11"/>
        </w:numPr>
        <w:spacing w:before="105" w:after="105" w:line="360" w:lineRule="auto"/>
      </w:pPr>
      <w:r>
        <w:rPr>
          <w:rFonts w:ascii="inter" w:hAnsi="inter" w:eastAsia="inter" w:cs="inter"/>
          <w:color w:val="000000"/>
          <w:sz w:val="21"/>
        </w:rPr>
        <w:t>从历史成交量密集区看，4200美元下方缺乏明显支撑</w:t>
      </w:r>
    </w:p>
    <w:p w14:paraId="741FCCF9">
      <w:pPr>
        <w:spacing w:after="210" w:line="360" w:lineRule="auto"/>
      </w:pPr>
      <w:r>
        <w:rPr>
          <w:rFonts w:ascii="inter" w:hAnsi="inter" w:eastAsia="inter" w:cs="inter"/>
          <w:b/>
          <w:color w:val="000000"/>
        </w:rPr>
        <w:t>技术意义</w:t>
      </w:r>
      <w:r>
        <w:rPr>
          <w:rFonts w:ascii="inter" w:hAnsi="inter" w:eastAsia="inter" w:cs="inter"/>
          <w:color w:val="000000"/>
        </w:rPr>
        <w:t>：这是本轮牛市的关键防守线。一旦破位，整个长期上升趋势将受到质疑，可能触发机构投资者的止损抛售。</w:t>
      </w:r>
    </w:p>
    <w:p w14:paraId="4683C691">
      <w:pPr>
        <w:spacing w:before="315" w:after="105" w:line="360" w:lineRule="auto"/>
        <w:ind w:left="-30"/>
        <w:jc w:val="left"/>
      </w:pPr>
      <w:bookmarkStart w:id="61" w:name="第四级支撑_1628美元_盎司_2022年低点"/>
      <w:r>
        <w:rPr>
          <w:rFonts w:ascii="inter" w:hAnsi="inter" w:eastAsia="inter" w:cs="inter"/>
          <w:b/>
          <w:color w:val="000000"/>
          <w:sz w:val="24"/>
        </w:rPr>
        <w:t>第四级支撑：1628美元/盎司（2022年低点）</w:t>
      </w:r>
      <w:bookmarkEnd w:id="61"/>
    </w:p>
    <w:p w14:paraId="1A9F2480">
      <w:pPr>
        <w:spacing w:after="210" w:line="360" w:lineRule="auto"/>
      </w:pPr>
      <w:r>
        <w:rPr>
          <w:rFonts w:ascii="inter" w:hAnsi="inter" w:eastAsia="inter" w:cs="inter"/>
          <w:b/>
          <w:color w:val="000000"/>
        </w:rPr>
        <w:t>判断依据</w:t>
      </w:r>
    </w:p>
    <w:p w14:paraId="75AA7466">
      <w:pPr>
        <w:numPr>
          <w:ilvl w:val="0"/>
          <w:numId w:val="12"/>
        </w:numPr>
        <w:spacing w:before="105" w:after="105" w:line="360" w:lineRule="auto"/>
      </w:pPr>
      <w:r>
        <w:rPr>
          <w:rFonts w:ascii="inter" w:hAnsi="inter" w:eastAsia="inter" w:cs="inter"/>
          <w:color w:val="000000"/>
          <w:sz w:val="21"/>
        </w:rPr>
        <w:t>这是近年来的极端低点（2022年9月）</w:t>
      </w:r>
    </w:p>
    <w:p w14:paraId="3A5FE91D">
      <w:pPr>
        <w:numPr>
          <w:ilvl w:val="0"/>
          <w:numId w:val="12"/>
        </w:numPr>
        <w:spacing w:before="105" w:after="105" w:line="360" w:lineRule="auto"/>
      </w:pPr>
      <w:r>
        <w:rPr>
          <w:rFonts w:ascii="inter" w:hAnsi="inter" w:eastAsia="inter" w:cs="inter"/>
          <w:color w:val="000000"/>
          <w:sz w:val="21"/>
        </w:rPr>
        <w:t>从当前4600美元向下，这是100%的斐波那契回撤位（回到2020年底起点）</w:t>
      </w:r>
    </w:p>
    <w:p w14:paraId="10AA9E7C">
      <w:pPr>
        <w:numPr>
          <w:ilvl w:val="0"/>
          <w:numId w:val="12"/>
        </w:numPr>
        <w:spacing w:before="105" w:after="105" w:line="360" w:lineRule="auto"/>
      </w:pPr>
      <w:r>
        <w:rPr>
          <w:rFonts w:ascii="inter" w:hAnsi="inter" w:eastAsia="inter" w:cs="inter"/>
          <w:color w:val="000000"/>
          <w:sz w:val="21"/>
        </w:rPr>
        <w:t>这是长期投资者的心理底线（购金下限）</w:t>
      </w:r>
    </w:p>
    <w:p w14:paraId="405C7C75">
      <w:pPr>
        <w:numPr>
          <w:ilvl w:val="0"/>
          <w:numId w:val="12"/>
        </w:numPr>
        <w:spacing w:before="105" w:after="105" w:line="360" w:lineRule="auto"/>
      </w:pPr>
      <w:r>
        <w:rPr>
          <w:rFonts w:ascii="inter" w:hAnsi="inter" w:eastAsia="inter" w:cs="inter"/>
          <w:color w:val="000000"/>
          <w:sz w:val="21"/>
        </w:rPr>
        <w:t>从技术面看，这是极端看空假设下的最终回调目标</w:t>
      </w:r>
    </w:p>
    <w:p w14:paraId="597C4054">
      <w:pPr>
        <w:spacing w:after="210" w:line="360" w:lineRule="auto"/>
      </w:pPr>
      <w:r>
        <w:rPr>
          <w:rFonts w:ascii="inter" w:hAnsi="inter" w:eastAsia="inter" w:cs="inter"/>
          <w:b/>
          <w:color w:val="000000"/>
        </w:rPr>
        <w:t>技术意义</w:t>
      </w:r>
      <w:r>
        <w:rPr>
          <w:rFonts w:ascii="inter" w:hAnsi="inter" w:eastAsia="inter" w:cs="inter"/>
          <w:color w:val="000000"/>
        </w:rPr>
        <w:t>：这是一个心理/历史参考位，而非近期操作位。其意义更多在于界定风险的最大幅度。</w:t>
      </w:r>
    </w:p>
    <w:p w14:paraId="0E6FBE3F">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744223B7">
      <w:pPr>
        <w:spacing w:before="315" w:after="105" w:line="360" w:lineRule="auto"/>
        <w:ind w:left="-30"/>
        <w:jc w:val="left"/>
      </w:pPr>
      <w:bookmarkStart w:id="62" w:name="关键压力位详解"/>
      <w:r>
        <w:rPr>
          <w:rFonts w:ascii="inter" w:hAnsi="inter" w:eastAsia="inter" w:cs="inter"/>
          <w:b/>
          <w:color w:val="000000"/>
          <w:sz w:val="24"/>
        </w:rPr>
        <w:t>关键压力位详解</w:t>
      </w:r>
      <w:bookmarkEnd w:id="62"/>
    </w:p>
    <w:p w14:paraId="4C263E68">
      <w:pPr>
        <w:spacing w:before="315" w:after="105" w:line="360" w:lineRule="auto"/>
        <w:ind w:left="-30"/>
        <w:jc w:val="left"/>
      </w:pPr>
      <w:bookmarkStart w:id="63" w:name="第一级压力_4600美元_盎司"/>
      <w:r>
        <w:rPr>
          <w:rFonts w:ascii="inter" w:hAnsi="inter" w:eastAsia="inter" w:cs="inter"/>
          <w:b/>
          <w:color w:val="000000"/>
          <w:sz w:val="24"/>
        </w:rPr>
        <w:t>第一级压力：4600美元/盎司</w:t>
      </w:r>
      <w:bookmarkEnd w:id="63"/>
    </w:p>
    <w:p w14:paraId="1AC30233">
      <w:pPr>
        <w:spacing w:after="210" w:line="360" w:lineRule="auto"/>
      </w:pPr>
      <w:r>
        <w:rPr>
          <w:rFonts w:ascii="inter" w:hAnsi="inter" w:eastAsia="inter" w:cs="inter"/>
          <w:b/>
          <w:color w:val="000000"/>
        </w:rPr>
        <w:t>判断依据</w:t>
      </w:r>
    </w:p>
    <w:p w14:paraId="45F29A37">
      <w:pPr>
        <w:numPr>
          <w:ilvl w:val="0"/>
          <w:numId w:val="13"/>
        </w:numPr>
        <w:spacing w:before="105" w:after="105" w:line="360" w:lineRule="auto"/>
      </w:pPr>
      <w:r>
        <w:rPr>
          <w:rFonts w:ascii="inter" w:hAnsi="inter" w:eastAsia="inter" w:cs="inter"/>
          <w:color w:val="000000"/>
          <w:sz w:val="21"/>
        </w:rPr>
        <w:t>这是当前金价正在冲击的历史高点附近</w:t>
      </w:r>
    </w:p>
    <w:p w14:paraId="0C889DD8">
      <w:pPr>
        <w:numPr>
          <w:ilvl w:val="0"/>
          <w:numId w:val="13"/>
        </w:numPr>
        <w:spacing w:before="105" w:after="105" w:line="360" w:lineRule="auto"/>
      </w:pPr>
      <w:r>
        <w:rPr>
          <w:rFonts w:ascii="inter" w:hAnsi="inter" w:eastAsia="inter" w:cs="inter"/>
          <w:color w:val="000000"/>
          <w:sz w:val="21"/>
        </w:rPr>
        <w:t>近期多个交易日都在这一区域进行了多次测试（2026年1月中旬）</w:t>
      </w:r>
    </w:p>
    <w:p w14:paraId="5DE2832D">
      <w:pPr>
        <w:numPr>
          <w:ilvl w:val="0"/>
          <w:numId w:val="13"/>
        </w:numPr>
        <w:spacing w:before="105" w:after="105" w:line="360" w:lineRule="auto"/>
      </w:pPr>
      <w:r>
        <w:rPr>
          <w:rFonts w:ascii="inter" w:hAnsi="inter" w:eastAsia="inter" w:cs="inter"/>
          <w:color w:val="000000"/>
          <w:sz w:val="21"/>
        </w:rPr>
        <w:t>心理整数关口4600处有大量委托单聚集（买入和卖出都有）</w:t>
      </w:r>
    </w:p>
    <w:p w14:paraId="51FBC27C">
      <w:pPr>
        <w:numPr>
          <w:ilvl w:val="0"/>
          <w:numId w:val="13"/>
        </w:numPr>
        <w:spacing w:before="105" w:after="105" w:line="360" w:lineRule="auto"/>
      </w:pPr>
      <w:r>
        <w:rPr>
          <w:rFonts w:ascii="inter" w:hAnsi="inter" w:eastAsia="inter" w:cs="inter"/>
          <w:color w:val="000000"/>
          <w:sz w:val="21"/>
        </w:rPr>
        <w:t>历史成交密集区上沿</w:t>
      </w:r>
    </w:p>
    <w:p w14:paraId="64A6BA1B">
      <w:pPr>
        <w:numPr>
          <w:ilvl w:val="0"/>
          <w:numId w:val="13"/>
        </w:numPr>
        <w:spacing w:before="105" w:after="105" w:line="360" w:lineRule="auto"/>
      </w:pPr>
      <w:r>
        <w:rPr>
          <w:rFonts w:ascii="inter" w:hAnsi="inter" w:eastAsia="inter" w:cs="inter"/>
          <w:color w:val="000000"/>
          <w:sz w:val="21"/>
        </w:rPr>
        <w:t>世界黄金协会(WGC)明确指出这是下一阻力位</w:t>
      </w:r>
      <w:bookmarkStart w:id="64" w:name="fnref26"/>
      <w:bookmarkEnd w:id="64"/>
      <w:r>
        <w:fldChar w:fldCharType="begin"/>
      </w:r>
      <w:r>
        <w:instrText xml:space="preserve"> HYPERLINK \l "fn26" \h </w:instrText>
      </w:r>
      <w:r>
        <w:fldChar w:fldCharType="separate"/>
      </w:r>
      <w:r>
        <w:rPr>
          <w:rFonts w:ascii="inter" w:hAnsi="inter" w:eastAsia="inter" w:cs="inter"/>
          <w:color w:val="000000"/>
          <w:sz w:val="21"/>
          <w:u w:val="single"/>
          <w:vertAlign w:val="superscript"/>
        </w:rPr>
        <w:t>[26]</w:t>
      </w:r>
      <w:r>
        <w:rPr>
          <w:rFonts w:ascii="inter" w:hAnsi="inter" w:eastAsia="inter" w:cs="inter"/>
          <w:color w:val="000000"/>
          <w:sz w:val="21"/>
          <w:u w:val="single"/>
          <w:vertAlign w:val="superscript"/>
        </w:rPr>
        <w:fldChar w:fldCharType="end"/>
      </w:r>
    </w:p>
    <w:p w14:paraId="449BA6E2">
      <w:pPr>
        <w:spacing w:after="210" w:line="360" w:lineRule="auto"/>
      </w:pPr>
      <w:r>
        <w:rPr>
          <w:rFonts w:ascii="inter" w:hAnsi="inter" w:eastAsia="inter" w:cs="inter"/>
          <w:b/>
          <w:color w:val="000000"/>
        </w:rPr>
        <w:t>技术意义</w:t>
      </w:r>
      <w:r>
        <w:rPr>
          <w:rFonts w:ascii="inter" w:hAnsi="inter" w:eastAsia="inter" w:cs="inter"/>
          <w:color w:val="000000"/>
        </w:rPr>
        <w:t>：这是当前最关键的短期压力位。突破与否将直接确定金价是否继续刷新历史高点，还是陷入高位震荡。</w:t>
      </w:r>
    </w:p>
    <w:p w14:paraId="46ECEB9C">
      <w:pPr>
        <w:spacing w:before="315" w:after="105" w:line="360" w:lineRule="auto"/>
        <w:ind w:left="-30"/>
        <w:jc w:val="left"/>
      </w:pPr>
      <w:bookmarkStart w:id="65" w:name="第二级压力_4770美元_盎司"/>
      <w:r>
        <w:rPr>
          <w:rFonts w:ascii="inter" w:hAnsi="inter" w:eastAsia="inter" w:cs="inter"/>
          <w:b/>
          <w:color w:val="000000"/>
          <w:sz w:val="24"/>
        </w:rPr>
        <w:t>第二级压力：4770美元/盎司</w:t>
      </w:r>
      <w:bookmarkEnd w:id="65"/>
    </w:p>
    <w:p w14:paraId="0571AA9D">
      <w:pPr>
        <w:spacing w:after="210" w:line="360" w:lineRule="auto"/>
      </w:pPr>
      <w:r>
        <w:rPr>
          <w:rFonts w:ascii="inter" w:hAnsi="inter" w:eastAsia="inter" w:cs="inter"/>
          <w:b/>
          <w:color w:val="000000"/>
        </w:rPr>
        <w:t>判断依据</w:t>
      </w:r>
    </w:p>
    <w:p w14:paraId="0B7D411E">
      <w:pPr>
        <w:numPr>
          <w:ilvl w:val="0"/>
          <w:numId w:val="14"/>
        </w:numPr>
        <w:spacing w:before="105" w:after="105" w:line="360" w:lineRule="auto"/>
      </w:pPr>
      <w:r>
        <w:rPr>
          <w:rFonts w:ascii="inter" w:hAnsi="inter" w:eastAsia="inter" w:cs="inter"/>
          <w:color w:val="000000"/>
          <w:sz w:val="21"/>
        </w:rPr>
        <w:t>200日均线+25%的"典型超买区间"上限</w:t>
      </w:r>
      <w:bookmarkStart w:id="66" w:name="fnref26_1"/>
      <w:bookmarkEnd w:id="66"/>
      <w:r>
        <w:fldChar w:fldCharType="begin"/>
      </w:r>
      <w:r>
        <w:instrText xml:space="preserve"> HYPERLINK \l "fn26" \h </w:instrText>
      </w:r>
      <w:r>
        <w:fldChar w:fldCharType="separate"/>
      </w:r>
      <w:r>
        <w:rPr>
          <w:rFonts w:ascii="inter" w:hAnsi="inter" w:eastAsia="inter" w:cs="inter"/>
          <w:color w:val="000000"/>
          <w:sz w:val="21"/>
          <w:u w:val="single"/>
          <w:vertAlign w:val="superscript"/>
        </w:rPr>
        <w:t>[26]</w:t>
      </w:r>
      <w:r>
        <w:rPr>
          <w:rFonts w:ascii="inter" w:hAnsi="inter" w:eastAsia="inter" w:cs="inter"/>
          <w:color w:val="000000"/>
          <w:sz w:val="21"/>
          <w:u w:val="single"/>
          <w:vertAlign w:val="superscript"/>
        </w:rPr>
        <w:fldChar w:fldCharType="end"/>
      </w:r>
    </w:p>
    <w:p w14:paraId="42854A67">
      <w:pPr>
        <w:numPr>
          <w:ilvl w:val="0"/>
          <w:numId w:val="14"/>
        </w:numPr>
        <w:spacing w:before="105" w:after="105" w:line="360" w:lineRule="auto"/>
      </w:pPr>
      <w:r>
        <w:rPr>
          <w:rFonts w:ascii="inter" w:hAnsi="inter" w:eastAsia="inter" w:cs="inter"/>
          <w:color w:val="000000"/>
          <w:sz w:val="21"/>
        </w:rPr>
        <w:t>WGC定义的显著超买区间起点（低于此水平时尚未进入超买，高于此水平时才属显著超买）</w:t>
      </w:r>
      <w:bookmarkStart w:id="67" w:name="fnref26_2"/>
      <w:bookmarkEnd w:id="67"/>
      <w:r>
        <w:fldChar w:fldCharType="begin"/>
      </w:r>
      <w:r>
        <w:instrText xml:space="preserve"> HYPERLINK \l "fn26" \h </w:instrText>
      </w:r>
      <w:r>
        <w:fldChar w:fldCharType="separate"/>
      </w:r>
      <w:r>
        <w:rPr>
          <w:rFonts w:ascii="inter" w:hAnsi="inter" w:eastAsia="inter" w:cs="inter"/>
          <w:color w:val="000000"/>
          <w:sz w:val="21"/>
          <w:u w:val="single"/>
          <w:vertAlign w:val="superscript"/>
        </w:rPr>
        <w:t>[26]</w:t>
      </w:r>
      <w:r>
        <w:rPr>
          <w:rFonts w:ascii="inter" w:hAnsi="inter" w:eastAsia="inter" w:cs="inter"/>
          <w:color w:val="000000"/>
          <w:sz w:val="21"/>
          <w:u w:val="single"/>
          <w:vertAlign w:val="superscript"/>
        </w:rPr>
        <w:fldChar w:fldCharType="end"/>
      </w:r>
    </w:p>
    <w:p w14:paraId="481479A2">
      <w:pPr>
        <w:numPr>
          <w:ilvl w:val="0"/>
          <w:numId w:val="14"/>
        </w:numPr>
        <w:spacing w:before="105" w:after="105" w:line="360" w:lineRule="auto"/>
      </w:pPr>
      <w:r>
        <w:rPr>
          <w:rFonts w:ascii="inter" w:hAnsi="inter" w:eastAsia="inter" w:cs="inter"/>
          <w:color w:val="000000"/>
          <w:sz w:val="21"/>
        </w:rPr>
        <w:t>从长期移动平均线看，这个位置对应200周均线附近的技术压力</w:t>
      </w:r>
    </w:p>
    <w:p w14:paraId="69DF6E8F">
      <w:pPr>
        <w:numPr>
          <w:ilvl w:val="0"/>
          <w:numId w:val="14"/>
        </w:numPr>
        <w:spacing w:before="105" w:after="105" w:line="360" w:lineRule="auto"/>
      </w:pPr>
      <w:r>
        <w:rPr>
          <w:rFonts w:ascii="inter" w:hAnsi="inter" w:eastAsia="inter" w:cs="inter"/>
          <w:color w:val="000000"/>
          <w:sz w:val="21"/>
        </w:rPr>
        <w:t>从2020年8月高点(2072)至2022年9月低点(1628)，4770美元是这个区间的161.8%斐波那契扩展位</w:t>
      </w:r>
      <w:bookmarkStart w:id="68" w:name="fnref27"/>
      <w:bookmarkEnd w:id="68"/>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p>
    <w:p w14:paraId="6C9AAC65">
      <w:pPr>
        <w:spacing w:after="210" w:line="360" w:lineRule="auto"/>
      </w:pPr>
      <w:r>
        <w:rPr>
          <w:rFonts w:ascii="inter" w:hAnsi="inter" w:eastAsia="inter" w:cs="inter"/>
          <w:b/>
          <w:color w:val="000000"/>
        </w:rPr>
        <w:t>技术意义</w:t>
      </w:r>
      <w:r>
        <w:rPr>
          <w:rFonts w:ascii="inter" w:hAnsi="inter" w:eastAsia="inter" w:cs="inter"/>
          <w:color w:val="000000"/>
        </w:rPr>
        <w:t>：一旦突破4600美元，4770美元将成为中期压力位。如果能突破此位，则表明技术形态已形成新的上升通道，向5000美元及以上的目标发动进攻。</w:t>
      </w:r>
    </w:p>
    <w:p w14:paraId="3D23E837">
      <w:pPr>
        <w:spacing w:before="315" w:after="105" w:line="360" w:lineRule="auto"/>
        <w:ind w:left="-30"/>
        <w:jc w:val="left"/>
      </w:pPr>
      <w:bookmarkStart w:id="69" w:name="第三级压力_4900美元_盎司"/>
      <w:r>
        <w:rPr>
          <w:rFonts w:ascii="inter" w:hAnsi="inter" w:eastAsia="inter" w:cs="inter"/>
          <w:b/>
          <w:color w:val="000000"/>
          <w:sz w:val="24"/>
        </w:rPr>
        <w:t>第三级压力：4900美元/盎司</w:t>
      </w:r>
      <w:bookmarkEnd w:id="69"/>
    </w:p>
    <w:p w14:paraId="3D3E4520">
      <w:pPr>
        <w:spacing w:after="210" w:line="360" w:lineRule="auto"/>
      </w:pPr>
      <w:r>
        <w:rPr>
          <w:rFonts w:ascii="inter" w:hAnsi="inter" w:eastAsia="inter" w:cs="inter"/>
          <w:b/>
          <w:color w:val="000000"/>
        </w:rPr>
        <w:t>判断依据</w:t>
      </w:r>
    </w:p>
    <w:p w14:paraId="091E954A">
      <w:pPr>
        <w:numPr>
          <w:ilvl w:val="0"/>
          <w:numId w:val="15"/>
        </w:numPr>
        <w:spacing w:before="105" w:after="105" w:line="360" w:lineRule="auto"/>
      </w:pPr>
      <w:r>
        <w:rPr>
          <w:rFonts w:ascii="inter" w:hAnsi="inter" w:eastAsia="inter" w:cs="inter"/>
          <w:color w:val="000000"/>
          <w:sz w:val="21"/>
        </w:rPr>
        <w:t>瑞银和多家投行提出的中期上行目标</w:t>
      </w:r>
      <w:bookmarkStart w:id="70" w:name="fnref23_1"/>
      <w:bookmarkEnd w:id="70"/>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bookmarkStart w:id="71" w:name="fnref28"/>
      <w:bookmarkEnd w:id="71"/>
      <w:r>
        <w:fldChar w:fldCharType="begin"/>
      </w:r>
      <w:r>
        <w:instrText xml:space="preserve"> HYPERLINK \l "fn28" \h </w:instrText>
      </w:r>
      <w:r>
        <w:fldChar w:fldCharType="separate"/>
      </w:r>
      <w:r>
        <w:rPr>
          <w:rFonts w:ascii="inter" w:hAnsi="inter" w:eastAsia="inter" w:cs="inter"/>
          <w:color w:val="000000"/>
          <w:sz w:val="21"/>
          <w:u w:val="single"/>
          <w:vertAlign w:val="superscript"/>
        </w:rPr>
        <w:t>[28]</w:t>
      </w:r>
      <w:r>
        <w:rPr>
          <w:rFonts w:ascii="inter" w:hAnsi="inter" w:eastAsia="inter" w:cs="inter"/>
          <w:color w:val="000000"/>
          <w:sz w:val="21"/>
          <w:u w:val="single"/>
          <w:vertAlign w:val="superscript"/>
        </w:rPr>
        <w:fldChar w:fldCharType="end"/>
      </w:r>
    </w:p>
    <w:p w14:paraId="4EB44AB2">
      <w:pPr>
        <w:numPr>
          <w:ilvl w:val="0"/>
          <w:numId w:val="15"/>
        </w:numPr>
        <w:spacing w:before="105" w:after="105" w:line="360" w:lineRule="auto"/>
      </w:pPr>
      <w:r>
        <w:rPr>
          <w:rFonts w:ascii="inter" w:hAnsi="inter" w:eastAsia="inter" w:cs="inter"/>
          <w:color w:val="000000"/>
          <w:sz w:val="21"/>
        </w:rPr>
        <w:t>心理整数关口，通常对应机构决策的重要价位</w:t>
      </w:r>
    </w:p>
    <w:p w14:paraId="7E211021">
      <w:pPr>
        <w:numPr>
          <w:ilvl w:val="0"/>
          <w:numId w:val="15"/>
        </w:numPr>
        <w:spacing w:before="105" w:after="105" w:line="360" w:lineRule="auto"/>
      </w:pPr>
      <w:r>
        <w:rPr>
          <w:rFonts w:ascii="inter" w:hAnsi="inter" w:eastAsia="inter" w:cs="inter"/>
          <w:color w:val="000000"/>
          <w:sz w:val="21"/>
        </w:rPr>
        <w:t>历史成交密集区与当前趋势线的交汇点</w:t>
      </w:r>
    </w:p>
    <w:p w14:paraId="1F76F456">
      <w:pPr>
        <w:numPr>
          <w:ilvl w:val="0"/>
          <w:numId w:val="15"/>
        </w:numPr>
        <w:spacing w:before="105" w:after="105" w:line="360" w:lineRule="auto"/>
      </w:pPr>
      <w:r>
        <w:rPr>
          <w:rFonts w:ascii="inter" w:hAnsi="inter" w:eastAsia="inter" w:cs="inter"/>
          <w:color w:val="000000"/>
          <w:sz w:val="21"/>
        </w:rPr>
        <w:t>从技术面看，这是50%斐波那契扩展位（从2022年低点1628到4600的100%扩展）</w:t>
      </w:r>
    </w:p>
    <w:p w14:paraId="660A8639">
      <w:pPr>
        <w:spacing w:after="210" w:line="360" w:lineRule="auto"/>
      </w:pPr>
      <w:r>
        <w:rPr>
          <w:rFonts w:ascii="inter" w:hAnsi="inter" w:eastAsia="inter" w:cs="inter"/>
          <w:b/>
          <w:color w:val="000000"/>
        </w:rPr>
        <w:t>技术意义</w:t>
      </w:r>
      <w:r>
        <w:rPr>
          <w:rFonts w:ascii="inter" w:hAnsi="inter" w:eastAsia="inter" w:cs="inter"/>
          <w:color w:val="000000"/>
        </w:rPr>
        <w:t>：这是2026年的关键目标位。如果牛市继续演绎，4900美元是第二个重要的利润获利点。</w:t>
      </w:r>
    </w:p>
    <w:p w14:paraId="7BA79F33">
      <w:pPr>
        <w:spacing w:before="315" w:after="105" w:line="360" w:lineRule="auto"/>
        <w:ind w:left="-30"/>
        <w:jc w:val="left"/>
      </w:pPr>
      <w:bookmarkStart w:id="72" w:name="第四级压力_5000_5500美元_盎司"/>
      <w:r>
        <w:rPr>
          <w:rFonts w:ascii="inter" w:hAnsi="inter" w:eastAsia="inter" w:cs="inter"/>
          <w:b/>
          <w:color w:val="000000"/>
          <w:sz w:val="24"/>
        </w:rPr>
        <w:t>第四级压力：5000-5500美元/盎司</w:t>
      </w:r>
      <w:bookmarkEnd w:id="72"/>
    </w:p>
    <w:p w14:paraId="5C557430">
      <w:pPr>
        <w:spacing w:after="210" w:line="360" w:lineRule="auto"/>
      </w:pPr>
      <w:r>
        <w:rPr>
          <w:rFonts w:ascii="inter" w:hAnsi="inter" w:eastAsia="inter" w:cs="inter"/>
          <w:b/>
          <w:color w:val="000000"/>
        </w:rPr>
        <w:t>判断依据</w:t>
      </w:r>
    </w:p>
    <w:p w14:paraId="3E014355">
      <w:pPr>
        <w:numPr>
          <w:ilvl w:val="0"/>
          <w:numId w:val="16"/>
        </w:numPr>
        <w:spacing w:before="105" w:after="105" w:line="360" w:lineRule="auto"/>
      </w:pPr>
      <w:r>
        <w:rPr>
          <w:rFonts w:ascii="inter" w:hAnsi="inter" w:eastAsia="inter" w:cs="inter"/>
          <w:color w:val="000000"/>
          <w:sz w:val="21"/>
        </w:rPr>
        <w:t>美国银行等投行对2026年的极端上行目标</w:t>
      </w:r>
      <w:bookmarkStart w:id="73" w:name="fnref28_1"/>
      <w:bookmarkEnd w:id="73"/>
      <w:r>
        <w:fldChar w:fldCharType="begin"/>
      </w:r>
      <w:r>
        <w:instrText xml:space="preserve"> HYPERLINK \l "fn28" \h </w:instrText>
      </w:r>
      <w:r>
        <w:fldChar w:fldCharType="separate"/>
      </w:r>
      <w:r>
        <w:rPr>
          <w:rFonts w:ascii="inter" w:hAnsi="inter" w:eastAsia="inter" w:cs="inter"/>
          <w:color w:val="000000"/>
          <w:sz w:val="21"/>
          <w:u w:val="single"/>
          <w:vertAlign w:val="superscript"/>
        </w:rPr>
        <w:t>[28]</w:t>
      </w:r>
      <w:r>
        <w:rPr>
          <w:rFonts w:ascii="inter" w:hAnsi="inter" w:eastAsia="inter" w:cs="inter"/>
          <w:color w:val="000000"/>
          <w:sz w:val="21"/>
          <w:u w:val="single"/>
          <w:vertAlign w:val="superscript"/>
        </w:rPr>
        <w:fldChar w:fldCharType="end"/>
      </w:r>
      <w:bookmarkStart w:id="74" w:name="fnref23_2"/>
      <w:bookmarkEnd w:id="74"/>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p>
    <w:p w14:paraId="0E667F7F">
      <w:pPr>
        <w:numPr>
          <w:ilvl w:val="0"/>
          <w:numId w:val="16"/>
        </w:numPr>
        <w:spacing w:before="105" w:after="105" w:line="360" w:lineRule="auto"/>
      </w:pPr>
      <w:r>
        <w:rPr>
          <w:rFonts w:ascii="inter" w:hAnsi="inter" w:eastAsia="inter" w:cs="inter"/>
          <w:color w:val="000000"/>
          <w:sz w:val="21"/>
        </w:rPr>
        <w:t>这对应从长期趋势看的强劲扩展位</w:t>
      </w:r>
    </w:p>
    <w:p w14:paraId="051677DB">
      <w:pPr>
        <w:numPr>
          <w:ilvl w:val="0"/>
          <w:numId w:val="16"/>
        </w:numPr>
        <w:spacing w:before="105" w:after="105" w:line="360" w:lineRule="auto"/>
      </w:pPr>
      <w:r>
        <w:rPr>
          <w:rFonts w:ascii="inter" w:hAnsi="inter" w:eastAsia="inter" w:cs="inter"/>
          <w:color w:val="000000"/>
          <w:sz w:val="21"/>
        </w:rPr>
        <w:t>高盛预测若中国黄金占比升至20%-30%，金价可能突破5000美元</w:t>
      </w:r>
      <w:bookmarkStart w:id="75" w:name="fnref20_3"/>
      <w:bookmarkEnd w:id="75"/>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4F6D4858">
      <w:pPr>
        <w:numPr>
          <w:ilvl w:val="0"/>
          <w:numId w:val="16"/>
        </w:numPr>
        <w:spacing w:before="105" w:after="105" w:line="360" w:lineRule="auto"/>
      </w:pPr>
      <w:r>
        <w:rPr>
          <w:rFonts w:ascii="inter" w:hAnsi="inter" w:eastAsia="inter" w:cs="inter"/>
          <w:color w:val="000000"/>
          <w:sz w:val="21"/>
        </w:rPr>
        <w:t>从历史超级周期看（1980年843美元历史高点→2011年1920美元→2020年2072美元→现在），金价每个超级周期都创造新高，突破5000美元是长期逻辑延伸</w:t>
      </w:r>
    </w:p>
    <w:p w14:paraId="5CA5024A">
      <w:pPr>
        <w:spacing w:after="210" w:line="360" w:lineRule="auto"/>
      </w:pPr>
      <w:r>
        <w:rPr>
          <w:rFonts w:ascii="inter" w:hAnsi="inter" w:eastAsia="inter" w:cs="inter"/>
          <w:b/>
          <w:color w:val="000000"/>
        </w:rPr>
        <w:t>技术意义</w:t>
      </w:r>
      <w:r>
        <w:rPr>
          <w:rFonts w:ascii="inter" w:hAnsi="inter" w:eastAsia="inter" w:cs="inter"/>
          <w:color w:val="000000"/>
        </w:rPr>
        <w:t>：这是机构级别的极端目标。达成这一目标需要多重因素同时满足：美联储大幅降息、地缘冲突升级、央行增持加速、美元信心危机等。</w:t>
      </w:r>
    </w:p>
    <w:p w14:paraId="077ADEC9">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5283A552">
      <w:pPr>
        <w:spacing w:before="315" w:after="105" w:line="360" w:lineRule="auto"/>
        <w:ind w:left="-30"/>
        <w:jc w:val="left"/>
      </w:pPr>
      <w:bookmarkStart w:id="76" w:name="第四部分_分析框架整合与综合评价"/>
      <w:r>
        <w:rPr>
          <w:rFonts w:ascii="inter" w:hAnsi="inter" w:eastAsia="inter" w:cs="inter"/>
          <w:b/>
          <w:color w:val="000000"/>
          <w:sz w:val="24"/>
        </w:rPr>
        <w:t>第四部分：分析框架整合与综合评价</w:t>
      </w:r>
      <w:bookmarkEnd w:id="76"/>
    </w:p>
    <w:p w14:paraId="4851C4B7">
      <w:pPr>
        <w:spacing w:before="315" w:after="105" w:line="360" w:lineRule="auto"/>
        <w:ind w:left="-30"/>
        <w:jc w:val="left"/>
      </w:pPr>
      <w:bookmarkStart w:id="77" w:name="基本面_技术面_情绪面的协同性分析"/>
      <w:r>
        <w:rPr>
          <w:rFonts w:ascii="inter" w:hAnsi="inter" w:eastAsia="inter" w:cs="inter"/>
          <w:b/>
          <w:color w:val="000000"/>
          <w:sz w:val="24"/>
        </w:rPr>
        <w:t>基本面、技术面、情绪面的协同性分析</w:t>
      </w:r>
      <w:bookmarkEnd w:id="77"/>
    </w:p>
    <w:p w14:paraId="58689D49">
      <w:pPr>
        <w:spacing w:after="210" w:line="360" w:lineRule="auto"/>
      </w:pPr>
      <w:r>
        <w:rPr>
          <w:rFonts w:ascii="inter" w:hAnsi="inter" w:eastAsia="inter" w:cs="inter"/>
          <w:b/>
          <w:color w:val="000000"/>
        </w:rPr>
        <w:t>基本面评估（权重35%）</w:t>
      </w:r>
    </w:p>
    <w:p w14:paraId="3153DA73">
      <w:pPr>
        <w:spacing w:after="210" w:line="360" w:lineRule="auto"/>
      </w:pPr>
      <w:r>
        <w:rPr>
          <w:rFonts w:ascii="inter" w:hAnsi="inter" w:eastAsia="inter" w:cs="inter"/>
          <w:color w:val="000000"/>
        </w:rPr>
        <w:t>当前黄金市场的基本面相对友好但存在逆风：</w:t>
      </w:r>
    </w:p>
    <w:p w14:paraId="57618E5D">
      <w:pPr>
        <w:spacing w:after="210" w:line="360" w:lineRule="auto"/>
      </w:pPr>
      <w:r>
        <w:rPr>
          <w:rFonts w:ascii="inter" w:hAnsi="inter" w:eastAsia="inter" w:cs="inter"/>
          <w:color w:val="000000"/>
        </w:rPr>
        <w:t>正面因素：</w:t>
      </w:r>
    </w:p>
    <w:p w14:paraId="6393DE5C">
      <w:pPr>
        <w:numPr>
          <w:ilvl w:val="0"/>
          <w:numId w:val="17"/>
        </w:numPr>
        <w:spacing w:before="105" w:after="105" w:line="360" w:lineRule="auto"/>
      </w:pPr>
      <w:r>
        <w:rPr>
          <w:rFonts w:ascii="inter" w:hAnsi="inter" w:eastAsia="inter" w:cs="inter"/>
          <w:color w:val="000000"/>
          <w:sz w:val="21"/>
        </w:rPr>
        <w:t>美联储降息周期已启动，2026年预期降息2-3次，降低持金成本</w:t>
      </w:r>
    </w:p>
    <w:p w14:paraId="302843DE">
      <w:pPr>
        <w:numPr>
          <w:ilvl w:val="0"/>
          <w:numId w:val="17"/>
        </w:numPr>
        <w:spacing w:before="105" w:after="105" w:line="360" w:lineRule="auto"/>
      </w:pPr>
      <w:r>
        <w:rPr>
          <w:rFonts w:ascii="inter" w:hAnsi="inter" w:eastAsia="inter" w:cs="inter"/>
          <w:color w:val="000000"/>
          <w:sz w:val="21"/>
        </w:rPr>
        <w:t>全球央行增持势头强劲，2025年净购金902吨，创历史新纪录</w:t>
      </w:r>
      <w:bookmarkStart w:id="78" w:name="fnref20_4"/>
      <w:bookmarkEnd w:id="78"/>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1B123717">
      <w:pPr>
        <w:numPr>
          <w:ilvl w:val="0"/>
          <w:numId w:val="17"/>
        </w:numPr>
        <w:spacing w:before="105" w:after="105" w:line="360" w:lineRule="auto"/>
      </w:pPr>
      <w:r>
        <w:rPr>
          <w:rFonts w:ascii="inter" w:hAnsi="inter" w:eastAsia="inter" w:cs="inter"/>
          <w:color w:val="000000"/>
          <w:sz w:val="21"/>
        </w:rPr>
        <w:t>实际利率处于低位或负值区域，黄金配置价值凸显</w:t>
      </w:r>
    </w:p>
    <w:p w14:paraId="362DE4D0">
      <w:pPr>
        <w:numPr>
          <w:ilvl w:val="0"/>
          <w:numId w:val="17"/>
        </w:numPr>
        <w:spacing w:before="105" w:after="105" w:line="360" w:lineRule="auto"/>
      </w:pPr>
      <w:r>
        <w:rPr>
          <w:rFonts w:ascii="inter" w:hAnsi="inter" w:eastAsia="inter" w:cs="inter"/>
          <w:color w:val="000000"/>
          <w:sz w:val="21"/>
        </w:rPr>
        <w:t>地缘政治不确定性高企，避险需求长期存在</w:t>
      </w:r>
    </w:p>
    <w:p w14:paraId="4665D73F">
      <w:pPr>
        <w:spacing w:after="210" w:line="360" w:lineRule="auto"/>
      </w:pPr>
      <w:r>
        <w:rPr>
          <w:rFonts w:ascii="inter" w:hAnsi="inter" w:eastAsia="inter" w:cs="inter"/>
          <w:color w:val="000000"/>
        </w:rPr>
        <w:t>风险因素：</w:t>
      </w:r>
    </w:p>
    <w:p w14:paraId="44939969">
      <w:pPr>
        <w:numPr>
          <w:ilvl w:val="0"/>
          <w:numId w:val="18"/>
        </w:numPr>
        <w:spacing w:before="105" w:after="105" w:line="360" w:lineRule="auto"/>
      </w:pPr>
      <w:r>
        <w:rPr>
          <w:rFonts w:ascii="inter" w:hAnsi="inter" w:eastAsia="inter" w:cs="inter"/>
          <w:color w:val="000000"/>
          <w:sz w:val="21"/>
        </w:rPr>
        <w:t>美国经济韧性超预期，Q3 GDP增速达4.3%，可能延缓降息步伐</w:t>
      </w:r>
    </w:p>
    <w:p w14:paraId="61C8AE57">
      <w:pPr>
        <w:numPr>
          <w:ilvl w:val="0"/>
          <w:numId w:val="18"/>
        </w:numPr>
        <w:spacing w:before="105" w:after="105" w:line="360" w:lineRule="auto"/>
      </w:pPr>
      <w:r>
        <w:rPr>
          <w:rFonts w:ascii="inter" w:hAnsi="inter" w:eastAsia="inter" w:cs="inter"/>
          <w:color w:val="000000"/>
          <w:sz w:val="21"/>
        </w:rPr>
        <w:t>通胀压力未完全消退，核心CPI虽有回落但仍在2%以上</w:t>
      </w:r>
    </w:p>
    <w:p w14:paraId="5856F22B">
      <w:pPr>
        <w:numPr>
          <w:ilvl w:val="0"/>
          <w:numId w:val="18"/>
        </w:numPr>
        <w:spacing w:before="105" w:after="105" w:line="360" w:lineRule="auto"/>
      </w:pPr>
      <w:r>
        <w:rPr>
          <w:rFonts w:ascii="inter" w:hAnsi="inter" w:eastAsia="inter" w:cs="inter"/>
          <w:color w:val="000000"/>
          <w:sz w:val="21"/>
        </w:rPr>
        <w:t>美联储政策立场存在反复风险，一旦经济数据向好可能转鹰</w:t>
      </w:r>
    </w:p>
    <w:p w14:paraId="5700793E">
      <w:pPr>
        <w:spacing w:after="210" w:line="360" w:lineRule="auto"/>
      </w:pPr>
      <w:r>
        <w:rPr>
          <w:rFonts w:ascii="inter" w:hAnsi="inter" w:eastAsia="inter" w:cs="inter"/>
          <w:b/>
          <w:color w:val="000000"/>
        </w:rPr>
        <w:t>评价</w:t>
      </w:r>
      <w:r>
        <w:rPr>
          <w:rFonts w:ascii="inter" w:hAnsi="inter" w:eastAsia="inter" w:cs="inter"/>
          <w:color w:val="000000"/>
        </w:rPr>
        <w:t>：基本面处于"积极但不极端"状态，足以支撑金价维持高位，但难以支撑快速上冲。</w:t>
      </w:r>
    </w:p>
    <w:p w14:paraId="7F41ED74">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69731B41">
      <w:pPr>
        <w:spacing w:after="210" w:line="360" w:lineRule="auto"/>
      </w:pPr>
      <w:r>
        <w:rPr>
          <w:rFonts w:ascii="inter" w:hAnsi="inter" w:eastAsia="inter" w:cs="inter"/>
          <w:b/>
          <w:color w:val="000000"/>
        </w:rPr>
        <w:t>技术面评估（权重35%）</w:t>
      </w:r>
    </w:p>
    <w:p w14:paraId="212C8C63">
      <w:pPr>
        <w:spacing w:after="210" w:line="360" w:lineRule="auto"/>
      </w:pPr>
      <w:r>
        <w:rPr>
          <w:rFonts w:ascii="inter" w:hAnsi="inter" w:eastAsia="inter" w:cs="inter"/>
          <w:color w:val="000000"/>
        </w:rPr>
        <w:t>当前黄金技术形态呈现"强势但疲态初显"的特征：</w:t>
      </w:r>
    </w:p>
    <w:p w14:paraId="289B7A52">
      <w:pPr>
        <w:spacing w:after="210" w:line="360" w:lineRule="auto"/>
      </w:pPr>
      <w:r>
        <w:rPr>
          <w:rFonts w:ascii="inter" w:hAnsi="inter" w:eastAsia="inter" w:cs="inter"/>
          <w:color w:val="000000"/>
        </w:rPr>
        <w:t>正面信号：</w:t>
      </w:r>
    </w:p>
    <w:p w14:paraId="3C7B4787">
      <w:pPr>
        <w:numPr>
          <w:ilvl w:val="0"/>
          <w:numId w:val="19"/>
        </w:numPr>
        <w:spacing w:before="105" w:after="105" w:line="360" w:lineRule="auto"/>
      </w:pPr>
      <w:r>
        <w:rPr>
          <w:rFonts w:ascii="inter" w:hAnsi="inter" w:eastAsia="inter" w:cs="inter"/>
          <w:color w:val="000000"/>
          <w:sz w:val="21"/>
        </w:rPr>
        <w:t>日线、周线均维持明确的上升趋势，5日、10日、20日均线呈完美多头排列</w:t>
      </w:r>
    </w:p>
    <w:p w14:paraId="7321F735">
      <w:pPr>
        <w:numPr>
          <w:ilvl w:val="0"/>
          <w:numId w:val="19"/>
        </w:numPr>
        <w:spacing w:before="105" w:after="105" w:line="360" w:lineRule="auto"/>
      </w:pPr>
      <w:r>
        <w:rPr>
          <w:rFonts w:ascii="inter" w:hAnsi="inter" w:eastAsia="inter" w:cs="inter"/>
          <w:color w:val="000000"/>
          <w:sz w:val="21"/>
        </w:rPr>
        <w:t>金价持续突破历史高点，刷新纪录，显示上升动能持续</w:t>
      </w:r>
    </w:p>
    <w:p w14:paraId="5F380383">
      <w:pPr>
        <w:numPr>
          <w:ilvl w:val="0"/>
          <w:numId w:val="19"/>
        </w:numPr>
        <w:spacing w:before="105" w:after="105" w:line="360" w:lineRule="auto"/>
      </w:pPr>
      <w:r>
        <w:rPr>
          <w:rFonts w:ascii="inter" w:hAnsi="inter" w:eastAsia="inter" w:cs="inter"/>
          <w:color w:val="000000"/>
          <w:sz w:val="21"/>
        </w:rPr>
        <w:t>成交量温和放大，表明上涨具有量能支撑</w:t>
      </w:r>
    </w:p>
    <w:p w14:paraId="5B59A257">
      <w:pPr>
        <w:spacing w:after="210" w:line="360" w:lineRule="auto"/>
      </w:pPr>
      <w:r>
        <w:rPr>
          <w:rFonts w:ascii="inter" w:hAnsi="inter" w:eastAsia="inter" w:cs="inter"/>
          <w:color w:val="000000"/>
        </w:rPr>
        <w:t>负面信号：</w:t>
      </w:r>
    </w:p>
    <w:p w14:paraId="43F5EC53">
      <w:pPr>
        <w:numPr>
          <w:ilvl w:val="0"/>
          <w:numId w:val="20"/>
        </w:numPr>
        <w:spacing w:before="105" w:after="105" w:line="360" w:lineRule="auto"/>
      </w:pPr>
      <w:r>
        <w:rPr>
          <w:rFonts w:ascii="inter" w:hAnsi="inter" w:eastAsia="inter" w:cs="inter"/>
          <w:color w:val="000000"/>
          <w:sz w:val="21"/>
        </w:rPr>
        <w:t>RSI指标接近70水平（2026年1月中旬），虽未达到极端超买但已接近高位</w:t>
      </w:r>
    </w:p>
    <w:p w14:paraId="0C97CEC9">
      <w:pPr>
        <w:numPr>
          <w:ilvl w:val="0"/>
          <w:numId w:val="20"/>
        </w:numPr>
        <w:spacing w:before="105" w:after="105" w:line="360" w:lineRule="auto"/>
      </w:pPr>
      <w:r>
        <w:rPr>
          <w:rFonts w:ascii="inter" w:hAnsi="inter" w:eastAsia="inter" w:cs="inter"/>
          <w:color w:val="000000"/>
          <w:sz w:val="21"/>
        </w:rPr>
        <w:t>金银比已修复，白银涨幅（100%+）已显著超过黄金（60%+），意味着市场风险偏好开始回升，避险主导的买盘可能见顶</w:t>
      </w:r>
    </w:p>
    <w:p w14:paraId="14E7F348">
      <w:pPr>
        <w:numPr>
          <w:ilvl w:val="0"/>
          <w:numId w:val="20"/>
        </w:numPr>
        <w:spacing w:before="105" w:after="105" w:line="360" w:lineRule="auto"/>
      </w:pPr>
      <w:r>
        <w:rPr>
          <w:rFonts w:ascii="inter" w:hAnsi="inter" w:eastAsia="inter" w:cs="inter"/>
          <w:color w:val="000000"/>
          <w:sz w:val="21"/>
        </w:rPr>
        <w:t>一周期内多次冲击4600美元而未能有效突破，显示压力位抵抗力度增强</w:t>
      </w:r>
    </w:p>
    <w:p w14:paraId="2F569F64">
      <w:pPr>
        <w:spacing w:after="210" w:line="360" w:lineRule="auto"/>
      </w:pPr>
      <w:r>
        <w:rPr>
          <w:rFonts w:ascii="inter" w:hAnsi="inter" w:eastAsia="inter" w:cs="inter"/>
          <w:b/>
          <w:color w:val="000000"/>
        </w:rPr>
        <w:t>评价</w:t>
      </w:r>
      <w:r>
        <w:rPr>
          <w:rFonts w:ascii="inter" w:hAnsi="inter" w:eastAsia="inter" w:cs="inter"/>
          <w:color w:val="000000"/>
        </w:rPr>
        <w:t>：技术面尚未进入极端超买，但高位宽幅震荡特征已初现，短期回调风险逐步积累。</w:t>
      </w:r>
    </w:p>
    <w:p w14:paraId="4385AE8F">
      <w:pPr>
        <w:spacing w:before="210" w:after="0" w:line="360" w:lineRule="auto"/>
      </w:pPr>
      <w:r>
        <w:pict>
          <v:rect id="_x0000_s1035" o:spid="_x0000_s1035" o:spt="1" style="height:0.05pt;width:475.5pt;" coordsize="21600,21600">
            <v:path/>
            <v:fill focussize="0,0"/>
            <v:stroke weight="1pt" color="#000000" opacity="0f"/>
            <v:imagedata o:title=""/>
            <o:lock v:ext="edit"/>
            <w10:wrap type="none"/>
            <w10:anchorlock/>
          </v:rect>
        </w:pict>
      </w:r>
    </w:p>
    <w:p w14:paraId="55651C76">
      <w:pPr>
        <w:spacing w:after="210" w:line="360" w:lineRule="auto"/>
      </w:pPr>
      <w:r>
        <w:rPr>
          <w:rFonts w:ascii="inter" w:hAnsi="inter" w:eastAsia="inter" w:cs="inter"/>
          <w:color w:val="000000"/>
        </w:rPr>
        <w:t>**市场情绪评估（权重30%）</w:t>
      </w:r>
    </w:p>
    <w:p w14:paraId="5A6F74B0">
      <w:pPr>
        <w:spacing w:after="210" w:line="360" w:lineRule="auto"/>
      </w:pPr>
      <w:r>
        <w:rPr>
          <w:rFonts w:ascii="inter" w:hAnsi="inter" w:eastAsia="inter" w:cs="inter"/>
          <w:color w:val="000000"/>
        </w:rPr>
        <w:t>当前市场情绪呈现"乐观但谨慎"的两极分化：</w:t>
      </w:r>
    </w:p>
    <w:p w14:paraId="39E99A8F">
      <w:pPr>
        <w:spacing w:after="210" w:line="360" w:lineRule="auto"/>
      </w:pPr>
      <w:r>
        <w:rPr>
          <w:rFonts w:ascii="inter" w:hAnsi="inter" w:eastAsia="inter" w:cs="inter"/>
          <w:color w:val="000000"/>
        </w:rPr>
        <w:t>乐观阵营：</w:t>
      </w:r>
    </w:p>
    <w:p w14:paraId="0B1070F4">
      <w:pPr>
        <w:numPr>
          <w:ilvl w:val="0"/>
          <w:numId w:val="21"/>
        </w:numPr>
        <w:spacing w:before="105" w:after="105" w:line="360" w:lineRule="auto"/>
      </w:pPr>
      <w:r>
        <w:rPr>
          <w:rFonts w:ascii="inter" w:hAnsi="inter" w:eastAsia="inter" w:cs="inter"/>
          <w:color w:val="000000"/>
          <w:sz w:val="21"/>
        </w:rPr>
        <w:t>零售投资者热情高涨，黄金相关基金净流入创新高，SPDR黄金信托持仓达1070吨</w:t>
      </w:r>
      <w:bookmarkStart w:id="79" w:name="fnref29"/>
      <w:bookmarkEnd w:id="79"/>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p>
    <w:p w14:paraId="05E4ED38">
      <w:pPr>
        <w:numPr>
          <w:ilvl w:val="0"/>
          <w:numId w:val="21"/>
        </w:numPr>
        <w:spacing w:before="105" w:after="105" w:line="360" w:lineRule="auto"/>
      </w:pPr>
      <w:r>
        <w:rPr>
          <w:rFonts w:ascii="inter" w:hAnsi="inter" w:eastAsia="inter" w:cs="inter"/>
          <w:color w:val="000000"/>
          <w:sz w:val="21"/>
        </w:rPr>
        <w:t>投行纷纷上调金价目标，瑞银上调至4900美元，美银预测5000美元</w:t>
      </w:r>
    </w:p>
    <w:p w14:paraId="43747E32">
      <w:pPr>
        <w:numPr>
          <w:ilvl w:val="0"/>
          <w:numId w:val="21"/>
        </w:numPr>
        <w:spacing w:before="105" w:after="105" w:line="360" w:lineRule="auto"/>
      </w:pPr>
      <w:r>
        <w:rPr>
          <w:rFonts w:ascii="inter" w:hAnsi="inter" w:eastAsia="inter" w:cs="inter"/>
          <w:color w:val="000000"/>
          <w:sz w:val="21"/>
        </w:rPr>
        <w:t>社交媒体讨论热度持续升温，投资者参与度创历史新高</w:t>
      </w:r>
    </w:p>
    <w:p w14:paraId="472E1413">
      <w:pPr>
        <w:spacing w:after="210" w:line="360" w:lineRule="auto"/>
      </w:pPr>
      <w:r>
        <w:rPr>
          <w:rFonts w:ascii="inter" w:hAnsi="inter" w:eastAsia="inter" w:cs="inter"/>
          <w:color w:val="000000"/>
        </w:rPr>
        <w:t>谨慎阵派：</w:t>
      </w:r>
    </w:p>
    <w:p w14:paraId="1DA36C57">
      <w:pPr>
        <w:numPr>
          <w:ilvl w:val="0"/>
          <w:numId w:val="22"/>
        </w:numPr>
        <w:spacing w:before="105" w:after="105" w:line="360" w:lineRule="auto"/>
      </w:pPr>
      <w:r>
        <w:rPr>
          <w:rFonts w:ascii="inter" w:hAnsi="inter" w:eastAsia="inter" w:cs="inter"/>
          <w:color w:val="000000"/>
          <w:sz w:val="21"/>
        </w:rPr>
        <w:t>机构投资者在高位逐步获利回吐，最近一周ETF持仓出现多个交易日环比下降</w:t>
      </w:r>
      <w:bookmarkStart w:id="80" w:name="fnref30"/>
      <w:bookmarkEnd w:id="80"/>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p>
    <w:p w14:paraId="4F6A9716">
      <w:pPr>
        <w:numPr>
          <w:ilvl w:val="0"/>
          <w:numId w:val="22"/>
        </w:numPr>
        <w:spacing w:before="105" w:after="105" w:line="360" w:lineRule="auto"/>
      </w:pPr>
      <w:r>
        <w:rPr>
          <w:rFonts w:ascii="inter" w:hAnsi="inter" w:eastAsia="inter" w:cs="inter"/>
          <w:color w:val="000000"/>
          <w:sz w:val="21"/>
        </w:rPr>
        <w:t>美联储官员表态存在分化，部分官员对降息节奏的谨慎态度升温</w:t>
      </w:r>
    </w:p>
    <w:p w14:paraId="2499FCF4">
      <w:pPr>
        <w:numPr>
          <w:ilvl w:val="0"/>
          <w:numId w:val="22"/>
        </w:numPr>
        <w:spacing w:before="105" w:after="105" w:line="360" w:lineRule="auto"/>
      </w:pPr>
      <w:r>
        <w:rPr>
          <w:rFonts w:ascii="inter" w:hAnsi="inter" w:eastAsia="inter" w:cs="inter"/>
          <w:color w:val="000000"/>
          <w:sz w:val="21"/>
        </w:rPr>
        <w:t>俄罗斯央行等主要央行近期抛售黄金迹象，显示并非所有央行都在持续增持</w:t>
      </w:r>
    </w:p>
    <w:p w14:paraId="7463A271">
      <w:pPr>
        <w:spacing w:after="210" w:line="360" w:lineRule="auto"/>
      </w:pPr>
      <w:r>
        <w:rPr>
          <w:rFonts w:ascii="inter" w:hAnsi="inter" w:eastAsia="inter" w:cs="inter"/>
          <w:b/>
          <w:color w:val="000000"/>
        </w:rPr>
        <w:t>评价</w:t>
      </w:r>
      <w:r>
        <w:rPr>
          <w:rFonts w:ascii="inter" w:hAnsi="inter" w:eastAsia="inter" w:cs="inter"/>
          <w:color w:val="000000"/>
        </w:rPr>
        <w:t>：市场情绪已接近历史极值，极端乐观与谨慎并存，这通常预示着市场拐点。</w:t>
      </w:r>
    </w:p>
    <w:p w14:paraId="32285AB4">
      <w:pPr>
        <w:spacing w:before="210" w:after="0" w:line="360" w:lineRule="auto"/>
      </w:pPr>
      <w:r>
        <w:pict>
          <v:rect id="_x0000_s1036" o:spid="_x0000_s1036" o:spt="1" style="height:0.05pt;width:475.5pt;" coordsize="21600,21600">
            <v:path/>
            <v:fill focussize="0,0"/>
            <v:stroke weight="1pt" color="#000000" opacity="0f"/>
            <v:imagedata o:title=""/>
            <o:lock v:ext="edit"/>
            <w10:wrap type="none"/>
            <w10:anchorlock/>
          </v:rect>
        </w:pict>
      </w:r>
    </w:p>
    <w:p w14:paraId="4E425DD6">
      <w:pPr>
        <w:spacing w:before="315" w:after="105" w:line="360" w:lineRule="auto"/>
        <w:ind w:left="-30"/>
        <w:jc w:val="left"/>
      </w:pPr>
      <w:bookmarkStart w:id="81" w:name="综合评价与关键结论"/>
      <w:r>
        <w:rPr>
          <w:rFonts w:ascii="inter" w:hAnsi="inter" w:eastAsia="inter" w:cs="inter"/>
          <w:b/>
          <w:color w:val="000000"/>
          <w:sz w:val="24"/>
        </w:rPr>
        <w:t>综合评价与关键结论</w:t>
      </w:r>
      <w:bookmarkEnd w:id="81"/>
    </w:p>
    <w:p w14:paraId="1C364C21">
      <w:pPr>
        <w:spacing w:after="210" w:line="360" w:lineRule="auto"/>
      </w:pPr>
      <w:r>
        <w:rPr>
          <w:rFonts w:ascii="inter" w:hAnsi="inter" w:eastAsia="inter" w:cs="inter"/>
          <w:color w:val="000000"/>
        </w:rPr>
        <w:t>综合基本面、技术面、情绪面三大维度的分析，当前黄金市场处于以下关键阶段：</w:t>
      </w:r>
    </w:p>
    <w:p w14:paraId="6B990012">
      <w:pPr>
        <w:numPr>
          <w:ilvl w:val="0"/>
          <w:numId w:val="23"/>
        </w:numPr>
        <w:spacing w:after="210" w:line="360" w:lineRule="auto"/>
      </w:pPr>
      <w:r>
        <w:rPr>
          <w:rFonts w:ascii="inter" w:hAnsi="inter" w:eastAsia="inter" w:cs="inter"/>
          <w:b/>
          <w:color w:val="000000"/>
          <w:sz w:val="21"/>
        </w:rPr>
        <w:t>长期牛市框架保持完整</w:t>
      </w:r>
      <w:r>
        <w:rPr>
          <w:rFonts w:ascii="inter" w:hAnsi="inter" w:eastAsia="inter" w:cs="inter"/>
          <w:color w:val="000000"/>
          <w:sz w:val="21"/>
        </w:rPr>
        <w:t>：来自央行增持、实际利率低位、地缘风险的三重驱动因素未改变，决定了黄金的长期上升趋势仍将维持。</w:t>
      </w:r>
    </w:p>
    <w:p w14:paraId="2781E296">
      <w:pPr>
        <w:numPr>
          <w:ilvl w:val="0"/>
          <w:numId w:val="23"/>
        </w:numPr>
        <w:spacing w:after="210" w:line="360" w:lineRule="auto"/>
      </w:pPr>
      <w:r>
        <w:rPr>
          <w:rFonts w:ascii="inter" w:hAnsi="inter" w:eastAsia="inter" w:cs="inter"/>
          <w:b/>
          <w:color w:val="000000"/>
          <w:sz w:val="21"/>
        </w:rPr>
        <w:t>短期调整风险已积累</w:t>
      </w:r>
      <w:r>
        <w:rPr>
          <w:rFonts w:ascii="inter" w:hAnsi="inter" w:eastAsia="inter" w:cs="inter"/>
          <w:color w:val="000000"/>
          <w:sz w:val="21"/>
        </w:rPr>
        <w:t>：高位区域技术指标超买信号增多，市场情绪极值特征凸显，4350-4450美元区域成为关键操作区间。</w:t>
      </w:r>
    </w:p>
    <w:p w14:paraId="6B83CF64">
      <w:pPr>
        <w:numPr>
          <w:ilvl w:val="0"/>
          <w:numId w:val="23"/>
        </w:numPr>
        <w:spacing w:after="210" w:line="360" w:lineRule="auto"/>
      </w:pPr>
      <w:r>
        <w:rPr>
          <w:rFonts w:ascii="inter" w:hAnsi="inter" w:eastAsia="inter" w:cs="inter"/>
          <w:b/>
          <w:color w:val="000000"/>
          <w:sz w:val="21"/>
        </w:rPr>
        <w:t>政策不确定性成最大变量</w:t>
      </w:r>
      <w:r>
        <w:rPr>
          <w:rFonts w:ascii="inter" w:hAnsi="inter" w:eastAsia="inter" w:cs="inter"/>
          <w:color w:val="000000"/>
          <w:sz w:val="21"/>
        </w:rPr>
        <w:t>：美联储政策路径的任何改变都可能引发金价快速波动。如果通胀数据意外反弹，降息预期破灭，金价可能面临10%-15%的快速调整。</w:t>
      </w:r>
    </w:p>
    <w:p w14:paraId="3F5CDA54">
      <w:pPr>
        <w:numPr>
          <w:ilvl w:val="0"/>
          <w:numId w:val="23"/>
        </w:numPr>
        <w:spacing w:after="210" w:line="360" w:lineRule="auto"/>
      </w:pPr>
      <w:r>
        <w:rPr>
          <w:rFonts w:ascii="inter" w:hAnsi="inter" w:eastAsia="inter" w:cs="inter"/>
          <w:b/>
          <w:color w:val="000000"/>
          <w:sz w:val="21"/>
        </w:rPr>
        <w:t>央行增持的"隐含支撑"具有韧性</w:t>
      </w:r>
      <w:r>
        <w:rPr>
          <w:rFonts w:ascii="inter" w:hAnsi="inter" w:eastAsia="inter" w:cs="inter"/>
          <w:color w:val="000000"/>
          <w:sz w:val="21"/>
        </w:rPr>
        <w:t>：即使短期调整，央行层面的持续增持也将限制下跌空间，4200美元的200日均线防守线具有较强支撑力度。</w:t>
      </w:r>
    </w:p>
    <w:p w14:paraId="7C69E104">
      <w:pPr>
        <w:spacing w:before="210" w:after="0" w:line="360" w:lineRule="auto"/>
      </w:pPr>
      <w:r>
        <w:pict>
          <v:rect id="_x0000_s1037" o:spid="_x0000_s1037" o:spt="1" style="height:0.05pt;width:475.5pt;" coordsize="21600,21600">
            <v:path/>
            <v:fill focussize="0,0"/>
            <v:stroke weight="1pt" color="#000000" opacity="0f"/>
            <v:imagedata o:title=""/>
            <o:lock v:ext="edit"/>
            <w10:wrap type="none"/>
            <w10:anchorlock/>
          </v:rect>
        </w:pict>
      </w:r>
    </w:p>
    <w:p w14:paraId="1E42B04A">
      <w:pPr>
        <w:spacing w:before="315" w:after="105" w:line="360" w:lineRule="auto"/>
        <w:ind w:left="-30"/>
        <w:jc w:val="left"/>
      </w:pPr>
      <w:bookmarkStart w:id="82" w:name="第五部分_关键风险提示"/>
      <w:r>
        <w:rPr>
          <w:rFonts w:ascii="inter" w:hAnsi="inter" w:eastAsia="inter" w:cs="inter"/>
          <w:b/>
          <w:color w:val="000000"/>
          <w:sz w:val="24"/>
        </w:rPr>
        <w:t>第五部分：关键风险提示</w:t>
      </w:r>
      <w:bookmarkEnd w:id="82"/>
    </w:p>
    <w:p w14:paraId="13758639">
      <w:pPr>
        <w:numPr>
          <w:ilvl w:val="0"/>
          <w:numId w:val="24"/>
        </w:numPr>
        <w:spacing w:after="210" w:line="360" w:lineRule="auto"/>
      </w:pPr>
      <w:r>
        <w:rPr>
          <w:rFonts w:ascii="inter" w:hAnsi="inter" w:eastAsia="inter" w:cs="inter"/>
          <w:b/>
          <w:color w:val="000000"/>
          <w:sz w:val="21"/>
        </w:rPr>
        <w:t>美联储政策反复风险</w:t>
      </w:r>
      <w:r>
        <w:rPr>
          <w:rFonts w:ascii="inter" w:hAnsi="inter" w:eastAsia="inter" w:cs="inter"/>
          <w:color w:val="000000"/>
          <w:sz w:val="21"/>
        </w:rPr>
        <w:t>：如果通胀重新加速，美联储可能暂停或推迟降息，甚至重新考虑加息。这将直接摧毁当前的降息预期，推动金价快速下跌。</w:t>
      </w:r>
    </w:p>
    <w:p w14:paraId="32C09912">
      <w:pPr>
        <w:numPr>
          <w:ilvl w:val="0"/>
          <w:numId w:val="24"/>
        </w:numPr>
        <w:spacing w:after="210" w:line="360" w:lineRule="auto"/>
      </w:pPr>
      <w:r>
        <w:rPr>
          <w:rFonts w:ascii="inter" w:hAnsi="inter" w:eastAsia="inter" w:cs="inter"/>
          <w:b/>
          <w:color w:val="000000"/>
          <w:sz w:val="21"/>
        </w:rPr>
        <w:t>地缘冲突缓解风险</w:t>
      </w:r>
      <w:r>
        <w:rPr>
          <w:rFonts w:ascii="inter" w:hAnsi="inter" w:eastAsia="inter" w:cs="inter"/>
          <w:color w:val="000000"/>
          <w:sz w:val="21"/>
        </w:rPr>
        <w:t>：若俄乌战争和中东局势出现重大转机，避险溢价可能快速消解，导致金价失去上升支撑。</w:t>
      </w:r>
    </w:p>
    <w:p w14:paraId="63EDD35E">
      <w:pPr>
        <w:numPr>
          <w:ilvl w:val="0"/>
          <w:numId w:val="24"/>
        </w:numPr>
        <w:spacing w:after="210" w:line="360" w:lineRule="auto"/>
      </w:pPr>
      <w:r>
        <w:rPr>
          <w:rFonts w:ascii="inter" w:hAnsi="inter" w:eastAsia="inter" w:cs="inter"/>
          <w:b/>
          <w:color w:val="000000"/>
          <w:sz w:val="21"/>
        </w:rPr>
        <w:t>美元强势重现风险</w:t>
      </w:r>
      <w:r>
        <w:rPr>
          <w:rFonts w:ascii="inter" w:hAnsi="inter" w:eastAsia="inter" w:cs="inter"/>
          <w:color w:val="000000"/>
          <w:sz w:val="21"/>
        </w:rPr>
        <w:t>：一旦美国经济表现强于预期，美元指数可能重新突破105水平，由于黄金以美元计价，美元升值将直接压低金价。</w:t>
      </w:r>
    </w:p>
    <w:p w14:paraId="578421F7">
      <w:pPr>
        <w:numPr>
          <w:ilvl w:val="0"/>
          <w:numId w:val="24"/>
        </w:numPr>
        <w:spacing w:after="210" w:line="360" w:lineRule="auto"/>
      </w:pPr>
      <w:r>
        <w:rPr>
          <w:rFonts w:ascii="inter" w:hAnsi="inter" w:eastAsia="inter" w:cs="inter"/>
          <w:b/>
          <w:color w:val="000000"/>
          <w:sz w:val="21"/>
        </w:rPr>
        <w:t>技术面风险</w:t>
      </w:r>
      <w:r>
        <w:rPr>
          <w:rFonts w:ascii="inter" w:hAnsi="inter" w:eastAsia="inter" w:cs="inter"/>
          <w:color w:val="000000"/>
          <w:sz w:val="21"/>
        </w:rPr>
        <w:t>：RSI进一步逼近80、MACD指标钝化等技术信号恶化，可能引发技术性止损抛售，引爆短线跌幅。</w:t>
      </w:r>
    </w:p>
    <w:p w14:paraId="7C3D06AB">
      <w:pPr>
        <w:numPr>
          <w:ilvl w:val="0"/>
          <w:numId w:val="24"/>
        </w:numPr>
        <w:spacing w:after="210" w:line="360" w:lineRule="auto"/>
      </w:pPr>
      <w:r>
        <w:rPr>
          <w:rFonts w:ascii="inter" w:hAnsi="inter" w:eastAsia="inter" w:cs="inter"/>
          <w:b/>
          <w:color w:val="000000"/>
          <w:sz w:val="21"/>
        </w:rPr>
        <w:t>流动性风险</w:t>
      </w:r>
      <w:r>
        <w:rPr>
          <w:rFonts w:ascii="inter" w:hAnsi="inter" w:eastAsia="inter" w:cs="inter"/>
          <w:color w:val="000000"/>
          <w:sz w:val="21"/>
        </w:rPr>
        <w:t>：虽然黄金市场总体流动性充足，但极端市场条件下（如系统性金融风险扩散），可能出现流动性陷阱，导致价格跳空下跌。</w:t>
      </w:r>
    </w:p>
    <w:p w14:paraId="087ACEBE">
      <w:pPr>
        <w:spacing w:before="210" w:after="0" w:line="360" w:lineRule="auto"/>
      </w:pPr>
      <w:r>
        <w:pict>
          <v:rect id="_x0000_s1038" o:spid="_x0000_s1038" o:spt="1" style="height:0.05pt;width:475.5pt;" coordsize="21600,21600">
            <v:path/>
            <v:fill focussize="0,0"/>
            <v:stroke weight="1pt" color="#000000" opacity="0f"/>
            <v:imagedata o:title=""/>
            <o:lock v:ext="edit"/>
            <w10:wrap type="none"/>
            <w10:anchorlock/>
          </v:rect>
        </w:pict>
      </w:r>
    </w:p>
    <w:p w14:paraId="61D00F9C">
      <w:pPr>
        <w:spacing w:before="315" w:after="105" w:line="360" w:lineRule="auto"/>
        <w:ind w:left="-30"/>
        <w:jc w:val="left"/>
      </w:pPr>
      <w:bookmarkStart w:id="83" w:name="结论与投资建议"/>
      <w:r>
        <w:rPr>
          <w:rFonts w:ascii="inter" w:hAnsi="inter" w:eastAsia="inter" w:cs="inter"/>
          <w:b/>
          <w:color w:val="000000"/>
          <w:sz w:val="24"/>
        </w:rPr>
        <w:t>结论与投资建议</w:t>
      </w:r>
      <w:bookmarkEnd w:id="83"/>
    </w:p>
    <w:p w14:paraId="53ACFF2C">
      <w:pPr>
        <w:spacing w:after="210" w:line="360" w:lineRule="auto"/>
      </w:pPr>
      <w:r>
        <w:rPr>
          <w:rFonts w:ascii="inter" w:hAnsi="inter" w:eastAsia="inter" w:cs="inter"/>
          <w:color w:val="000000"/>
        </w:rPr>
        <w:t>黄金在2025年创造了近50年最强表现，2026年仍存在继续上升的空间，但上升的形式可能转变为"震荡上行"而非"直线上行"。</w:t>
      </w:r>
    </w:p>
    <w:p w14:paraId="1D91E916">
      <w:pPr>
        <w:spacing w:after="210" w:line="360" w:lineRule="auto"/>
      </w:pPr>
      <w:r>
        <w:rPr>
          <w:rFonts w:ascii="inter" w:hAnsi="inter" w:eastAsia="inter" w:cs="inter"/>
          <w:b/>
          <w:color w:val="000000"/>
        </w:rPr>
        <w:t>核心判断</w:t>
      </w:r>
      <w:r>
        <w:rPr>
          <w:rFonts w:ascii="inter" w:hAnsi="inter" w:eastAsia="inter" w:cs="inter"/>
          <w:color w:val="000000"/>
        </w:rPr>
        <w:t>：</w:t>
      </w:r>
    </w:p>
    <w:p w14:paraId="64C79B99">
      <w:pPr>
        <w:numPr>
          <w:ilvl w:val="0"/>
          <w:numId w:val="25"/>
        </w:numPr>
        <w:spacing w:before="105" w:after="105" w:line="360" w:lineRule="auto"/>
      </w:pPr>
      <w:r>
        <w:rPr>
          <w:rFonts w:ascii="inter" w:hAnsi="inter" w:eastAsia="inter" w:cs="inter"/>
          <w:color w:val="000000"/>
          <w:sz w:val="21"/>
        </w:rPr>
        <w:t>中期趋势（6-12个月）仍偏向看涨，目标4700-4800美元概率较高</w:t>
      </w:r>
    </w:p>
    <w:p w14:paraId="23FF1582">
      <w:pPr>
        <w:numPr>
          <w:ilvl w:val="0"/>
          <w:numId w:val="25"/>
        </w:numPr>
        <w:spacing w:before="105" w:after="105" w:line="360" w:lineRule="auto"/>
      </w:pPr>
      <w:r>
        <w:rPr>
          <w:rFonts w:ascii="inter" w:hAnsi="inter" w:eastAsia="inter" w:cs="inter"/>
          <w:color w:val="000000"/>
          <w:sz w:val="21"/>
        </w:rPr>
        <w:t>长期趋势（12-24个月）具有上冲5000美元的潜力，但需多重条件同时满足</w:t>
      </w:r>
    </w:p>
    <w:p w14:paraId="0125A97F">
      <w:pPr>
        <w:numPr>
          <w:ilvl w:val="0"/>
          <w:numId w:val="25"/>
        </w:numPr>
        <w:spacing w:before="105" w:after="105" w:line="360" w:lineRule="auto"/>
      </w:pPr>
      <w:r>
        <w:rPr>
          <w:rFonts w:ascii="inter" w:hAnsi="inter" w:eastAsia="inter" w:cs="inter"/>
          <w:color w:val="000000"/>
          <w:sz w:val="21"/>
        </w:rPr>
        <w:t>短期（1-3个月）回调调整可能性增加，4350-4450美元成为关键支撑</w:t>
      </w:r>
    </w:p>
    <w:p w14:paraId="11C5AB57">
      <w:pPr>
        <w:spacing w:after="210" w:line="360" w:lineRule="auto"/>
      </w:pPr>
      <w:r>
        <w:rPr>
          <w:rFonts w:ascii="inter" w:hAnsi="inter" w:eastAsia="inter" w:cs="inter"/>
          <w:b/>
          <w:color w:val="000000"/>
        </w:rPr>
        <w:t>操作建议</w:t>
      </w:r>
      <w:r>
        <w:rPr>
          <w:rFonts w:ascii="inter" w:hAnsi="inter" w:eastAsia="inter" w:cs="inter"/>
          <w:color w:val="000000"/>
        </w:rPr>
        <w:t>：</w:t>
      </w:r>
      <w:r>
        <w:rPr>
          <w:rFonts w:ascii="inter" w:hAnsi="inter" w:eastAsia="inter" w:cs="inter"/>
          <w:color w:val="000000"/>
        </w:rPr>
        <w:br w:type="textWrapping"/>
      </w:r>
      <w:r>
        <w:rPr>
          <w:rFonts w:ascii="inter" w:hAnsi="inter" w:eastAsia="inter" w:cs="inter"/>
          <w:color w:val="000000"/>
        </w:rPr>
        <w:t>对于保守投资者，应在4600-4650美元区域逐步获利回吐，部分头寸止盈；</w:t>
      </w:r>
      <w:r>
        <w:rPr>
          <w:rFonts w:ascii="inter" w:hAnsi="inter" w:eastAsia="inter" w:cs="inter"/>
          <w:color w:val="000000"/>
        </w:rPr>
        <w:br w:type="textWrapping"/>
      </w:r>
      <w:r>
        <w:rPr>
          <w:rFonts w:ascii="inter" w:hAnsi="inter" w:eastAsia="inter" w:cs="inter"/>
          <w:color w:val="000000"/>
        </w:rPr>
        <w:t>对于积极投资者，应在4350-4450美元区域布局多头仓位，目标指向4700-4800美元；</w:t>
      </w:r>
      <w:r>
        <w:rPr>
          <w:rFonts w:ascii="inter" w:hAnsi="inter" w:eastAsia="inter" w:cs="inter"/>
          <w:color w:val="000000"/>
        </w:rPr>
        <w:br w:type="textWrapping"/>
      </w:r>
      <w:r>
        <w:rPr>
          <w:rFonts w:ascii="inter" w:hAnsi="inter" w:eastAsia="inter" w:cs="inter"/>
          <w:color w:val="000000"/>
        </w:rPr>
        <w:t>对于专业机构，应建立复合对冲策略，利用期权工具锁定风险敞口。</w:t>
      </w:r>
    </w:p>
    <w:p w14:paraId="02EE7E1E">
      <w:pPr>
        <w:spacing w:after="210" w:line="360" w:lineRule="auto"/>
      </w:pPr>
      <w:r>
        <w:rPr>
          <w:rFonts w:ascii="inter" w:hAnsi="inter" w:eastAsia="inter" w:cs="inter"/>
          <w:color w:val="000000"/>
        </w:rPr>
        <w:t>黄金的本质从短期"交易品"向中长期"资产配置标的"转变，其投资逻辑已从简单的避险套利升级到对全球货币体系和地缘秩序变化的深度对冲。在这一背景下，坚定的长期持仓、灵活的战术调整将是黄金投资的致胜之道。</w:t>
      </w:r>
    </w:p>
    <w:p w14:paraId="6895928B">
      <w:pPr>
        <w:spacing w:before="210" w:after="0" w:line="360" w:lineRule="auto"/>
      </w:pPr>
      <w:r>
        <w:pict>
          <v:rect id="_x0000_s1039" o:spid="_x0000_s1039" o:spt="1" style="height:0.05pt;width:475.5pt;" coordsize="21600,21600">
            <v:path/>
            <v:fill focussize="0,0"/>
            <v:stroke weight="1pt" color="#000000" opacity="0f"/>
            <v:imagedata o:title=""/>
            <o:lock v:ext="edit"/>
            <w10:wrap type="none"/>
            <w10:anchorlock/>
          </v:rect>
        </w:pict>
      </w:r>
    </w:p>
    <w:p w14:paraId="042D9FB0">
      <w:pPr>
        <w:spacing w:after="210" w:line="360" w:lineRule="auto"/>
      </w:pPr>
      <w:r>
        <w:rPr>
          <w:rFonts w:ascii="inter" w:hAnsi="inter" w:eastAsia="inter" w:cs="inter"/>
          <w:b/>
          <w:color w:val="000000"/>
        </w:rPr>
        <w:t>数据截至日期</w:t>
      </w:r>
      <w:r>
        <w:rPr>
          <w:rFonts w:ascii="inter" w:hAnsi="inter" w:eastAsia="inter" w:cs="inter"/>
          <w:color w:val="000000"/>
        </w:rPr>
        <w:t>：2026年1月16日</w:t>
      </w:r>
      <w:r>
        <w:rPr>
          <w:rFonts w:ascii="inter" w:hAnsi="inter" w:eastAsia="inter" w:cs="inter"/>
          <w:color w:val="000000"/>
        </w:rPr>
        <w:br w:type="textWrapping"/>
      </w:r>
      <w:r>
        <w:rPr>
          <w:rFonts w:ascii="inter" w:hAnsi="inter" w:eastAsia="inter" w:cs="inter"/>
          <w:b/>
          <w:color w:val="000000"/>
        </w:rPr>
        <w:t>分析机构</w:t>
      </w:r>
      <w:r>
        <w:rPr>
          <w:rFonts w:ascii="inter" w:hAnsi="inter" w:eastAsia="inter" w:cs="inter"/>
          <w:color w:val="000000"/>
        </w:rPr>
        <w:t>：贵金属市场研究部</w:t>
      </w:r>
    </w:p>
    <w:p w14:paraId="7CF94BF6">
      <w:pPr>
        <w:spacing w:after="210" w:line="360" w:lineRule="auto"/>
      </w:pPr>
      <w:bookmarkStart w:id="84" w:name="fnref1_6"/>
      <w:bookmarkEnd w:id="84"/>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85" w:name="fnref9_2"/>
      <w:bookmarkEnd w:id="8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86" w:name="fnref6_4"/>
      <w:bookmarkEnd w:id="86"/>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87" w:name="fnref8_1"/>
      <w:bookmarkEnd w:id="87"/>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88" w:name="fnref15_1"/>
      <w:bookmarkEnd w:id="88"/>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89" w:name="fnref20_5"/>
      <w:bookmarkEnd w:id="89"/>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90" w:name="fnref2_2"/>
      <w:bookmarkEnd w:id="90"/>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91" w:name="fnref3_2"/>
      <w:bookmarkEnd w:id="91"/>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92" w:name="fnref23_3"/>
      <w:bookmarkEnd w:id="92"/>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93" w:name="fnref28_2"/>
      <w:bookmarkEnd w:id="93"/>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bookmarkStart w:id="94" w:name="fnref4_3"/>
      <w:bookmarkEnd w:id="94"/>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95" w:name="fnref5_2"/>
      <w:bookmarkEnd w:id="95"/>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32C83FE5">
      <w:pPr>
        <w:spacing w:before="210" w:after="0" w:line="360" w:lineRule="auto"/>
      </w:pPr>
      <w:r>
        <w:pict>
          <v:rect id="_x0000_s1040" o:spid="_x0000_s1040" o:spt="1" style="height:0.05pt;width:475.5pt;" coordsize="21600,21600">
            <v:path/>
            <v:fill focussize="0,0"/>
            <v:stroke weight="1pt" color="#000000" opacity="0f"/>
            <v:imagedata o:title=""/>
            <o:lock v:ext="edit"/>
            <w10:wrap type="none"/>
            <w10:anchorlock/>
          </v:rect>
        </w:pict>
      </w:r>
    </w:p>
    <w:p w14:paraId="29480BF4">
      <w:pPr>
        <w:spacing w:before="315" w:after="105" w:line="360" w:lineRule="auto"/>
        <w:ind w:left="-30"/>
        <w:jc w:val="left"/>
      </w:pPr>
      <w:bookmarkStart w:id="96" w:name="核心思维导图"/>
      <w:r>
        <w:rPr>
          <w:rFonts w:ascii="inter" w:hAnsi="inter" w:eastAsia="inter" w:cs="inter"/>
          <w:b/>
          <w:color w:val="000000"/>
          <w:sz w:val="24"/>
        </w:rPr>
        <w:t>核心思维导图</w:t>
      </w:r>
      <w:bookmarkEnd w:id="96"/>
    </w:p>
    <w:p w14:paraId="5D3304F9">
      <w:pPr>
        <w:spacing w:after="0" w:line="360" w:lineRule="auto"/>
        <w:jc w:val="center"/>
      </w:pPr>
      <w:r>
        <w:rPr>
          <w:rFonts w:ascii="inter" w:hAnsi="inter" w:eastAsia="inter" w:cs="inter"/>
          <w:color w:val="000000"/>
        </w:rPr>
        <w:drawing>
          <wp:inline distT="0" distB="0" distL="0" distR="0">
            <wp:extent cx="952500" cy="952500"/>
            <wp:effectExtent l="0" t="0" r="0" b="0"/>
            <wp:docPr id="2" name="image-not-found.png" descr="黄金市场核心分析：未来趋势、支撑位与压力位思维导图"/>
            <wp:cNvGraphicFramePr/>
            <a:graphic xmlns:a="http://schemas.openxmlformats.org/drawingml/2006/main">
              <a:graphicData uri="http://schemas.openxmlformats.org/drawingml/2006/picture">
                <pic:pic xmlns:pic="http://schemas.openxmlformats.org/drawingml/2006/picture">
                  <pic:nvPicPr>
                    <pic:cNvPr id="2" name="image-not-found.png" descr="黄金市场核心分析：未来趋势、支撑位与压力位思维导图"/>
                    <pic:cNvPicPr/>
                  </pic:nvPicPr>
                  <pic:blipFill>
                    <a:blip r:embed="rId6" cstate="print"/>
                    <a:srcRect/>
                    <a:stretch>
                      <a:fillRect/>
                    </a:stretch>
                  </pic:blipFill>
                  <pic:spPr>
                    <a:xfrm>
                      <a:off x="0" y="0"/>
                      <a:ext cx="952500" cy="952500"/>
                    </a:xfrm>
                    <a:prstGeom prst="rect">
                      <a:avLst/>
                    </a:prstGeom>
                  </pic:spPr>
                </pic:pic>
              </a:graphicData>
            </a:graphic>
          </wp:inline>
        </w:drawing>
      </w:r>
    </w:p>
    <w:p w14:paraId="1FF36A4F">
      <w:pPr>
        <w:spacing w:after="210" w:line="360" w:lineRule="auto"/>
      </w:pPr>
      <w:r>
        <w:rPr>
          <w:rFonts w:ascii="inter" w:hAnsi="inter" w:eastAsia="inter" w:cs="inter"/>
          <w:color w:val="000000"/>
        </w:rPr>
        <w:t>黄金市场核心分析：未来趋势、支撑位与压力位思维导图</w:t>
      </w:r>
    </w:p>
    <w:p w14:paraId="0FBBEC28">
      <w:pPr>
        <w:spacing w:after="210" w:line="360" w:lineRule="auto"/>
      </w:pPr>
      <w:r>
        <w:rPr>
          <w:rFonts w:ascii="inter" w:hAnsi="inter" w:eastAsia="inter" w:cs="inter"/>
          <w:color w:val="000000"/>
        </w:rPr>
        <w:t>上述思维导图清晰展示了本报告的三大核心分析维度：</w:t>
      </w:r>
    </w:p>
    <w:p w14:paraId="03A7F6F3">
      <w:pPr>
        <w:numPr>
          <w:ilvl w:val="0"/>
          <w:numId w:val="26"/>
        </w:numPr>
        <w:spacing w:before="105" w:after="105" w:line="360" w:lineRule="auto"/>
      </w:pPr>
      <w:r>
        <w:rPr>
          <w:rFonts w:ascii="inter" w:hAnsi="inter" w:eastAsia="inter" w:cs="inter"/>
          <w:b/>
          <w:color w:val="000000"/>
          <w:sz w:val="21"/>
        </w:rPr>
        <w:t>未来趋势</w:t>
      </w:r>
      <w:r>
        <w:rPr>
          <w:rFonts w:ascii="inter" w:hAnsi="inter" w:eastAsia="inter" w:cs="inter"/>
          <w:color w:val="000000"/>
          <w:sz w:val="21"/>
        </w:rPr>
        <w:t>：牛市/熊市/震荡三种情景及其触发条件与目标</w:t>
      </w:r>
    </w:p>
    <w:p w14:paraId="6F20300F">
      <w:pPr>
        <w:numPr>
          <w:ilvl w:val="0"/>
          <w:numId w:val="26"/>
        </w:numPr>
        <w:spacing w:before="105" w:after="105" w:line="360" w:lineRule="auto"/>
      </w:pPr>
      <w:r>
        <w:rPr>
          <w:rFonts w:ascii="inter" w:hAnsi="inter" w:eastAsia="inter" w:cs="inter"/>
          <w:b/>
          <w:color w:val="000000"/>
          <w:sz w:val="21"/>
        </w:rPr>
        <w:t>关键支撑位</w:t>
      </w:r>
      <w:r>
        <w:rPr>
          <w:rFonts w:ascii="inter" w:hAnsi="inter" w:eastAsia="inter" w:cs="inter"/>
          <w:color w:val="000000"/>
          <w:sz w:val="21"/>
        </w:rPr>
        <w:t>：从短期(4447)到长期(1628)的四层级防守机制</w:t>
      </w:r>
    </w:p>
    <w:p w14:paraId="14890A7F">
      <w:pPr>
        <w:numPr>
          <w:ilvl w:val="0"/>
          <w:numId w:val="26"/>
        </w:numPr>
        <w:spacing w:before="105" w:after="105" w:line="360" w:lineRule="auto"/>
      </w:pPr>
      <w:r>
        <w:rPr>
          <w:rFonts w:ascii="inter" w:hAnsi="inter" w:eastAsia="inter" w:cs="inter"/>
          <w:b/>
          <w:color w:val="000000"/>
          <w:sz w:val="21"/>
        </w:rPr>
        <w:t>关键压力位</w:t>
      </w:r>
      <w:r>
        <w:rPr>
          <w:rFonts w:ascii="inter" w:hAnsi="inter" w:eastAsia="inter" w:cs="inter"/>
          <w:color w:val="000000"/>
          <w:sz w:val="21"/>
        </w:rPr>
        <w:t>：从近期(4600)到极端(5000+)的阻力位阶梯</w:t>
      </w:r>
    </w:p>
    <w:p w14:paraId="22451E7C">
      <w:pPr>
        <w:spacing w:after="210" w:line="360" w:lineRule="auto"/>
      </w:pPr>
      <w:r>
        <w:rPr>
          <w:rFonts w:ascii="inter" w:hAnsi="inter" w:eastAsia="inter" w:cs="inter"/>
          <w:color w:val="000000"/>
        </w:rPr>
        <w:t>该框架为专业投资决策提供了完整的参考体系。</w:t>
      </w:r>
      <w:r>
        <w:rPr>
          <w:rFonts w:ascii="inter" w:hAnsi="inter" w:eastAsia="inter" w:cs="inter"/>
          <w:color w:val="000000"/>
        </w:rPr>
        <w:br w:type="textWrapping"/>
      </w:r>
    </w:p>
    <w:p w14:paraId="07B11A45">
      <w:pPr>
        <w:spacing w:line="360" w:lineRule="auto"/>
      </w:pPr>
      <w:r>
        <w:rPr>
          <w:rFonts w:ascii="inter" w:hAnsi="inter" w:eastAsia="inter" w:cs="inter"/>
          <w:color w:val="000000"/>
        </w:rPr>
        <w:t>⁂</w:t>
      </w:r>
    </w:p>
    <w:p w14:paraId="14B4E208">
      <w:pPr>
        <w:spacing w:before="210" w:after="0" w:line="360" w:lineRule="auto"/>
      </w:pPr>
      <w:r>
        <w:pict>
          <v:rect id="_x0000_s1041" o:spid="_x0000_s1041" o:spt="1" style="height:0.05pt;width:475.5pt;" coordsize="21600,21600">
            <v:path/>
            <v:fill focussize="0,0"/>
            <v:stroke weight="1pt" color="#000000" opacity="0f"/>
            <v:imagedata o:title=""/>
            <o:lock v:ext="edit"/>
            <w10:wrap type="none"/>
            <w10:anchorlock/>
          </v:rect>
        </w:pict>
      </w:r>
    </w:p>
    <w:p w14:paraId="6F9A25D7">
      <w:pPr>
        <w:numPr>
          <w:ilvl w:val="0"/>
          <w:numId w:val="27"/>
        </w:numPr>
        <w:spacing w:after="210" w:line="360" w:lineRule="auto"/>
      </w:pPr>
      <w:bookmarkStart w:id="97" w:name="fn1"/>
      <w:bookmarkEnd w:id="97"/>
      <w:r>
        <w:fldChar w:fldCharType="begin"/>
      </w:r>
      <w:r>
        <w:instrText xml:space="preserve"> HYPERLINK "https://www.guojijinjia.com/lishi/" \h </w:instrText>
      </w:r>
      <w:r>
        <w:fldChar w:fldCharType="separate"/>
      </w:r>
      <w:r>
        <w:rPr>
          <w:rFonts w:ascii="inter" w:hAnsi="inter" w:eastAsia="inter" w:cs="inter"/>
          <w:color w:val="000000"/>
          <w:sz w:val="18"/>
          <w:u w:val="single"/>
        </w:rPr>
        <w:t>https://www.guojijinjia.com/lishi/</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1D21570">
      <w:pPr>
        <w:numPr>
          <w:ilvl w:val="0"/>
          <w:numId w:val="27"/>
        </w:numPr>
        <w:spacing w:after="210" w:line="360" w:lineRule="auto"/>
      </w:pPr>
      <w:bookmarkStart w:id="98" w:name="fn2"/>
      <w:bookmarkEnd w:id="98"/>
      <w:r>
        <w:fldChar w:fldCharType="begin"/>
      </w:r>
      <w:r>
        <w:instrText xml:space="preserve"> HYPERLINK "https://www.sohu.com/a/968974310_115571" \h </w:instrText>
      </w:r>
      <w:r>
        <w:fldChar w:fldCharType="separate"/>
      </w:r>
      <w:r>
        <w:rPr>
          <w:rFonts w:ascii="inter" w:hAnsi="inter" w:eastAsia="inter" w:cs="inter"/>
          <w:color w:val="000000"/>
          <w:sz w:val="18"/>
          <w:u w:val="single"/>
        </w:rPr>
        <w:t>https://www.sohu.com/a/968974310_115571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FCAA749">
      <w:pPr>
        <w:numPr>
          <w:ilvl w:val="0"/>
          <w:numId w:val="27"/>
        </w:numPr>
        <w:spacing w:after="210" w:line="360" w:lineRule="auto"/>
      </w:pPr>
      <w:bookmarkStart w:id="99" w:name="fn3"/>
      <w:bookmarkEnd w:id="99"/>
      <w:r>
        <w:fldChar w:fldCharType="begin"/>
      </w:r>
      <w:r>
        <w:instrText xml:space="preserve"> HYPERLINK "https://finance.sina.com.cn/money/nmetal/hjzx/2026-01-06/doc-inhfiqwu6127952.shtml?cre=tianyi&amp;mod=pchp&amp;loc=31&amp;r=0&amp;rfunc=24&amp;tj=cxvertical_pc_hp&amp;tr=12" \h </w:instrText>
      </w:r>
      <w:r>
        <w:fldChar w:fldCharType="separate"/>
      </w:r>
      <w:r>
        <w:rPr>
          <w:rFonts w:ascii="inter" w:hAnsi="inter" w:eastAsia="inter" w:cs="inter"/>
          <w:color w:val="000000"/>
          <w:sz w:val="18"/>
          <w:u w:val="single"/>
        </w:rPr>
        <w:t>https://finance.sina.com.cn/money/nmetal/hjzx/2026-01-06/doc-inhfiqwu6127952.shtml?cre=tianyi&amp;mod=pchp&amp;loc=31&amp;r=0&amp;rfunc=24&amp;tj=cxvertical_pc_hp&amp;tr=12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D8737C">
      <w:pPr>
        <w:numPr>
          <w:ilvl w:val="0"/>
          <w:numId w:val="27"/>
        </w:numPr>
        <w:spacing w:after="210" w:line="360" w:lineRule="auto"/>
      </w:pPr>
      <w:bookmarkStart w:id="100" w:name="fn4"/>
      <w:bookmarkEnd w:id="100"/>
      <w:r>
        <w:fldChar w:fldCharType="begin"/>
      </w:r>
      <w:r>
        <w:instrText xml:space="preserve"> HYPERLINK "https://finance.sina.com.cn/money/nmetal/hjzx/2026-01-14/doc-inhhhaht8411395.shtml" \h </w:instrText>
      </w:r>
      <w:r>
        <w:fldChar w:fldCharType="separate"/>
      </w:r>
      <w:r>
        <w:rPr>
          <w:rFonts w:ascii="inter" w:hAnsi="inter" w:eastAsia="inter" w:cs="inter"/>
          <w:color w:val="000000"/>
          <w:sz w:val="18"/>
          <w:u w:val="single"/>
        </w:rPr>
        <w:t>https://finance.sina.com.cn/money/nmetal/hjzx/2026-01-14/doc-inhhhaht8411395.shtml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30E5334">
      <w:pPr>
        <w:numPr>
          <w:ilvl w:val="0"/>
          <w:numId w:val="27"/>
        </w:numPr>
        <w:spacing w:after="210" w:line="360" w:lineRule="auto"/>
      </w:pPr>
      <w:bookmarkStart w:id="101" w:name="fn5"/>
      <w:bookmarkEnd w:id="101"/>
      <w:r>
        <w:fldChar w:fldCharType="begin"/>
      </w:r>
      <w:r>
        <w:instrText xml:space="preserve"> HYPERLINK "https://finance.sina.com.cn/money/nmetal/hjfx/2026-01-14/doc-inhhhnwv7158884.shtml" \h </w:instrText>
      </w:r>
      <w:r>
        <w:fldChar w:fldCharType="separate"/>
      </w:r>
      <w:r>
        <w:rPr>
          <w:rFonts w:ascii="inter" w:hAnsi="inter" w:eastAsia="inter" w:cs="inter"/>
          <w:color w:val="000000"/>
          <w:sz w:val="18"/>
          <w:u w:val="single"/>
        </w:rPr>
        <w:t>https://finance.sina.com.cn/money/nmetal/hjfx/2026-01-14/doc-inhhhnwv7158884.shtml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56B4A87">
      <w:pPr>
        <w:numPr>
          <w:ilvl w:val="0"/>
          <w:numId w:val="27"/>
        </w:numPr>
        <w:spacing w:after="210" w:line="360" w:lineRule="auto"/>
      </w:pPr>
      <w:bookmarkStart w:id="102" w:name="fn6"/>
      <w:bookmarkEnd w:id="102"/>
      <w:r>
        <w:fldChar w:fldCharType="begin"/>
      </w:r>
      <w:r>
        <w:instrText xml:space="preserve"> HYPERLINK "https://www.bbc.com/ukchina/simp/53702934" \h </w:instrText>
      </w:r>
      <w:r>
        <w:fldChar w:fldCharType="separate"/>
      </w:r>
      <w:r>
        <w:rPr>
          <w:rFonts w:ascii="inter" w:hAnsi="inter" w:eastAsia="inter" w:cs="inter"/>
          <w:color w:val="000000"/>
          <w:sz w:val="18"/>
          <w:u w:val="single"/>
        </w:rPr>
        <w:t>https://www.bbc.com/ukchina/simp/53702934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0A4913C">
      <w:pPr>
        <w:numPr>
          <w:ilvl w:val="0"/>
          <w:numId w:val="27"/>
        </w:numPr>
        <w:spacing w:after="210" w:line="360" w:lineRule="auto"/>
      </w:pPr>
      <w:bookmarkStart w:id="103" w:name="fn7"/>
      <w:bookmarkEnd w:id="103"/>
      <w:r>
        <w:fldChar w:fldCharType="begin"/>
      </w:r>
      <w:r>
        <w:instrText xml:space="preserve"> HYPERLINK "http://www.ccb.com/cn/ccbtoday/jhbkhb/20120214_1329206164.html" \h </w:instrText>
      </w:r>
      <w:r>
        <w:fldChar w:fldCharType="separate"/>
      </w:r>
      <w:r>
        <w:rPr>
          <w:rFonts w:ascii="inter" w:hAnsi="inter" w:eastAsia="inter" w:cs="inter"/>
          <w:color w:val="000000"/>
          <w:sz w:val="18"/>
          <w:u w:val="single"/>
        </w:rPr>
        <w:t>http://www.ccb.com/cn/ccbtoday/jhbkhb/20120214_1329206164.html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C14EB0">
      <w:pPr>
        <w:numPr>
          <w:ilvl w:val="0"/>
          <w:numId w:val="27"/>
        </w:numPr>
        <w:spacing w:after="210" w:line="360" w:lineRule="auto"/>
      </w:pPr>
      <w:bookmarkStart w:id="104" w:name="fn8"/>
      <w:bookmarkEnd w:id="104"/>
      <w:r>
        <w:fldChar w:fldCharType="begin"/>
      </w:r>
      <w:r>
        <w:instrText xml:space="preserve"> HYPERLINK "https://www.icbc.com.cn/icbc/%E7%BD%91%E4%B8%8A%E7%90%86%E8%B4%A2/%E7%90%86%E8%B4%A2%E7%94%9F%E6%B4%BB/%E6%8A%95%E8%B5%84%E5%8F%82%E8%80%83/2011%E9%BB%84%E9%87%91%E6%8A%95%E8%B5%84%E4%BB%8D%E6%98%AF%E6%9C%80%E4%BC%98%E9%81%BF%E9%A3%8E%E6%B8%AF.htm" \h </w:instrText>
      </w:r>
      <w:r>
        <w:fldChar w:fldCharType="separate"/>
      </w:r>
      <w:r>
        <w:rPr>
          <w:rFonts w:ascii="inter" w:hAnsi="inter" w:eastAsia="inter" w:cs="inter"/>
          <w:color w:val="000000"/>
          <w:sz w:val="18"/>
          <w:u w:val="single"/>
        </w:rPr>
        <w:t>https://www.icbc.com.cn/icbc/网上理财/理财生活/投资参考/2011黄金投资仍是最优避风港.htm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98D85D1">
      <w:pPr>
        <w:numPr>
          <w:ilvl w:val="0"/>
          <w:numId w:val="27"/>
        </w:numPr>
        <w:spacing w:after="210" w:line="360" w:lineRule="auto"/>
      </w:pPr>
      <w:bookmarkStart w:id="105" w:name="fn9"/>
      <w:bookmarkEnd w:id="105"/>
      <w:r>
        <w:fldChar w:fldCharType="begin"/>
      </w:r>
      <w:r>
        <w:instrText xml:space="preserve"> HYPERLINK "https://www.jinjia.vip/History/" \h </w:instrText>
      </w:r>
      <w:r>
        <w:fldChar w:fldCharType="separate"/>
      </w:r>
      <w:r>
        <w:rPr>
          <w:rFonts w:ascii="inter" w:hAnsi="inter" w:eastAsia="inter" w:cs="inter"/>
          <w:color w:val="000000"/>
          <w:sz w:val="18"/>
          <w:u w:val="single"/>
        </w:rPr>
        <w:t>https://www.jinjia.vip/History/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7D5E7DE">
      <w:pPr>
        <w:numPr>
          <w:ilvl w:val="0"/>
          <w:numId w:val="27"/>
        </w:numPr>
        <w:spacing w:after="210" w:line="360" w:lineRule="auto"/>
      </w:pPr>
      <w:bookmarkStart w:id="106" w:name="fn10"/>
      <w:bookmarkEnd w:id="106"/>
      <w:r>
        <w:fldChar w:fldCharType="begin"/>
      </w:r>
      <w:r>
        <w:instrText xml:space="preserve"> HYPERLINK "http://finance.people.com.cn/n/2013/1116/c1004-23562640.html" \h </w:instrText>
      </w:r>
      <w:r>
        <w:fldChar w:fldCharType="separate"/>
      </w:r>
      <w:r>
        <w:rPr>
          <w:rFonts w:ascii="inter" w:hAnsi="inter" w:eastAsia="inter" w:cs="inter"/>
          <w:color w:val="000000"/>
          <w:sz w:val="18"/>
          <w:u w:val="single"/>
        </w:rPr>
        <w:t>http://finance.people.com.cn/n/2013/1116/c1004-23562640.html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D2AD4F">
      <w:pPr>
        <w:numPr>
          <w:ilvl w:val="0"/>
          <w:numId w:val="27"/>
        </w:numPr>
        <w:spacing w:after="210" w:line="360" w:lineRule="auto"/>
      </w:pPr>
      <w:bookmarkStart w:id="107" w:name="fn11"/>
      <w:bookmarkEnd w:id="107"/>
      <w:r>
        <w:fldChar w:fldCharType="begin"/>
      </w:r>
      <w:r>
        <w:instrText xml:space="preserve"> HYPERLINK "https://www.jiemian.com/article/5764697.html" \h </w:instrText>
      </w:r>
      <w:r>
        <w:fldChar w:fldCharType="separate"/>
      </w:r>
      <w:r>
        <w:rPr>
          <w:rFonts w:ascii="inter" w:hAnsi="inter" w:eastAsia="inter" w:cs="inter"/>
          <w:color w:val="000000"/>
          <w:sz w:val="18"/>
          <w:u w:val="single"/>
        </w:rPr>
        <w:t>https://www.jiemian.com/article/5764697.html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B27F4B">
      <w:pPr>
        <w:numPr>
          <w:ilvl w:val="0"/>
          <w:numId w:val="27"/>
        </w:numPr>
        <w:spacing w:after="210" w:line="360" w:lineRule="auto"/>
      </w:pPr>
      <w:bookmarkStart w:id="108" w:name="fn12"/>
      <w:bookmarkEnd w:id="108"/>
      <w:r>
        <w:fldChar w:fldCharType="begin"/>
      </w:r>
      <w:r>
        <w:instrText xml:space="preserve"> HYPERLINK "http://www.ccb.com/cn/gold/20131219_1387433819.html" \h </w:instrText>
      </w:r>
      <w:r>
        <w:fldChar w:fldCharType="separate"/>
      </w:r>
      <w:r>
        <w:rPr>
          <w:rFonts w:ascii="inter" w:hAnsi="inter" w:eastAsia="inter" w:cs="inter"/>
          <w:color w:val="000000"/>
          <w:sz w:val="18"/>
          <w:u w:val="single"/>
        </w:rPr>
        <w:t>http://www.ccb.com/cn/gold/20131219_1387433819.html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1283D1">
      <w:pPr>
        <w:numPr>
          <w:ilvl w:val="0"/>
          <w:numId w:val="27"/>
        </w:numPr>
        <w:spacing w:after="210" w:line="360" w:lineRule="auto"/>
      </w:pPr>
      <w:bookmarkStart w:id="109" w:name="fn13"/>
      <w:bookmarkEnd w:id="109"/>
      <w:r>
        <w:fldChar w:fldCharType="begin"/>
      </w:r>
      <w:r>
        <w:instrText xml:space="preserve"> HYPERLINK "https://www.bankofchina.com/fimarkets/fm7/201712/t20171215_10921448.html" \h </w:instrText>
      </w:r>
      <w:r>
        <w:fldChar w:fldCharType="separate"/>
      </w:r>
      <w:r>
        <w:rPr>
          <w:rFonts w:ascii="inter" w:hAnsi="inter" w:eastAsia="inter" w:cs="inter"/>
          <w:color w:val="000000"/>
          <w:sz w:val="18"/>
          <w:u w:val="single"/>
        </w:rPr>
        <w:t>https://www.bankofchina.com/fimarkets/fm7/201712/t20171215_10921448.html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06AC90B">
      <w:pPr>
        <w:numPr>
          <w:ilvl w:val="0"/>
          <w:numId w:val="27"/>
        </w:numPr>
        <w:spacing w:after="210" w:line="360" w:lineRule="auto"/>
      </w:pPr>
      <w:bookmarkStart w:id="110" w:name="fn14"/>
      <w:bookmarkEnd w:id="110"/>
      <w:r>
        <w:fldChar w:fldCharType="begin"/>
      </w:r>
      <w:r>
        <w:instrText xml:space="preserve"> HYPERLINK "https://www.bocigroup.com/wap/inner/NewsDetail/2400" \h </w:instrText>
      </w:r>
      <w:r>
        <w:fldChar w:fldCharType="separate"/>
      </w:r>
      <w:r>
        <w:rPr>
          <w:rFonts w:ascii="inter" w:hAnsi="inter" w:eastAsia="inter" w:cs="inter"/>
          <w:color w:val="000000"/>
          <w:sz w:val="18"/>
          <w:u w:val="single"/>
        </w:rPr>
        <w:t>https://www.bocigroup.com/wap/inner/NewsDetail/2400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830E455">
      <w:pPr>
        <w:numPr>
          <w:ilvl w:val="0"/>
          <w:numId w:val="27"/>
        </w:numPr>
        <w:spacing w:after="210" w:line="360" w:lineRule="auto"/>
      </w:pPr>
      <w:bookmarkStart w:id="111" w:name="fn15"/>
      <w:bookmarkEnd w:id="111"/>
      <w:r>
        <w:fldChar w:fldCharType="begin"/>
      </w:r>
      <w:r>
        <w:instrText xml:space="preserve"> HYPERLINK "https://wallstreetcn.com/articles/3713860" \h </w:instrText>
      </w:r>
      <w:r>
        <w:fldChar w:fldCharType="separate"/>
      </w:r>
      <w:r>
        <w:rPr>
          <w:rFonts w:ascii="inter" w:hAnsi="inter" w:eastAsia="inter" w:cs="inter"/>
          <w:color w:val="000000"/>
          <w:sz w:val="18"/>
          <w:u w:val="single"/>
        </w:rPr>
        <w:t>https://wallstreetcn.com/articles/3713860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AC4DC7">
      <w:pPr>
        <w:numPr>
          <w:ilvl w:val="0"/>
          <w:numId w:val="27"/>
        </w:numPr>
        <w:spacing w:after="210" w:line="360" w:lineRule="auto"/>
      </w:pPr>
      <w:bookmarkStart w:id="112" w:name="fn16"/>
      <w:bookmarkEnd w:id="112"/>
      <w:r>
        <w:fldChar w:fldCharType="begin"/>
      </w:r>
      <w:r>
        <w:instrText xml:space="preserve"> HYPERLINK "https://finance.sina.cn/fund/jjgdxw/2020-08-12/detail-iivhvpwy0505764.d.html?vt=4" \h </w:instrText>
      </w:r>
      <w:r>
        <w:fldChar w:fldCharType="separate"/>
      </w:r>
      <w:r>
        <w:rPr>
          <w:rFonts w:ascii="inter" w:hAnsi="inter" w:eastAsia="inter" w:cs="inter"/>
          <w:color w:val="000000"/>
          <w:sz w:val="18"/>
          <w:u w:val="single"/>
        </w:rPr>
        <w:t>https://finance.sina.cn/fund/jjgdxw/2020-08-12/detail-iivhvpwy0505764.d.html?vt=4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25F029">
      <w:pPr>
        <w:numPr>
          <w:ilvl w:val="0"/>
          <w:numId w:val="27"/>
        </w:numPr>
        <w:spacing w:after="210" w:line="360" w:lineRule="auto"/>
      </w:pPr>
      <w:bookmarkStart w:id="113" w:name="fn17"/>
      <w:bookmarkEnd w:id="113"/>
      <w:r>
        <w:fldChar w:fldCharType="begin"/>
      </w:r>
      <w:r>
        <w:instrText xml:space="preserve"> HYPERLINK "https://hk.investing.com/news/commodities-news/article-328927" \h </w:instrText>
      </w:r>
      <w:r>
        <w:fldChar w:fldCharType="separate"/>
      </w:r>
      <w:r>
        <w:rPr>
          <w:rFonts w:ascii="inter" w:hAnsi="inter" w:eastAsia="inter" w:cs="inter"/>
          <w:color w:val="000000"/>
          <w:sz w:val="18"/>
          <w:u w:val="single"/>
        </w:rPr>
        <w:t>https://hk.investing.com/news/commodities-news/article-328927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7C0E54">
      <w:pPr>
        <w:numPr>
          <w:ilvl w:val="0"/>
          <w:numId w:val="27"/>
        </w:numPr>
        <w:spacing w:after="210" w:line="360" w:lineRule="auto"/>
      </w:pPr>
      <w:bookmarkStart w:id="114" w:name="fn18"/>
      <w:bookmarkEnd w:id="114"/>
      <w:r>
        <w:fldChar w:fldCharType="begin"/>
      </w:r>
      <w:r>
        <w:instrText xml:space="preserve"> HYPERLINK "https://pdf.dfcfw.com/pdf/H3_AP202205061563850780_1.pdf" \h </w:instrText>
      </w:r>
      <w:r>
        <w:fldChar w:fldCharType="separate"/>
      </w:r>
      <w:r>
        <w:rPr>
          <w:rFonts w:ascii="inter" w:hAnsi="inter" w:eastAsia="inter" w:cs="inter"/>
          <w:color w:val="000000"/>
          <w:sz w:val="18"/>
          <w:u w:val="single"/>
        </w:rPr>
        <w:t>https://pdf.dfcfw.com/pdf/H3_AP202205061563850780_1.pdf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7EDD61">
      <w:pPr>
        <w:numPr>
          <w:ilvl w:val="0"/>
          <w:numId w:val="27"/>
        </w:numPr>
        <w:spacing w:after="210" w:line="360" w:lineRule="auto"/>
      </w:pPr>
      <w:bookmarkStart w:id="115" w:name="fn19"/>
      <w:bookmarkEnd w:id="115"/>
      <w:r>
        <w:fldChar w:fldCharType="begin"/>
      </w:r>
      <w:r>
        <w:instrText xml:space="preserve"> HYPERLINK "https://www.yicai.com/news/101625062.html" \h </w:instrText>
      </w:r>
      <w:r>
        <w:fldChar w:fldCharType="separate"/>
      </w:r>
      <w:r>
        <w:rPr>
          <w:rFonts w:ascii="inter" w:hAnsi="inter" w:eastAsia="inter" w:cs="inter"/>
          <w:color w:val="000000"/>
          <w:sz w:val="18"/>
          <w:u w:val="single"/>
        </w:rPr>
        <w:t>https://www.yicai.com/news/101625062.html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22C7491">
      <w:pPr>
        <w:numPr>
          <w:ilvl w:val="0"/>
          <w:numId w:val="27"/>
        </w:numPr>
        <w:spacing w:after="210" w:line="360" w:lineRule="auto"/>
      </w:pPr>
      <w:bookmarkStart w:id="116" w:name="fn20"/>
      <w:bookmarkEnd w:id="116"/>
      <w:r>
        <w:fldChar w:fldCharType="begin"/>
      </w:r>
      <w:r>
        <w:instrText xml:space="preserve"> HYPERLINK "http://k.sina.com.cn/article_7857201851_1d45362bb068019wey.html" \h </w:instrText>
      </w:r>
      <w:r>
        <w:fldChar w:fldCharType="separate"/>
      </w:r>
      <w:r>
        <w:rPr>
          <w:rFonts w:ascii="inter" w:hAnsi="inter" w:eastAsia="inter" w:cs="inter"/>
          <w:color w:val="000000"/>
          <w:sz w:val="18"/>
          <w:u w:val="single"/>
        </w:rPr>
        <w:t>http://k.sina.com.cn/article_7857201851_1d45362bb068019wey.html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792DC5">
      <w:pPr>
        <w:numPr>
          <w:ilvl w:val="0"/>
          <w:numId w:val="27"/>
        </w:numPr>
        <w:spacing w:after="210" w:line="360" w:lineRule="auto"/>
      </w:pPr>
      <w:bookmarkStart w:id="117" w:name="fn21"/>
      <w:bookmarkEnd w:id="117"/>
      <w:r>
        <w:fldChar w:fldCharType="begin"/>
      </w:r>
      <w:r>
        <w:instrText xml:space="preserve"> HYPERLINK "https://www.megabank.com.tw/-/media/mega/files/bankv2/personal/finance/financial-service/bulletin/weekly-journal/market-analysis/202512/20251229.pdf" \h </w:instrText>
      </w:r>
      <w:r>
        <w:fldChar w:fldCharType="separate"/>
      </w:r>
      <w:r>
        <w:rPr>
          <w:rFonts w:ascii="inter" w:hAnsi="inter" w:eastAsia="inter" w:cs="inter"/>
          <w:color w:val="000000"/>
          <w:sz w:val="18"/>
          <w:u w:val="single"/>
        </w:rPr>
        <w:t>https://www.megabank.com.tw/-/media/mega/files/bankv2/personal/finance/financial-service/bulletin/weekly-journal/market-analysis/202512/20251229.pdf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2197F6A">
      <w:pPr>
        <w:numPr>
          <w:ilvl w:val="0"/>
          <w:numId w:val="27"/>
        </w:numPr>
        <w:spacing w:after="210" w:line="360" w:lineRule="auto"/>
      </w:pPr>
      <w:bookmarkStart w:id="118" w:name="fn22"/>
      <w:bookmarkEnd w:id="118"/>
      <w:r>
        <w:fldChar w:fldCharType="begin"/>
      </w:r>
      <w:r>
        <w:instrText xml:space="preserve"> HYPERLINK "https://deriv.com/zh-cn/blog/posts/gold-price-fed-rate-cuts-momentum" \h </w:instrText>
      </w:r>
      <w:r>
        <w:fldChar w:fldCharType="separate"/>
      </w:r>
      <w:r>
        <w:rPr>
          <w:rFonts w:ascii="inter" w:hAnsi="inter" w:eastAsia="inter" w:cs="inter"/>
          <w:color w:val="000000"/>
          <w:sz w:val="18"/>
          <w:u w:val="single"/>
        </w:rPr>
        <w:t>https://deriv.com/zh-cn/blog/posts/gold-price-fed-rate-cuts-momentum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2624A93">
      <w:pPr>
        <w:numPr>
          <w:ilvl w:val="0"/>
          <w:numId w:val="27"/>
        </w:numPr>
        <w:spacing w:after="210" w:line="360" w:lineRule="auto"/>
      </w:pPr>
      <w:bookmarkStart w:id="119" w:name="fn23"/>
      <w:bookmarkEnd w:id="119"/>
      <w:r>
        <w:fldChar w:fldCharType="begin"/>
      </w:r>
      <w:r>
        <w:instrText xml:space="preserve"> HYPERLINK "https://www.mitrade.com/cn/insights/commodity-analysis/gold/20251125A01C" \h </w:instrText>
      </w:r>
      <w:r>
        <w:fldChar w:fldCharType="separate"/>
      </w:r>
      <w:r>
        <w:rPr>
          <w:rFonts w:ascii="inter" w:hAnsi="inter" w:eastAsia="inter" w:cs="inter"/>
          <w:color w:val="000000"/>
          <w:sz w:val="18"/>
          <w:u w:val="single"/>
        </w:rPr>
        <w:t>https://www.mitrade.com/cn/insights/commodity-analysis/gold/20251125A01C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0ADFB17">
      <w:pPr>
        <w:numPr>
          <w:ilvl w:val="0"/>
          <w:numId w:val="27"/>
        </w:numPr>
        <w:spacing w:after="210" w:line="360" w:lineRule="auto"/>
      </w:pPr>
      <w:bookmarkStart w:id="120" w:name="fn24"/>
      <w:bookmarkEnd w:id="120"/>
      <w:r>
        <w:fldChar w:fldCharType="begin"/>
      </w:r>
      <w:r>
        <w:instrText xml:space="preserve"> HYPERLINK "https://finance.sina.com.cn/money/nmetal/hjfx/2026-01-14/doc-inhhhnwt4013935.shtml" \h </w:instrText>
      </w:r>
      <w:r>
        <w:fldChar w:fldCharType="separate"/>
      </w:r>
      <w:r>
        <w:rPr>
          <w:rFonts w:ascii="inter" w:hAnsi="inter" w:eastAsia="inter" w:cs="inter"/>
          <w:color w:val="000000"/>
          <w:sz w:val="18"/>
          <w:u w:val="single"/>
        </w:rPr>
        <w:t>https://finance.sina.com.cn/money/nmetal/hjfx/2026-01-14/doc-inhhhnwt4013935.shtml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6B94DE0">
      <w:pPr>
        <w:numPr>
          <w:ilvl w:val="0"/>
          <w:numId w:val="27"/>
        </w:numPr>
        <w:spacing w:after="210" w:line="360" w:lineRule="auto"/>
      </w:pPr>
      <w:bookmarkStart w:id="121" w:name="fn25"/>
      <w:bookmarkEnd w:id="121"/>
      <w:r>
        <w:fldChar w:fldCharType="begin"/>
      </w:r>
      <w:r>
        <w:instrText xml:space="preserve"> HYPERLINK "https://m.fastbull.com/cn/news-detail/4365936_1" \h </w:instrText>
      </w:r>
      <w:r>
        <w:fldChar w:fldCharType="separate"/>
      </w:r>
      <w:r>
        <w:rPr>
          <w:rFonts w:ascii="inter" w:hAnsi="inter" w:eastAsia="inter" w:cs="inter"/>
          <w:color w:val="000000"/>
          <w:sz w:val="18"/>
          <w:u w:val="single"/>
        </w:rPr>
        <w:t>https://m.fastbull.com/cn/news-detail/4365936_1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453073">
      <w:pPr>
        <w:numPr>
          <w:ilvl w:val="0"/>
          <w:numId w:val="27"/>
        </w:numPr>
        <w:spacing w:after="210" w:line="360" w:lineRule="auto"/>
      </w:pPr>
      <w:bookmarkStart w:id="122" w:name="fn26"/>
      <w:bookmarkEnd w:id="122"/>
      <w:r>
        <w:fldChar w:fldCharType="begin"/>
      </w:r>
      <w:r>
        <w:instrText xml:space="preserve"> HYPERLINK "https://finance.eastmoney.com/a/202601133617392150.html" \h </w:instrText>
      </w:r>
      <w:r>
        <w:fldChar w:fldCharType="separate"/>
      </w:r>
      <w:r>
        <w:rPr>
          <w:rFonts w:ascii="inter" w:hAnsi="inter" w:eastAsia="inter" w:cs="inter"/>
          <w:color w:val="000000"/>
          <w:sz w:val="18"/>
          <w:u w:val="single"/>
        </w:rPr>
        <w:t>https://finance.eastmoney.com/a/202601133617392150.html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FBE23E">
      <w:pPr>
        <w:numPr>
          <w:ilvl w:val="0"/>
          <w:numId w:val="27"/>
        </w:numPr>
        <w:spacing w:after="210" w:line="360" w:lineRule="auto"/>
      </w:pPr>
      <w:bookmarkStart w:id="123" w:name="fn27"/>
      <w:bookmarkEnd w:id="123"/>
      <w:r>
        <w:fldChar w:fldCharType="begin"/>
      </w:r>
      <w:r>
        <w:instrText xml:space="preserve"> HYPERLINK "https://www.youtube.com/watch?v=Smi2ot04iXE" \h </w:instrText>
      </w:r>
      <w:r>
        <w:fldChar w:fldCharType="separate"/>
      </w:r>
      <w:r>
        <w:rPr>
          <w:rFonts w:ascii="inter" w:hAnsi="inter" w:eastAsia="inter" w:cs="inter"/>
          <w:color w:val="000000"/>
          <w:sz w:val="18"/>
          <w:u w:val="single"/>
        </w:rPr>
        <w:t>https://www.youtube.com/watch?v=Smi2ot04iXE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E12032">
      <w:pPr>
        <w:numPr>
          <w:ilvl w:val="0"/>
          <w:numId w:val="27"/>
        </w:numPr>
        <w:spacing w:after="210" w:line="360" w:lineRule="auto"/>
      </w:pPr>
      <w:bookmarkStart w:id="124" w:name="fn28"/>
      <w:bookmarkEnd w:id="124"/>
      <w:r>
        <w:fldChar w:fldCharType="begin"/>
      </w:r>
      <w:r>
        <w:instrText xml:space="preserve"> HYPERLINK "https://cn.investing.com/news/stock-market-news/article-3159851" \h </w:instrText>
      </w:r>
      <w:r>
        <w:fldChar w:fldCharType="separate"/>
      </w:r>
      <w:r>
        <w:rPr>
          <w:rFonts w:ascii="inter" w:hAnsi="inter" w:eastAsia="inter" w:cs="inter"/>
          <w:color w:val="000000"/>
          <w:sz w:val="18"/>
          <w:u w:val="single"/>
        </w:rPr>
        <w:t>https://cn.investing.com/news/stock-market-news/article-3159851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E9B04A">
      <w:pPr>
        <w:numPr>
          <w:ilvl w:val="0"/>
          <w:numId w:val="27"/>
        </w:numPr>
        <w:spacing w:after="210" w:line="360" w:lineRule="auto"/>
      </w:pPr>
      <w:bookmarkStart w:id="125" w:name="fn29"/>
      <w:bookmarkEnd w:id="125"/>
      <w:r>
        <w:fldChar w:fldCharType="begin"/>
      </w:r>
      <w:r>
        <w:instrText xml:space="preserve"> HYPERLINK "https://sc.macromicro.me/charts/712/spdr-gold-trust-etf-gold-price" \h </w:instrText>
      </w:r>
      <w:r>
        <w:fldChar w:fldCharType="separate"/>
      </w:r>
      <w:r>
        <w:rPr>
          <w:rFonts w:ascii="inter" w:hAnsi="inter" w:eastAsia="inter" w:cs="inter"/>
          <w:color w:val="000000"/>
          <w:sz w:val="18"/>
          <w:u w:val="single"/>
        </w:rPr>
        <w:t>https://sc.macromicro.me/charts/712/spdr-gold-trust-etf-gold-price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FC1337">
      <w:pPr>
        <w:numPr>
          <w:ilvl w:val="0"/>
          <w:numId w:val="27"/>
        </w:numPr>
        <w:spacing w:after="210" w:line="360" w:lineRule="auto"/>
      </w:pPr>
      <w:bookmarkStart w:id="126" w:name="fn30"/>
      <w:bookmarkEnd w:id="126"/>
      <w:r>
        <w:fldChar w:fldCharType="begin"/>
      </w:r>
      <w:r>
        <w:instrText xml:space="preserve"> HYPERLINK "https://quotes.sina.cn/ft/hq/etf.html" \h </w:instrText>
      </w:r>
      <w:r>
        <w:fldChar w:fldCharType="separate"/>
      </w:r>
      <w:r>
        <w:rPr>
          <w:rFonts w:ascii="inter" w:hAnsi="inter" w:eastAsia="inter" w:cs="inter"/>
          <w:color w:val="000000"/>
          <w:sz w:val="18"/>
          <w:u w:val="single"/>
        </w:rPr>
        <w:t>https://quotes.sina.cn/ft/hq/etf.html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3749A5">
      <w:pPr>
        <w:numPr>
          <w:ilvl w:val="0"/>
          <w:numId w:val="27"/>
        </w:numPr>
        <w:spacing w:after="210" w:line="360" w:lineRule="auto"/>
      </w:pPr>
      <w:bookmarkStart w:id="127" w:name="fn31"/>
      <w:bookmarkEnd w:id="127"/>
      <w:r>
        <w:fldChar w:fldCharType="begin"/>
      </w:r>
      <w:r>
        <w:instrText xml:space="preserve"> HYPERLINK "https://finance.caixin.com/2020-08-06/101589299.html" \h </w:instrText>
      </w:r>
      <w:r>
        <w:fldChar w:fldCharType="separate"/>
      </w:r>
      <w:r>
        <w:rPr>
          <w:rFonts w:ascii="inter" w:hAnsi="inter" w:eastAsia="inter" w:cs="inter"/>
          <w:color w:val="000000"/>
          <w:sz w:val="18"/>
          <w:u w:val="single"/>
        </w:rPr>
        <w:t>https://finance.caixin.com/2020-08-06/101589299.html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AABEE8">
      <w:pPr>
        <w:numPr>
          <w:ilvl w:val="0"/>
          <w:numId w:val="27"/>
        </w:numPr>
        <w:spacing w:after="210" w:line="360" w:lineRule="auto"/>
      </w:pPr>
      <w:bookmarkStart w:id="128" w:name="fn32"/>
      <w:bookmarkEnd w:id="128"/>
      <w:r>
        <w:fldChar w:fldCharType="begin"/>
      </w:r>
      <w:r>
        <w:instrText xml:space="preserve"> HYPERLINK "https://www.fx168news.com/article/%E9%BB%84%E9%87%91%E6%8A%80%E6%9C%AF%E5%88%86%E6%9E%90-985795" \h </w:instrText>
      </w:r>
      <w:r>
        <w:fldChar w:fldCharType="separate"/>
      </w:r>
      <w:r>
        <w:rPr>
          <w:rFonts w:ascii="inter" w:hAnsi="inter" w:eastAsia="inter" w:cs="inter"/>
          <w:color w:val="000000"/>
          <w:sz w:val="18"/>
          <w:u w:val="single"/>
        </w:rPr>
        <w:t>https://www.fx168news.com/article/黄金技术分析-985795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168157">
      <w:pPr>
        <w:numPr>
          <w:ilvl w:val="0"/>
          <w:numId w:val="27"/>
        </w:numPr>
        <w:spacing w:after="210" w:line="360" w:lineRule="auto"/>
      </w:pPr>
      <w:bookmarkStart w:id="129" w:name="fn33"/>
      <w:bookmarkEnd w:id="129"/>
      <w:r>
        <w:fldChar w:fldCharType="begin"/>
      </w:r>
      <w:r>
        <w:instrText xml:space="preserve"> HYPERLINK "https://www.behance.net/search/projects/Cholame%20Finance%20Academy%20B1%20Reviews" \h </w:instrText>
      </w:r>
      <w:r>
        <w:fldChar w:fldCharType="separate"/>
      </w:r>
      <w:r>
        <w:rPr>
          <w:rFonts w:ascii="inter" w:hAnsi="inter" w:eastAsia="inter" w:cs="inter"/>
          <w:color w:val="000000"/>
          <w:sz w:val="18"/>
          <w:u w:val="single"/>
        </w:rPr>
        <w:t>https://www.behance.net/search/projects/Cholame Finance Academy B1 Reviews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C95B695">
      <w:pPr>
        <w:numPr>
          <w:ilvl w:val="0"/>
          <w:numId w:val="27"/>
        </w:numPr>
        <w:spacing w:after="210" w:line="360" w:lineRule="auto"/>
      </w:pPr>
      <w:bookmarkStart w:id="130" w:name="fn34"/>
      <w:bookmarkEnd w:id="130"/>
      <w:r>
        <w:fldChar w:fldCharType="begin"/>
      </w:r>
      <w:r>
        <w:instrText xml:space="preserve"> HYPERLINK "https://finance.sina.com.cn/money/nmetal/hjfx/2024-08-27/doc-incmaiqf7255376.shtml" \h </w:instrText>
      </w:r>
      <w:r>
        <w:fldChar w:fldCharType="separate"/>
      </w:r>
      <w:r>
        <w:rPr>
          <w:rFonts w:ascii="inter" w:hAnsi="inter" w:eastAsia="inter" w:cs="inter"/>
          <w:color w:val="000000"/>
          <w:sz w:val="18"/>
          <w:u w:val="single"/>
        </w:rPr>
        <w:t>https://finance.sina.com.cn/money/nmetal/hjfx/2024-08-27/doc-incmaiqf7255376.shtml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8D7E49">
      <w:pPr>
        <w:numPr>
          <w:ilvl w:val="0"/>
          <w:numId w:val="27"/>
        </w:numPr>
        <w:spacing w:after="210" w:line="360" w:lineRule="auto"/>
      </w:pPr>
      <w:bookmarkStart w:id="131" w:name="fn35"/>
      <w:bookmarkEnd w:id="131"/>
      <w:r>
        <w:fldChar w:fldCharType="begin"/>
      </w:r>
      <w:r>
        <w:instrText xml:space="preserve"> HYPERLINK "http://www.wzg.com/review/1447.html" \h </w:instrText>
      </w:r>
      <w:r>
        <w:fldChar w:fldCharType="separate"/>
      </w:r>
      <w:r>
        <w:rPr>
          <w:rFonts w:ascii="inter" w:hAnsi="inter" w:eastAsia="inter" w:cs="inter"/>
          <w:color w:val="000000"/>
          <w:sz w:val="18"/>
          <w:u w:val="single"/>
        </w:rPr>
        <w:t>http://www.wzg.com/review/1447.html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D9216C">
      <w:pPr>
        <w:numPr>
          <w:ilvl w:val="0"/>
          <w:numId w:val="27"/>
        </w:numPr>
        <w:spacing w:after="210" w:line="360" w:lineRule="auto"/>
      </w:pPr>
      <w:bookmarkStart w:id="132" w:name="fn36"/>
      <w:bookmarkEnd w:id="132"/>
      <w:r>
        <w:fldChar w:fldCharType="begin"/>
      </w:r>
      <w:r>
        <w:instrText xml:space="preserve"> HYPERLINK "https://www.ebc.com/zh-cn/jinrong/281274.html" \h </w:instrText>
      </w:r>
      <w:r>
        <w:fldChar w:fldCharType="separate"/>
      </w:r>
      <w:r>
        <w:rPr>
          <w:rFonts w:ascii="inter" w:hAnsi="inter" w:eastAsia="inter" w:cs="inter"/>
          <w:color w:val="000000"/>
          <w:sz w:val="18"/>
          <w:u w:val="single"/>
        </w:rPr>
        <w:t>https://www.ebc.com/zh-cn/jinrong/281274.html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650A9A">
      <w:pPr>
        <w:numPr>
          <w:ilvl w:val="0"/>
          <w:numId w:val="27"/>
        </w:numPr>
        <w:spacing w:after="210" w:line="360" w:lineRule="auto"/>
      </w:pPr>
      <w:bookmarkStart w:id="133" w:name="fn37"/>
      <w:bookmarkEnd w:id="133"/>
      <w:r>
        <w:fldChar w:fldCharType="begin"/>
      </w:r>
      <w:r>
        <w:instrText xml:space="preserve"> HYPERLINK "https://cn.investing.com/commodities/gold-historical-data" \h </w:instrText>
      </w:r>
      <w:r>
        <w:fldChar w:fldCharType="separate"/>
      </w:r>
      <w:r>
        <w:rPr>
          <w:rFonts w:ascii="inter" w:hAnsi="inter" w:eastAsia="inter" w:cs="inter"/>
          <w:color w:val="000000"/>
          <w:sz w:val="18"/>
          <w:u w:val="single"/>
        </w:rPr>
        <w:t>https://cn.investing.com/commodities/gold-historical-data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C153A76">
      <w:pPr>
        <w:numPr>
          <w:ilvl w:val="0"/>
          <w:numId w:val="27"/>
        </w:numPr>
        <w:spacing w:after="210" w:line="360" w:lineRule="auto"/>
      </w:pPr>
      <w:bookmarkStart w:id="134" w:name="fn38"/>
      <w:bookmarkEnd w:id="134"/>
      <w:r>
        <w:fldChar w:fldCharType="begin"/>
      </w:r>
      <w:r>
        <w:instrText xml:space="preserve"> HYPERLINK "https://www.news.cn/world/20260113/9da09b7600474ebf941c38e3cc0f79e8/c.html" \h </w:instrText>
      </w:r>
      <w:r>
        <w:fldChar w:fldCharType="separate"/>
      </w:r>
      <w:r>
        <w:rPr>
          <w:rFonts w:ascii="inter" w:hAnsi="inter" w:eastAsia="inter" w:cs="inter"/>
          <w:color w:val="000000"/>
          <w:sz w:val="18"/>
          <w:u w:val="single"/>
        </w:rPr>
        <w:t>https://www.news.cn/world/20260113/9da09b7600474ebf941c38e3cc0f79e8/c.html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21376F9">
      <w:pPr>
        <w:numPr>
          <w:ilvl w:val="0"/>
          <w:numId w:val="27"/>
        </w:numPr>
        <w:spacing w:after="210" w:line="360" w:lineRule="auto"/>
      </w:pPr>
      <w:bookmarkStart w:id="135" w:name="fn39"/>
      <w:bookmarkEnd w:id="135"/>
      <w:r>
        <w:fldChar w:fldCharType="begin"/>
      </w:r>
      <w:r>
        <w:instrText xml:space="preserve"> HYPERLINK "http://gold.cnfol.com/datacenter/etfgold/" \h </w:instrText>
      </w:r>
      <w:r>
        <w:fldChar w:fldCharType="separate"/>
      </w:r>
      <w:r>
        <w:rPr>
          <w:rFonts w:ascii="inter" w:hAnsi="inter" w:eastAsia="inter" w:cs="inter"/>
          <w:color w:val="000000"/>
          <w:sz w:val="18"/>
          <w:u w:val="single"/>
        </w:rPr>
        <w:t>http://gold.cnfol.com/datacenter/etfgold/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B31D5F">
      <w:pPr>
        <w:numPr>
          <w:ilvl w:val="0"/>
          <w:numId w:val="27"/>
        </w:numPr>
        <w:spacing w:after="210" w:line="360" w:lineRule="auto"/>
      </w:pPr>
      <w:bookmarkStart w:id="136" w:name="fn40"/>
      <w:bookmarkEnd w:id="136"/>
      <w:r>
        <w:fldChar w:fldCharType="begin"/>
      </w:r>
      <w:r>
        <w:instrText xml:space="preserve"> HYPERLINK "https://www.stcn.com/article/detail/3326402.html" \h </w:instrText>
      </w:r>
      <w:r>
        <w:fldChar w:fldCharType="separate"/>
      </w:r>
      <w:r>
        <w:rPr>
          <w:rFonts w:ascii="inter" w:hAnsi="inter" w:eastAsia="inter" w:cs="inter"/>
          <w:color w:val="000000"/>
          <w:sz w:val="18"/>
          <w:u w:val="single"/>
        </w:rPr>
        <w:t>https://www.stcn.com/article/detail/3326402.html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AFE673">
      <w:pPr>
        <w:numPr>
          <w:ilvl w:val="0"/>
          <w:numId w:val="27"/>
        </w:numPr>
        <w:spacing w:after="210" w:line="360" w:lineRule="auto"/>
      </w:pPr>
      <w:bookmarkStart w:id="137" w:name="fn41"/>
      <w:bookmarkEnd w:id="137"/>
      <w:r>
        <w:fldChar w:fldCharType="begin"/>
      </w:r>
      <w:r>
        <w:instrText xml:space="preserve"> HYPERLINK "https://china.gold.org/goldhub/data/gold-etfs-holdings-and-flows" \h </w:instrText>
      </w:r>
      <w:r>
        <w:fldChar w:fldCharType="separate"/>
      </w:r>
      <w:r>
        <w:rPr>
          <w:rFonts w:ascii="inter" w:hAnsi="inter" w:eastAsia="inter" w:cs="inter"/>
          <w:color w:val="000000"/>
          <w:sz w:val="18"/>
          <w:u w:val="single"/>
        </w:rPr>
        <w:t>https://china.gold.org/goldhub/data/gold-etfs-holdings-and-flows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02DFC4A">
      <w:pPr>
        <w:numPr>
          <w:ilvl w:val="0"/>
          <w:numId w:val="27"/>
        </w:numPr>
        <w:spacing w:after="210" w:line="360" w:lineRule="auto"/>
      </w:pPr>
      <w:bookmarkStart w:id="138" w:name="fn42"/>
      <w:bookmarkEnd w:id="138"/>
      <w:r>
        <w:fldChar w:fldCharType="begin"/>
      </w:r>
      <w:r>
        <w:instrText xml:space="preserve"> HYPERLINK "https://m.cngold.org/quote/gjs/hjfx_jjfx.html" \h </w:instrText>
      </w:r>
      <w:r>
        <w:fldChar w:fldCharType="separate"/>
      </w:r>
      <w:r>
        <w:rPr>
          <w:rFonts w:ascii="inter" w:hAnsi="inter" w:eastAsia="inter" w:cs="inter"/>
          <w:color w:val="000000"/>
          <w:sz w:val="18"/>
          <w:u w:val="single"/>
        </w:rPr>
        <w:t>https://m.cngold.org/quote/gjs/hjfx_jjfx.html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CD3835">
      <w:pPr>
        <w:numPr>
          <w:ilvl w:val="0"/>
          <w:numId w:val="27"/>
        </w:numPr>
        <w:spacing w:after="210" w:line="360" w:lineRule="auto"/>
      </w:pPr>
      <w:bookmarkStart w:id="139" w:name="fn43"/>
      <w:bookmarkEnd w:id="139"/>
      <w:r>
        <w:fldChar w:fldCharType="begin"/>
      </w:r>
      <w:r>
        <w:instrText xml:space="preserve"> HYPERLINK "https://finance.sina.com.cn/roll/2025-09-18/doc-infqxmri8775975.shtml" \h </w:instrText>
      </w:r>
      <w:r>
        <w:fldChar w:fldCharType="separate"/>
      </w:r>
      <w:r>
        <w:rPr>
          <w:rFonts w:ascii="inter" w:hAnsi="inter" w:eastAsia="inter" w:cs="inter"/>
          <w:color w:val="000000"/>
          <w:sz w:val="18"/>
          <w:u w:val="single"/>
        </w:rPr>
        <w:t>https://finance.sina.com.cn/roll/2025-09-18/doc-infqxmri8775975.shtml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91005E">
      <w:pPr>
        <w:numPr>
          <w:ilvl w:val="0"/>
          <w:numId w:val="27"/>
        </w:numPr>
        <w:spacing w:after="210" w:line="360" w:lineRule="auto"/>
      </w:pPr>
      <w:bookmarkStart w:id="140" w:name="fn44"/>
      <w:bookmarkEnd w:id="140"/>
      <w:r>
        <w:fldChar w:fldCharType="begin"/>
      </w:r>
      <w:r>
        <w:instrText xml:space="preserve"> HYPERLINK "https://china.gold.org/goldhub/data/gold-prices" \h </w:instrText>
      </w:r>
      <w:r>
        <w:fldChar w:fldCharType="separate"/>
      </w:r>
      <w:r>
        <w:rPr>
          <w:rFonts w:ascii="inter" w:hAnsi="inter" w:eastAsia="inter" w:cs="inter"/>
          <w:color w:val="000000"/>
          <w:sz w:val="18"/>
          <w:u w:val="single"/>
        </w:rPr>
        <w:t>https://china.gold.org/goldhub/data/gold-prices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41ACAF3">
      <w:pPr>
        <w:numPr>
          <w:ilvl w:val="0"/>
          <w:numId w:val="27"/>
        </w:numPr>
        <w:spacing w:after="210" w:line="360" w:lineRule="auto"/>
      </w:pPr>
      <w:bookmarkStart w:id="141" w:name="fn45"/>
      <w:bookmarkEnd w:id="141"/>
      <w:r>
        <w:fldChar w:fldCharType="begin"/>
      </w:r>
      <w:r>
        <w:instrText xml:space="preserve"> HYPERLINK "http://www.cb.com.cn/index/show/zj/cv/cv135335571267" \h </w:instrText>
      </w:r>
      <w:r>
        <w:fldChar w:fldCharType="separate"/>
      </w:r>
      <w:r>
        <w:rPr>
          <w:rFonts w:ascii="inter" w:hAnsi="inter" w:eastAsia="inter" w:cs="inter"/>
          <w:color w:val="000000"/>
          <w:sz w:val="18"/>
          <w:u w:val="single"/>
        </w:rPr>
        <w:t>http://www.cb.com.cn/index/show/zj/cv/cv135335571267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A4957B">
      <w:pPr>
        <w:numPr>
          <w:ilvl w:val="0"/>
          <w:numId w:val="27"/>
        </w:numPr>
        <w:spacing w:after="210" w:line="360" w:lineRule="auto"/>
      </w:pPr>
      <w:bookmarkStart w:id="142" w:name="fn46"/>
      <w:bookmarkEnd w:id="142"/>
      <w:r>
        <w:fldChar w:fldCharType="begin"/>
      </w:r>
      <w:r>
        <w:instrText xml:space="preserve"> HYPERLINK "http://msn.finance.sina.com.cn/gp/20120224/1427718391.html" \h </w:instrText>
      </w:r>
      <w:r>
        <w:fldChar w:fldCharType="separate"/>
      </w:r>
      <w:r>
        <w:rPr>
          <w:rFonts w:ascii="inter" w:hAnsi="inter" w:eastAsia="inter" w:cs="inter"/>
          <w:color w:val="000000"/>
          <w:sz w:val="18"/>
          <w:u w:val="single"/>
        </w:rPr>
        <w:t>http://msn.finance.sina.com.cn/gp/20120224/1427718391.html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1967DFE">
      <w:pPr>
        <w:numPr>
          <w:ilvl w:val="0"/>
          <w:numId w:val="27"/>
        </w:numPr>
        <w:spacing w:after="210" w:line="360" w:lineRule="auto"/>
      </w:pPr>
      <w:bookmarkStart w:id="143" w:name="fn47"/>
      <w:bookmarkEnd w:id="143"/>
      <w:r>
        <w:fldChar w:fldCharType="begin"/>
      </w:r>
      <w:r>
        <w:instrText xml:space="preserve"> HYPERLINK "https://www.yicai.com/news/101126216.html" \h </w:instrText>
      </w:r>
      <w:r>
        <w:fldChar w:fldCharType="separate"/>
      </w:r>
      <w:r>
        <w:rPr>
          <w:rFonts w:ascii="inter" w:hAnsi="inter" w:eastAsia="inter" w:cs="inter"/>
          <w:color w:val="000000"/>
          <w:sz w:val="18"/>
          <w:u w:val="single"/>
        </w:rPr>
        <w:t>https://www.yicai.com/news/101126216.html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100A3B">
      <w:pPr>
        <w:numPr>
          <w:ilvl w:val="0"/>
          <w:numId w:val="27"/>
        </w:numPr>
        <w:spacing w:after="210" w:line="360" w:lineRule="auto"/>
      </w:pPr>
      <w:bookmarkStart w:id="144" w:name="fn48"/>
      <w:bookmarkEnd w:id="144"/>
      <w:r>
        <w:fldChar w:fldCharType="begin"/>
      </w:r>
      <w:r>
        <w:instrText xml:space="preserve"> HYPERLINK "https://finance.sina.com.cn/money/nmetal/hjzx/2018-12-20/doc-ihmutuee1154209.shtml" \h </w:instrText>
      </w:r>
      <w:r>
        <w:fldChar w:fldCharType="separate"/>
      </w:r>
      <w:r>
        <w:rPr>
          <w:rFonts w:ascii="inter" w:hAnsi="inter" w:eastAsia="inter" w:cs="inter"/>
          <w:color w:val="000000"/>
          <w:sz w:val="18"/>
          <w:u w:val="single"/>
        </w:rPr>
        <w:t>https://finance.sina.com.cn/money/nmetal/hjzx/2018-12-20/doc-ihmutuee1154209.shtml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A982C0">
      <w:pPr>
        <w:numPr>
          <w:ilvl w:val="0"/>
          <w:numId w:val="27"/>
        </w:numPr>
        <w:spacing w:after="210" w:line="360" w:lineRule="auto"/>
      </w:pPr>
      <w:bookmarkStart w:id="145" w:name="fn49"/>
      <w:bookmarkEnd w:id="145"/>
      <w:r>
        <w:fldChar w:fldCharType="begin"/>
      </w:r>
      <w:r>
        <w:instrText xml:space="preserve"> HYPERLINK "http://gold.cnfol.com/jinshizhibo/20211005/29178819.shtml" \h </w:instrText>
      </w:r>
      <w:r>
        <w:fldChar w:fldCharType="separate"/>
      </w:r>
      <w:r>
        <w:rPr>
          <w:rFonts w:ascii="inter" w:hAnsi="inter" w:eastAsia="inter" w:cs="inter"/>
          <w:color w:val="000000"/>
          <w:sz w:val="18"/>
          <w:u w:val="single"/>
        </w:rPr>
        <w:t>http://gold.cnfol.com/jinshizhibo/20211005/29178819.shtml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7A4E1A">
      <w:pPr>
        <w:numPr>
          <w:ilvl w:val="0"/>
          <w:numId w:val="27"/>
        </w:numPr>
        <w:spacing w:after="210" w:line="360" w:lineRule="auto"/>
      </w:pPr>
      <w:bookmarkStart w:id="146" w:name="fn50"/>
      <w:bookmarkEnd w:id="146"/>
      <w:r>
        <w:fldChar w:fldCharType="begin"/>
      </w:r>
      <w:r>
        <w:instrText xml:space="preserve"> HYPERLINK "http://jjckb.xinhuanet.com/invest/2011-07/11/content_320792.htm" \h </w:instrText>
      </w:r>
      <w:r>
        <w:fldChar w:fldCharType="separate"/>
      </w:r>
      <w:r>
        <w:rPr>
          <w:rFonts w:ascii="inter" w:hAnsi="inter" w:eastAsia="inter" w:cs="inter"/>
          <w:color w:val="000000"/>
          <w:sz w:val="18"/>
          <w:u w:val="single"/>
        </w:rPr>
        <w:t>http://jjckb.xinhuanet.com/invest/2011-07/11/content_320792.htm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4792BF">
      <w:pPr>
        <w:numPr>
          <w:ilvl w:val="0"/>
          <w:numId w:val="27"/>
        </w:numPr>
        <w:spacing w:after="210" w:line="360" w:lineRule="auto"/>
      </w:pPr>
      <w:bookmarkStart w:id="147" w:name="fn51"/>
      <w:bookmarkEnd w:id="147"/>
      <w:r>
        <w:fldChar w:fldCharType="begin"/>
      </w:r>
      <w:r>
        <w:instrText xml:space="preserve"> HYPERLINK "https://huggingface.co/IDEA-CCNL/Erlangshen-ZEN2-668M-Chinese/resolve/main/ngram.txt?download=true" \h </w:instrText>
      </w:r>
      <w:r>
        <w:fldChar w:fldCharType="separate"/>
      </w:r>
      <w:r>
        <w:rPr>
          <w:rFonts w:ascii="inter" w:hAnsi="inter" w:eastAsia="inter" w:cs="inter"/>
          <w:color w:val="000000"/>
          <w:sz w:val="18"/>
          <w:u w:val="single"/>
        </w:rPr>
        <w:t>https://huggingface.co/IDEA-CCNL/Erlangshen-ZEN2-668M-Chinese/resolve/main/ngram.txt?download=true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1E39B4">
      <w:pPr>
        <w:numPr>
          <w:ilvl w:val="0"/>
          <w:numId w:val="27"/>
        </w:numPr>
        <w:spacing w:after="210" w:line="360" w:lineRule="auto"/>
      </w:pPr>
      <w:bookmarkStart w:id="148" w:name="fn52"/>
      <w:bookmarkEnd w:id="148"/>
      <w:r>
        <w:fldChar w:fldCharType="begin"/>
      </w:r>
      <w:r>
        <w:instrText xml:space="preserve"> HYPERLINK "https://www.spdrgoldshares.com/media/GLD/file/hong_kong/Chinas-gold-market-progress-and-prospects-SCH.pdf" \h </w:instrText>
      </w:r>
      <w:r>
        <w:fldChar w:fldCharType="separate"/>
      </w:r>
      <w:r>
        <w:rPr>
          <w:rFonts w:ascii="inter" w:hAnsi="inter" w:eastAsia="inter" w:cs="inter"/>
          <w:color w:val="000000"/>
          <w:sz w:val="18"/>
          <w:u w:val="single"/>
        </w:rPr>
        <w:t>https://www.spdrgoldshares.com/media/GLD/file/hong_kong/Chinas-gold-market-progress-and-prospects-SCH.pdf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8C57781">
      <w:pPr>
        <w:numPr>
          <w:ilvl w:val="0"/>
          <w:numId w:val="27"/>
        </w:numPr>
        <w:spacing w:after="210" w:line="360" w:lineRule="auto"/>
      </w:pPr>
      <w:bookmarkStart w:id="149" w:name="fn53"/>
      <w:bookmarkEnd w:id="149"/>
      <w:r>
        <w:fldChar w:fldCharType="begin"/>
      </w:r>
      <w:r>
        <w:instrText xml:space="preserve"> HYPERLINK "https://zenodo.org/records/6482711/files/___dict_generic_0522-end.txt" \h </w:instrText>
      </w:r>
      <w:r>
        <w:fldChar w:fldCharType="separate"/>
      </w:r>
      <w:r>
        <w:rPr>
          <w:rFonts w:ascii="inter" w:hAnsi="inter" w:eastAsia="inter" w:cs="inter"/>
          <w:color w:val="000000"/>
          <w:sz w:val="18"/>
          <w:u w:val="single"/>
        </w:rPr>
        <w:t>https://zenodo.org/records/6482711/files/___dict_generic_0522-end.txt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E620477">
      <w:pPr>
        <w:numPr>
          <w:ilvl w:val="0"/>
          <w:numId w:val="27"/>
        </w:numPr>
        <w:spacing w:after="210" w:line="360" w:lineRule="auto"/>
      </w:pPr>
      <w:bookmarkStart w:id="150" w:name="fn54"/>
      <w:bookmarkEnd w:id="150"/>
      <w:r>
        <w:fldChar w:fldCharType="begin"/>
      </w:r>
      <w:r>
        <w:instrText xml:space="preserve"> HYPERLINK "https://www.yiyanjun.com/5403.html" \h </w:instrText>
      </w:r>
      <w:r>
        <w:fldChar w:fldCharType="separate"/>
      </w:r>
      <w:r>
        <w:rPr>
          <w:rFonts w:ascii="inter" w:hAnsi="inter" w:eastAsia="inter" w:cs="inter"/>
          <w:color w:val="000000"/>
          <w:sz w:val="18"/>
          <w:u w:val="single"/>
        </w:rPr>
        <w:t>https://www.yiyanjun.com/5403.html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D87140">
      <w:pPr>
        <w:numPr>
          <w:ilvl w:val="0"/>
          <w:numId w:val="27"/>
        </w:numPr>
        <w:spacing w:after="210" w:line="360" w:lineRule="auto"/>
      </w:pPr>
      <w:bookmarkStart w:id="151" w:name="fn55"/>
      <w:bookmarkEnd w:id="151"/>
      <w:r>
        <w:fldChar w:fldCharType="begin"/>
      </w:r>
      <w:r>
        <w:instrText xml:space="preserve"> HYPERLINK "https://www.scribd.com/document/793215656/Usual-Test" \h </w:instrText>
      </w:r>
      <w:r>
        <w:fldChar w:fldCharType="separate"/>
      </w:r>
      <w:r>
        <w:rPr>
          <w:rFonts w:ascii="inter" w:hAnsi="inter" w:eastAsia="inter" w:cs="inter"/>
          <w:color w:val="000000"/>
          <w:sz w:val="18"/>
          <w:u w:val="single"/>
        </w:rPr>
        <w:t>https://www.scribd.com/document/793215656/Usual-Test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6BD18B">
      <w:pPr>
        <w:numPr>
          <w:ilvl w:val="0"/>
          <w:numId w:val="27"/>
        </w:numPr>
        <w:spacing w:after="210" w:line="360" w:lineRule="auto"/>
      </w:pPr>
      <w:bookmarkStart w:id="152" w:name="fn56"/>
      <w:bookmarkEnd w:id="152"/>
      <w:r>
        <w:fldChar w:fldCharType="begin"/>
      </w:r>
      <w:r>
        <w:instrText xml:space="preserve"> HYPERLINK "https://www.shenjige.cn/details/6LK-4IL-t.html" \h </w:instrText>
      </w:r>
      <w:r>
        <w:fldChar w:fldCharType="separate"/>
      </w:r>
      <w:r>
        <w:rPr>
          <w:rFonts w:ascii="inter" w:hAnsi="inter" w:eastAsia="inter" w:cs="inter"/>
          <w:color w:val="000000"/>
          <w:sz w:val="18"/>
          <w:u w:val="single"/>
        </w:rPr>
        <w:t>https://www.shenjige.cn/details/6LK-4IL-t.html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241AEA">
      <w:pPr>
        <w:numPr>
          <w:ilvl w:val="0"/>
          <w:numId w:val="27"/>
        </w:numPr>
        <w:spacing w:after="210" w:line="360" w:lineRule="auto"/>
      </w:pPr>
      <w:bookmarkStart w:id="153" w:name="fn57"/>
      <w:bookmarkEnd w:id="153"/>
      <w:r>
        <w:fldChar w:fldCharType="begin"/>
      </w:r>
      <w:r>
        <w:instrText xml:space="preserve"> HYPERLINK "https://news.caijingmobile.com/article/detail/561661" \h </w:instrText>
      </w:r>
      <w:r>
        <w:fldChar w:fldCharType="separate"/>
      </w:r>
      <w:r>
        <w:rPr>
          <w:rFonts w:ascii="inter" w:hAnsi="inter" w:eastAsia="inter" w:cs="inter"/>
          <w:color w:val="000000"/>
          <w:sz w:val="18"/>
          <w:u w:val="single"/>
        </w:rPr>
        <w:t>https://news.caijingmobile.com/article/detail/561661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CC874B0">
      <w:pPr>
        <w:numPr>
          <w:ilvl w:val="0"/>
          <w:numId w:val="27"/>
        </w:numPr>
        <w:spacing w:after="210" w:line="360" w:lineRule="auto"/>
      </w:pPr>
      <w:bookmarkStart w:id="154" w:name="fn58"/>
      <w:bookmarkEnd w:id="154"/>
      <w:r>
        <w:fldChar w:fldCharType="begin"/>
      </w:r>
      <w:r>
        <w:instrText xml:space="preserve"> HYPERLINK "https://www.xiangjiaoshui.com/?id=1113" \h </w:instrText>
      </w:r>
      <w:r>
        <w:fldChar w:fldCharType="separate"/>
      </w:r>
      <w:r>
        <w:rPr>
          <w:rFonts w:ascii="inter" w:hAnsi="inter" w:eastAsia="inter" w:cs="inter"/>
          <w:color w:val="000000"/>
          <w:sz w:val="18"/>
          <w:u w:val="single"/>
        </w:rPr>
        <w:t>https://www.xiangjiaoshui.com/?id=1113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34B83C">
      <w:pPr>
        <w:numPr>
          <w:ilvl w:val="0"/>
          <w:numId w:val="27"/>
        </w:numPr>
        <w:spacing w:after="210" w:line="360" w:lineRule="auto"/>
      </w:pPr>
      <w:bookmarkStart w:id="155" w:name="fn59"/>
      <w:bookmarkEnd w:id="155"/>
      <w:r>
        <w:fldChar w:fldCharType="begin"/>
      </w:r>
      <w:r>
        <w:instrText xml:space="preserve"> HYPERLINK "https://hk.finance.yahoo.com/news/%E6%88%B0%E7%81%AB%E5%8A%A0%E6%BA%AB%E9%BB%83%E9%87%91%E4%B8%8A%E7%9C%8B%E5%96%8A%E5%88%B04500%E7%BE%8E%E5%85%83-%E6%B3%95%E4%BA%BA%E4%BC%B02%E5%A4%A7%E9%95%B7%E6%9C%9F%E5%88%A9%E5%A4%9A-%E7%BA%8C%E6%8E%A8%E9%87%91%E5%83%B9%E4%B8%8A%E8%A1%8C-074812072.html" \h </w:instrText>
      </w:r>
      <w:r>
        <w:fldChar w:fldCharType="separate"/>
      </w:r>
      <w:r>
        <w:rPr>
          <w:rFonts w:ascii="inter" w:hAnsi="inter" w:eastAsia="inter" w:cs="inter"/>
          <w:color w:val="000000"/>
          <w:sz w:val="18"/>
          <w:u w:val="single"/>
        </w:rPr>
        <w:t>https://hk.finance.yahoo.com/news/戰火加溫黃金上看喊到4500美元-法人估2大長期利多-續推金價上行-074812072.html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6CED6F">
      <w:pPr>
        <w:numPr>
          <w:ilvl w:val="0"/>
          <w:numId w:val="27"/>
        </w:numPr>
        <w:spacing w:after="210" w:line="360" w:lineRule="auto"/>
      </w:pPr>
      <w:bookmarkStart w:id="156" w:name="fn60"/>
      <w:bookmarkEnd w:id="156"/>
      <w:r>
        <w:fldChar w:fldCharType="begin"/>
      </w:r>
      <w:r>
        <w:instrText xml:space="preserve"> HYPERLINK "http://gold.cnfol.com/huangjinhuishou/" \h </w:instrText>
      </w:r>
      <w:r>
        <w:fldChar w:fldCharType="separate"/>
      </w:r>
      <w:r>
        <w:rPr>
          <w:rFonts w:ascii="inter" w:hAnsi="inter" w:eastAsia="inter" w:cs="inter"/>
          <w:color w:val="000000"/>
          <w:sz w:val="18"/>
          <w:u w:val="single"/>
        </w:rPr>
        <w:t>http://gold.cnfol.com/huangjinhuishou/</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2AE0D64">
      <w:pPr>
        <w:numPr>
          <w:ilvl w:val="0"/>
          <w:numId w:val="27"/>
        </w:numPr>
        <w:spacing w:after="210" w:line="360" w:lineRule="auto"/>
      </w:pPr>
      <w:bookmarkStart w:id="157" w:name="fn61"/>
      <w:bookmarkEnd w:id="157"/>
      <w:r>
        <w:fldChar w:fldCharType="begin"/>
      </w:r>
      <w:r>
        <w:instrText xml:space="preserve"> HYPERLINK "https://www.shenjige.cn/details/12d2sSHmN.html" \h </w:instrText>
      </w:r>
      <w:r>
        <w:fldChar w:fldCharType="separate"/>
      </w:r>
      <w:r>
        <w:rPr>
          <w:rFonts w:ascii="inter" w:hAnsi="inter" w:eastAsia="inter" w:cs="inter"/>
          <w:color w:val="000000"/>
          <w:sz w:val="18"/>
          <w:u w:val="single"/>
        </w:rPr>
        <w:t>https://www.shenjige.cn/details/12d2sSHmN.html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210E01C">
      <w:pPr>
        <w:numPr>
          <w:ilvl w:val="0"/>
          <w:numId w:val="27"/>
        </w:numPr>
        <w:spacing w:after="210" w:line="360" w:lineRule="auto"/>
      </w:pPr>
      <w:bookmarkStart w:id="158" w:name="fn62"/>
      <w:bookmarkEnd w:id="158"/>
      <w:r>
        <w:fldChar w:fldCharType="begin"/>
      </w:r>
      <w:r>
        <w:instrText xml:space="preserve"> HYPERLINK "http://mp.cnfol.com/26675/article/1767013101-142190251.html" \h </w:instrText>
      </w:r>
      <w:r>
        <w:fldChar w:fldCharType="separate"/>
      </w:r>
      <w:r>
        <w:rPr>
          <w:rFonts w:ascii="inter" w:hAnsi="inter" w:eastAsia="inter" w:cs="inter"/>
          <w:color w:val="000000"/>
          <w:sz w:val="18"/>
          <w:u w:val="single"/>
        </w:rPr>
        <w:t>http://mp.cnfol.com/26675/article/1767013101-142190251.html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14E4B1B">
      <w:pPr>
        <w:numPr>
          <w:ilvl w:val="0"/>
          <w:numId w:val="27"/>
        </w:numPr>
        <w:spacing w:after="210" w:line="360" w:lineRule="auto"/>
      </w:pPr>
      <w:bookmarkStart w:id="159" w:name="fn63"/>
      <w:bookmarkEnd w:id="159"/>
      <w:r>
        <w:fldChar w:fldCharType="begin"/>
      </w:r>
      <w:r>
        <w:instrText xml:space="preserve"> HYPERLINK "https://www.gtjai.com/upload/UploadFiles/2021/07/22/891c5927b5264ad58f02554512e906ae.pdf" \h </w:instrText>
      </w:r>
      <w:r>
        <w:fldChar w:fldCharType="separate"/>
      </w:r>
      <w:r>
        <w:rPr>
          <w:rFonts w:ascii="inter" w:hAnsi="inter" w:eastAsia="inter" w:cs="inter"/>
          <w:color w:val="000000"/>
          <w:sz w:val="18"/>
          <w:u w:val="single"/>
        </w:rPr>
        <w:t>https://www.gtjai.com/upload/UploadFiles/2021/07/22/891c5927b5264ad58f02554512e906ae.pdf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ABFF2D">
      <w:pPr>
        <w:numPr>
          <w:ilvl w:val="0"/>
          <w:numId w:val="27"/>
        </w:numPr>
        <w:spacing w:after="210" w:line="360" w:lineRule="auto"/>
      </w:pPr>
      <w:bookmarkStart w:id="160" w:name="fn64"/>
      <w:bookmarkEnd w:id="160"/>
      <w:r>
        <w:fldChar w:fldCharType="begin"/>
      </w:r>
      <w:r>
        <w:instrText xml:space="preserve"> HYPERLINK "https://zh.wikipedia.org/wiki/%E6%96%90%E6%B3%A2%E9%82%A3%E5%A5%91%E5%9B%9E%E8%B0%83" \h </w:instrText>
      </w:r>
      <w:r>
        <w:fldChar w:fldCharType="separate"/>
      </w:r>
      <w:r>
        <w:rPr>
          <w:rFonts w:ascii="inter" w:hAnsi="inter" w:eastAsia="inter" w:cs="inter"/>
          <w:color w:val="000000"/>
          <w:sz w:val="18"/>
          <w:u w:val="single"/>
        </w:rPr>
        <w:t>https://zh.wikipedia.org/wiki/斐波那契回调</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1B852D">
      <w:pPr>
        <w:numPr>
          <w:ilvl w:val="0"/>
          <w:numId w:val="27"/>
        </w:numPr>
        <w:spacing w:after="210" w:line="360" w:lineRule="auto"/>
      </w:pPr>
      <w:bookmarkStart w:id="161" w:name="fn65"/>
      <w:bookmarkEnd w:id="161"/>
      <w:r>
        <w:fldChar w:fldCharType="begin"/>
      </w:r>
      <w:r>
        <w:instrText xml:space="preserve"> HYPERLINK "https://www.huangshi.gov.cn/sjfb/tjnj/202309/P020250611587197130559.pdf" \h </w:instrText>
      </w:r>
      <w:r>
        <w:fldChar w:fldCharType="separate"/>
      </w:r>
      <w:r>
        <w:rPr>
          <w:rFonts w:ascii="inter" w:hAnsi="inter" w:eastAsia="inter" w:cs="inter"/>
          <w:color w:val="000000"/>
          <w:sz w:val="18"/>
          <w:u w:val="single"/>
        </w:rPr>
        <w:t>https://www.huangshi.gov.cn/sjfb/tjnj/202309/P020250611587197130559.pdf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E15B4C">
      <w:pPr>
        <w:numPr>
          <w:ilvl w:val="0"/>
          <w:numId w:val="27"/>
        </w:numPr>
        <w:spacing w:after="210" w:line="360" w:lineRule="auto"/>
      </w:pPr>
      <w:bookmarkStart w:id="162" w:name="fn66"/>
      <w:bookmarkEnd w:id="162"/>
      <w:r>
        <w:fldChar w:fldCharType="begin"/>
      </w:r>
      <w:r>
        <w:instrText xml:space="preserve"> HYPERLINK "https://www.atfx.com/zh-hans/analysis/trading-strategies/fibonacci-retracement" \h </w:instrText>
      </w:r>
      <w:r>
        <w:fldChar w:fldCharType="separate"/>
      </w:r>
      <w:r>
        <w:rPr>
          <w:rFonts w:ascii="inter" w:hAnsi="inter" w:eastAsia="inter" w:cs="inter"/>
          <w:color w:val="000000"/>
          <w:sz w:val="18"/>
          <w:u w:val="single"/>
        </w:rPr>
        <w:t>https://www.atfx.com/zh-hans/analysis/trading-strategies/fibonacci-retracement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C569E93">
      <w:pPr>
        <w:numPr>
          <w:ilvl w:val="0"/>
          <w:numId w:val="27"/>
        </w:numPr>
        <w:spacing w:after="210" w:line="360" w:lineRule="auto"/>
      </w:pPr>
      <w:bookmarkStart w:id="163" w:name="fn67"/>
      <w:bookmarkEnd w:id="163"/>
      <w:r>
        <w:fldChar w:fldCharType="begin"/>
      </w:r>
      <w:r>
        <w:instrText xml:space="preserve"> HYPERLINK "https://abmedia.io/bitcoin-close-to-breaking-out-of-death-cross" \h </w:instrText>
      </w:r>
      <w:r>
        <w:fldChar w:fldCharType="separate"/>
      </w:r>
      <w:r>
        <w:rPr>
          <w:rFonts w:ascii="inter" w:hAnsi="inter" w:eastAsia="inter" w:cs="inter"/>
          <w:color w:val="000000"/>
          <w:sz w:val="18"/>
          <w:u w:val="single"/>
        </w:rPr>
        <w:t>https://abmedia.io/bitcoin-close-to-breaking-out-of-death-cross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2B11B7">
      <w:pPr>
        <w:numPr>
          <w:ilvl w:val="0"/>
          <w:numId w:val="27"/>
        </w:numPr>
        <w:spacing w:after="210" w:line="360" w:lineRule="auto"/>
      </w:pPr>
      <w:bookmarkStart w:id="164" w:name="fn68"/>
      <w:bookmarkEnd w:id="164"/>
      <w:r>
        <w:fldChar w:fldCharType="begin"/>
      </w:r>
      <w:r>
        <w:instrText xml:space="preserve"> HYPERLINK "https://wallstreetcn.com/articles/3715781" \h </w:instrText>
      </w:r>
      <w:r>
        <w:fldChar w:fldCharType="separate"/>
      </w:r>
      <w:r>
        <w:rPr>
          <w:rFonts w:ascii="inter" w:hAnsi="inter" w:eastAsia="inter" w:cs="inter"/>
          <w:color w:val="000000"/>
          <w:sz w:val="18"/>
          <w:u w:val="single"/>
        </w:rPr>
        <w:t>https://wallstreetcn.com/articles/3715781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A068954">
      <w:pPr>
        <w:numPr>
          <w:ilvl w:val="0"/>
          <w:numId w:val="27"/>
        </w:numPr>
        <w:spacing w:after="210" w:line="360" w:lineRule="auto"/>
      </w:pPr>
      <w:bookmarkStart w:id="165" w:name="fn69"/>
      <w:bookmarkEnd w:id="165"/>
      <w:r>
        <w:fldChar w:fldCharType="begin"/>
      </w:r>
      <w:r>
        <w:instrText xml:space="preserve"> HYPERLINK "https://www.litefinance.org/zh/blog/for-beginners/zui-jia-wai-hui-zhi-biao/fei-bo-na-qi-hui-che/" \h </w:instrText>
      </w:r>
      <w:r>
        <w:fldChar w:fldCharType="separate"/>
      </w:r>
      <w:r>
        <w:rPr>
          <w:rFonts w:ascii="inter" w:hAnsi="inter" w:eastAsia="inter" w:cs="inter"/>
          <w:color w:val="000000"/>
          <w:sz w:val="18"/>
          <w:u w:val="single"/>
        </w:rPr>
        <w:t>https://www.litefinance.org/zh/blog/for-beginners/zui-jia-wai-hui-zhi-biao/fei-bo-na-qi-hui-che/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DBE2DE">
      <w:pPr>
        <w:numPr>
          <w:ilvl w:val="0"/>
          <w:numId w:val="27"/>
        </w:numPr>
        <w:spacing w:after="210" w:line="360" w:lineRule="auto"/>
      </w:pPr>
      <w:bookmarkStart w:id="166" w:name="fn70"/>
      <w:bookmarkEnd w:id="166"/>
      <w:r>
        <w:fldChar w:fldCharType="begin"/>
      </w:r>
      <w:r>
        <w:instrText xml:space="preserve"> HYPERLINK "https://cn.investing.com/news/forex-news/article-2619432" \h </w:instrText>
      </w:r>
      <w:r>
        <w:fldChar w:fldCharType="separate"/>
      </w:r>
      <w:r>
        <w:rPr>
          <w:rFonts w:ascii="inter" w:hAnsi="inter" w:eastAsia="inter" w:cs="inter"/>
          <w:color w:val="000000"/>
          <w:sz w:val="18"/>
          <w:u w:val="single"/>
        </w:rPr>
        <w:t>https://cn.investing.com/news/forex-news/article-2619432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9C91AC">
      <w:pPr>
        <w:numPr>
          <w:ilvl w:val="0"/>
          <w:numId w:val="27"/>
        </w:numPr>
        <w:spacing w:after="210" w:line="360" w:lineRule="auto"/>
      </w:pPr>
      <w:bookmarkStart w:id="167" w:name="fn71"/>
      <w:bookmarkEnd w:id="167"/>
      <w:r>
        <w:fldChar w:fldCharType="begin"/>
      </w:r>
      <w:r>
        <w:instrText xml:space="preserve"> HYPERLINK "https://wap.eastmoney.com/a/202205122376767957.html" \h </w:instrText>
      </w:r>
      <w:r>
        <w:fldChar w:fldCharType="separate"/>
      </w:r>
      <w:r>
        <w:rPr>
          <w:rFonts w:ascii="inter" w:hAnsi="inter" w:eastAsia="inter" w:cs="inter"/>
          <w:color w:val="000000"/>
          <w:sz w:val="18"/>
          <w:u w:val="single"/>
        </w:rPr>
        <w:t>https://wap.eastmoney.com/a/202205122376767957.html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B71AA8">
      <w:pPr>
        <w:numPr>
          <w:ilvl w:val="0"/>
          <w:numId w:val="27"/>
        </w:numPr>
        <w:spacing w:after="210" w:line="360" w:lineRule="auto"/>
      </w:pPr>
      <w:bookmarkStart w:id="168" w:name="fn72"/>
      <w:bookmarkEnd w:id="168"/>
      <w:r>
        <w:fldChar w:fldCharType="begin"/>
      </w:r>
      <w:r>
        <w:instrText xml:space="preserve"> HYPERLINK "https://blog.csdn.net/liuyun12139/article/details/147623596" \h </w:instrText>
      </w:r>
      <w:r>
        <w:fldChar w:fldCharType="separate"/>
      </w:r>
      <w:r>
        <w:rPr>
          <w:rFonts w:ascii="inter" w:hAnsi="inter" w:eastAsia="inter" w:cs="inter"/>
          <w:color w:val="000000"/>
          <w:sz w:val="18"/>
          <w:u w:val="single"/>
        </w:rPr>
        <w:t>https://blog.csdn.net/liuyun12139/article/details/147623596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583634">
      <w:pPr>
        <w:numPr>
          <w:ilvl w:val="0"/>
          <w:numId w:val="27"/>
        </w:numPr>
        <w:spacing w:after="210" w:line="360" w:lineRule="auto"/>
      </w:pPr>
      <w:bookmarkStart w:id="169" w:name="fn73"/>
      <w:bookmarkEnd w:id="169"/>
      <w:r>
        <w:fldChar w:fldCharType="begin"/>
      </w:r>
      <w:r>
        <w:instrText xml:space="preserve"> HYPERLINK "https://www.facebook.com/groups/169860956931412/events/" \h </w:instrText>
      </w:r>
      <w:r>
        <w:fldChar w:fldCharType="separate"/>
      </w:r>
      <w:r>
        <w:rPr>
          <w:rFonts w:ascii="inter" w:hAnsi="inter" w:eastAsia="inter" w:cs="inter"/>
          <w:color w:val="000000"/>
          <w:sz w:val="18"/>
          <w:u w:val="single"/>
        </w:rPr>
        <w:t>https://www.facebook.com/groups/169860956931412/events/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B012D4">
      <w:pPr>
        <w:numPr>
          <w:ilvl w:val="0"/>
          <w:numId w:val="27"/>
        </w:numPr>
        <w:spacing w:after="210" w:line="360" w:lineRule="auto"/>
      </w:pPr>
      <w:bookmarkStart w:id="170" w:name="fn74"/>
      <w:bookmarkEnd w:id="170"/>
      <w:r>
        <w:fldChar w:fldCharType="begin"/>
      </w:r>
      <w:r>
        <w:instrText xml:space="preserve"> HYPERLINK "https://ws.dgbas.gov.tw/public/data/dgbas01/103/103ctab/103c%E6%AD%B2%E5%87%BA%E6%A9%9F%E9%97%9C%E5%88%A5%E9%A0%90%E7%AE%97%E8%A1%A8.xls" \h </w:instrText>
      </w:r>
      <w:r>
        <w:fldChar w:fldCharType="separate"/>
      </w:r>
      <w:r>
        <w:rPr>
          <w:rFonts w:ascii="inter" w:hAnsi="inter" w:eastAsia="inter" w:cs="inter"/>
          <w:color w:val="000000"/>
          <w:sz w:val="18"/>
          <w:u w:val="single"/>
        </w:rPr>
        <w:t>https://ws.dgbas.gov.tw/public/data/dgbas01/103/103ctab/103c歲出機關別預算表.xls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550EFF5">
      <w:pPr>
        <w:numPr>
          <w:ilvl w:val="0"/>
          <w:numId w:val="27"/>
        </w:numPr>
        <w:spacing w:after="210" w:line="360" w:lineRule="auto"/>
      </w:pPr>
      <w:bookmarkStart w:id="171" w:name="fn75"/>
      <w:bookmarkEnd w:id="171"/>
      <w:r>
        <w:fldChar w:fldCharType="begin"/>
      </w:r>
      <w:r>
        <w:instrText xml:space="preserve"> HYPERLINK "https://www.ebc.com/zh-cn/jinrong/280507.html" \h </w:instrText>
      </w:r>
      <w:r>
        <w:fldChar w:fldCharType="separate"/>
      </w:r>
      <w:r>
        <w:rPr>
          <w:rFonts w:ascii="inter" w:hAnsi="inter" w:eastAsia="inter" w:cs="inter"/>
          <w:color w:val="000000"/>
          <w:sz w:val="18"/>
          <w:u w:val="single"/>
        </w:rPr>
        <w:t>https://www.ebc.com/zh-cn/jinrong/280507.html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FF9BB1">
      <w:pPr>
        <w:numPr>
          <w:ilvl w:val="0"/>
          <w:numId w:val="27"/>
        </w:numPr>
        <w:spacing w:after="210" w:line="360" w:lineRule="auto"/>
      </w:pPr>
      <w:bookmarkStart w:id="172" w:name="fn76"/>
      <w:bookmarkEnd w:id="172"/>
      <w:r>
        <w:fldChar w:fldCharType="begin"/>
      </w:r>
      <w:r>
        <w:instrText xml:space="preserve"> HYPERLINK "https://www.businesstoday.com.tw/article/category/80401/post/201907100040/" \h </w:instrText>
      </w:r>
      <w:r>
        <w:fldChar w:fldCharType="separate"/>
      </w:r>
      <w:r>
        <w:rPr>
          <w:rFonts w:ascii="inter" w:hAnsi="inter" w:eastAsia="inter" w:cs="inter"/>
          <w:color w:val="000000"/>
          <w:sz w:val="18"/>
          <w:u w:val="single"/>
        </w:rPr>
        <w:t>https://www.businesstoday.com.tw/article/category/80401/post/201907100040/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9F3F02">
      <w:pPr>
        <w:numPr>
          <w:ilvl w:val="0"/>
          <w:numId w:val="27"/>
        </w:numPr>
        <w:spacing w:after="210" w:line="360" w:lineRule="auto"/>
      </w:pPr>
      <w:bookmarkStart w:id="173" w:name="fn77"/>
      <w:bookmarkEnd w:id="173"/>
      <w:r>
        <w:fldChar w:fldCharType="begin"/>
      </w:r>
      <w:r>
        <w:instrText xml:space="preserve"> HYPERLINK "https://pic.bankofchina.com/bocappd/pbservice/202201/P020220113723927089913.pdf" \h </w:instrText>
      </w:r>
      <w:r>
        <w:fldChar w:fldCharType="separate"/>
      </w:r>
      <w:r>
        <w:rPr>
          <w:rFonts w:ascii="inter" w:hAnsi="inter" w:eastAsia="inter" w:cs="inter"/>
          <w:color w:val="000000"/>
          <w:sz w:val="18"/>
          <w:u w:val="single"/>
        </w:rPr>
        <w:t>https://pic.bankofchina.com/bocappd/pbservice/202201/P020220113723927089913.pdf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BA035C">
      <w:pPr>
        <w:numPr>
          <w:ilvl w:val="0"/>
          <w:numId w:val="27"/>
        </w:numPr>
        <w:spacing w:after="210" w:line="360" w:lineRule="auto"/>
      </w:pPr>
      <w:bookmarkStart w:id="174" w:name="fn78"/>
      <w:bookmarkEnd w:id="174"/>
      <w:r>
        <w:fldChar w:fldCharType="begin"/>
      </w:r>
      <w:r>
        <w:instrText xml:space="preserve"> HYPERLINK "http://www.xingshizhengce.com/xingshizhengce/20250211/6ad12bbbedfa4652ba5709f7f875d10f.pdf" \h </w:instrText>
      </w:r>
      <w:r>
        <w:fldChar w:fldCharType="separate"/>
      </w:r>
      <w:r>
        <w:rPr>
          <w:rFonts w:ascii="inter" w:hAnsi="inter" w:eastAsia="inter" w:cs="inter"/>
          <w:color w:val="000000"/>
          <w:sz w:val="18"/>
          <w:u w:val="single"/>
        </w:rPr>
        <w:t>http://www.xingshizhengce.com/xingshizhengce/20250211/6ad12bbbedfa4652ba5709f7f875d10f.pdf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53581FE">
      <w:pPr>
        <w:numPr>
          <w:ilvl w:val="0"/>
          <w:numId w:val="27"/>
        </w:numPr>
        <w:spacing w:after="210" w:line="360" w:lineRule="auto"/>
      </w:pPr>
      <w:bookmarkStart w:id="175" w:name="fn79"/>
      <w:bookmarkEnd w:id="175"/>
      <w:r>
        <w:fldChar w:fldCharType="begin"/>
      </w:r>
      <w:r>
        <w:instrText xml:space="preserve"> HYPERLINK "https://static.time-weekly.com/time-weekly/c65278248c9941dfd0014bf295e1b987/20240318/b503fd4ec05c4bc782cc959c3d120735.pdf" \h </w:instrText>
      </w:r>
      <w:r>
        <w:fldChar w:fldCharType="separate"/>
      </w:r>
      <w:r>
        <w:rPr>
          <w:rFonts w:ascii="inter" w:hAnsi="inter" w:eastAsia="inter" w:cs="inter"/>
          <w:color w:val="000000"/>
          <w:sz w:val="18"/>
          <w:u w:val="single"/>
        </w:rPr>
        <w:t>https://static.time-weekly.com/time-weekly/c65278248c9941dfd0014bf295e1b987/20240318/b503fd4ec05c4bc782cc959c3d120735.pdf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816EA6">
      <w:pPr>
        <w:numPr>
          <w:ilvl w:val="0"/>
          <w:numId w:val="27"/>
        </w:numPr>
        <w:spacing w:after="210" w:line="360" w:lineRule="auto"/>
      </w:pPr>
      <w:bookmarkStart w:id="176" w:name="fn80"/>
      <w:bookmarkEnd w:id="176"/>
      <w:r>
        <w:fldChar w:fldCharType="begin"/>
      </w:r>
      <w:r>
        <w:instrText xml:space="preserve"> HYPERLINK "https://www.leaderreunion.fr/zh/archives/" \h </w:instrText>
      </w:r>
      <w:r>
        <w:fldChar w:fldCharType="separate"/>
      </w:r>
      <w:r>
        <w:rPr>
          <w:rFonts w:ascii="inter" w:hAnsi="inter" w:eastAsia="inter" w:cs="inter"/>
          <w:color w:val="000000"/>
          <w:sz w:val="18"/>
          <w:u w:val="single"/>
        </w:rPr>
        <w:t>https://www.leaderreunion.fr/zh/archives/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4838C7B">
      <w:pPr>
        <w:numPr>
          <w:ilvl w:val="0"/>
          <w:numId w:val="27"/>
        </w:numPr>
        <w:spacing w:after="210" w:line="360" w:lineRule="auto"/>
      </w:pPr>
      <w:bookmarkStart w:id="177" w:name="fn81"/>
      <w:bookmarkEnd w:id="177"/>
      <w:r>
        <w:fldChar w:fldCharType="begin"/>
      </w:r>
      <w:r>
        <w:instrText xml:space="preserve"> HYPERLINK "https://static.sse.com.cn/bond/bridge2/disclosure/announcement/c/202503/049926_20250320_S9DX.pdf" \h </w:instrText>
      </w:r>
      <w:r>
        <w:fldChar w:fldCharType="separate"/>
      </w:r>
      <w:r>
        <w:rPr>
          <w:rFonts w:ascii="inter" w:hAnsi="inter" w:eastAsia="inter" w:cs="inter"/>
          <w:color w:val="000000"/>
          <w:sz w:val="18"/>
          <w:u w:val="single"/>
        </w:rPr>
        <w:t>https://static.sse.com.cn/bond/bridge2/disclosure/announcement/c/202503/049926_20250320_S9DX.pdf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FEF1238">
      <w:pPr>
        <w:numPr>
          <w:ilvl w:val="0"/>
          <w:numId w:val="27"/>
        </w:numPr>
        <w:spacing w:after="210" w:line="360" w:lineRule="auto"/>
      </w:pPr>
      <w:bookmarkStart w:id="178" w:name="fn82"/>
      <w:bookmarkEnd w:id="178"/>
      <w:r>
        <w:fldChar w:fldCharType="begin"/>
      </w:r>
      <w:r>
        <w:instrText xml:space="preserve"> HYPERLINK "https://international.caixin.com/2023-12-12/102144861.html" \h </w:instrText>
      </w:r>
      <w:r>
        <w:fldChar w:fldCharType="separate"/>
      </w:r>
      <w:r>
        <w:rPr>
          <w:rFonts w:ascii="inter" w:hAnsi="inter" w:eastAsia="inter" w:cs="inter"/>
          <w:color w:val="000000"/>
          <w:sz w:val="18"/>
          <w:u w:val="single"/>
        </w:rPr>
        <w:t>https://international.caixin.com/2023-12-12/102144861.html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CB63F6">
      <w:pPr>
        <w:numPr>
          <w:ilvl w:val="0"/>
          <w:numId w:val="27"/>
        </w:numPr>
        <w:spacing w:after="210" w:line="360" w:lineRule="auto"/>
      </w:pPr>
      <w:bookmarkStart w:id="179" w:name="fn83"/>
      <w:bookmarkEnd w:id="179"/>
      <w:r>
        <w:fldChar w:fldCharType="begin"/>
      </w:r>
      <w:r>
        <w:instrText xml:space="preserve"> HYPERLINK "https://www.jiemian.com/lists/472_57.html" \h </w:instrText>
      </w:r>
      <w:r>
        <w:fldChar w:fldCharType="separate"/>
      </w:r>
      <w:r>
        <w:rPr>
          <w:rFonts w:ascii="inter" w:hAnsi="inter" w:eastAsia="inter" w:cs="inter"/>
          <w:color w:val="000000"/>
          <w:sz w:val="18"/>
          <w:u w:val="single"/>
        </w:rPr>
        <w:t>https://www.jiemian.com/lists/472_57.html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5EA98D3">
      <w:pPr>
        <w:numPr>
          <w:ilvl w:val="0"/>
          <w:numId w:val="27"/>
        </w:numPr>
        <w:spacing w:after="210" w:line="360" w:lineRule="auto"/>
      </w:pPr>
      <w:bookmarkStart w:id="180" w:name="fn84"/>
      <w:bookmarkEnd w:id="180"/>
      <w:r>
        <w:fldChar w:fldCharType="begin"/>
      </w:r>
      <w:r>
        <w:instrText xml:space="preserve"> HYPERLINK "https://s3gw.cmbimg.com/lb5001-cmbweb-prd-1255000097/cmbcms/20250327/7b625cd4-1e12-4244-9512-5a9895dc84e7.pdf" \h </w:instrText>
      </w:r>
      <w:r>
        <w:fldChar w:fldCharType="separate"/>
      </w:r>
      <w:r>
        <w:rPr>
          <w:rFonts w:ascii="inter" w:hAnsi="inter" w:eastAsia="inter" w:cs="inter"/>
          <w:color w:val="000000"/>
          <w:sz w:val="18"/>
          <w:u w:val="single"/>
        </w:rPr>
        <w:t>https://s3gw.cmbimg.com/lb5001-cmbweb-prd-1255000097/cmbcms/20250327/7b625cd4-1e12-4244-9512-5a9895dc84e7.pdf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4B2876">
      <w:pPr>
        <w:numPr>
          <w:ilvl w:val="0"/>
          <w:numId w:val="27"/>
        </w:numPr>
        <w:spacing w:after="210" w:line="360" w:lineRule="auto"/>
      </w:pPr>
      <w:bookmarkStart w:id="181" w:name="fn85"/>
      <w:bookmarkEnd w:id="181"/>
      <w:r>
        <w:fldChar w:fldCharType="begin"/>
      </w:r>
      <w:r>
        <w:instrText xml:space="preserve"> HYPERLINK "https://finance.sina.cn/2026-01-16/detail-inhhmhtr4576011.d.html?vt=4&amp;node_id=76576" \h </w:instrText>
      </w:r>
      <w:r>
        <w:fldChar w:fldCharType="separate"/>
      </w:r>
      <w:r>
        <w:rPr>
          <w:rFonts w:ascii="inter" w:hAnsi="inter" w:eastAsia="inter" w:cs="inter"/>
          <w:color w:val="000000"/>
          <w:sz w:val="18"/>
          <w:u w:val="single"/>
        </w:rPr>
        <w:t>https://finance.sina.cn/2026-01-16/detail-inhhmhtr4576011.d.html?vt=4&amp;node_id=76576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E05995">
      <w:pPr>
        <w:numPr>
          <w:ilvl w:val="0"/>
          <w:numId w:val="27"/>
        </w:numPr>
        <w:spacing w:after="210" w:line="360" w:lineRule="auto"/>
      </w:pPr>
      <w:bookmarkStart w:id="182" w:name="fn86"/>
      <w:bookmarkEnd w:id="182"/>
      <w:r>
        <w:fldChar w:fldCharType="begin"/>
      </w:r>
      <w:r>
        <w:instrText xml:space="preserve"> HYPERLINK "https://m.cj.sina.cn/page/aHR0cDovL2ZpbmFuY2Uuc2luYS5jb20uY24vb2xkbmV3cy8yMDEyLTExLTA3Lmh0bWw?from=redirect" \h </w:instrText>
      </w:r>
      <w:r>
        <w:fldChar w:fldCharType="separate"/>
      </w:r>
      <w:r>
        <w:rPr>
          <w:rFonts w:ascii="inter" w:hAnsi="inter" w:eastAsia="inter" w:cs="inter"/>
          <w:color w:val="000000"/>
          <w:sz w:val="18"/>
          <w:u w:val="single"/>
        </w:rPr>
        <w:t>https://m.cj.sina.cn/page/aHR0cDovL2ZpbmFuY2Uuc2luYS5jb20uY24vb2xkbmV3cy8yMDEyLTExLTA3Lmh0bWw?from=redirect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F0CEE3B">
      <w:pPr>
        <w:numPr>
          <w:ilvl w:val="0"/>
          <w:numId w:val="27"/>
        </w:numPr>
        <w:spacing w:after="210" w:line="360" w:lineRule="auto"/>
      </w:pPr>
      <w:bookmarkStart w:id="183" w:name="fn87"/>
      <w:bookmarkEnd w:id="183"/>
      <w:r>
        <w:fldChar w:fldCharType="begin"/>
      </w:r>
      <w:r>
        <w:instrText xml:space="preserve"> HYPERLINK "https://pdf.dfcfw.com/pdf/H2_AN202104151485274699_1.pdf?1618506433000.pdf" \h </w:instrText>
      </w:r>
      <w:r>
        <w:fldChar w:fldCharType="separate"/>
      </w:r>
      <w:r>
        <w:rPr>
          <w:rFonts w:ascii="inter" w:hAnsi="inter" w:eastAsia="inter" w:cs="inter"/>
          <w:color w:val="000000"/>
          <w:sz w:val="18"/>
          <w:u w:val="single"/>
        </w:rPr>
        <w:t>https://pdf.dfcfw.com/pdf/H2_AN202104151485274699_1.pdf?1618506433000.pdf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303B38">
      <w:pPr>
        <w:numPr>
          <w:ilvl w:val="0"/>
          <w:numId w:val="27"/>
        </w:numPr>
        <w:spacing w:after="210" w:line="360" w:lineRule="auto"/>
      </w:pPr>
      <w:bookmarkStart w:id="184" w:name="fn88"/>
      <w:bookmarkEnd w:id="184"/>
      <w:r>
        <w:fldChar w:fldCharType="begin"/>
      </w:r>
      <w:r>
        <w:instrText xml:space="preserve"> HYPERLINK "https://so.wanvfx.com/api/xinwen/?user_ip=182.92.188.138&amp;s_from=hint_last&amp;bh=1&amp;hintidx=2&amp;query=%E5%AE%9E%E6%97%B6%E7%83%AD%E7%82%B9%E6%90%9C%E7%8B%97%E7%83%AD%E6%90%9C%E6%A6%9C&amp;w=01020600&amp;interation=&amp;interV=kKIOkrELjbkRmLkElbkTkKIMkrELjboImLkEk74TkKIRmLkEk78TkKILkY%3D%3D_-115092183&amp;htdbg=on&amp;ie=utf8" \h </w:instrText>
      </w:r>
      <w:r>
        <w:fldChar w:fldCharType="separate"/>
      </w:r>
      <w:r>
        <w:rPr>
          <w:rFonts w:ascii="inter" w:hAnsi="inter" w:eastAsia="inter" w:cs="inter"/>
          <w:color w:val="000000"/>
          <w:sz w:val="18"/>
          <w:u w:val="single"/>
        </w:rPr>
        <w:t>https://so.wanvfx.com/api/xinwen/?user_ip=182.92.188.138&amp;s_from=hint_last&amp;bh=1&amp;hintidx=2&amp;query=实时热点搜狗热搜榜&amp;w=01020600&amp;interation=&amp;interV=kKIOkrELjbkRmLkElbkTkKIMkrELjboImLkEk74TkKIRmLkEk78TkKILkY%3D%3D_-115092183&amp;htdbg=on&amp;ie=utf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1165B7">
      <w:pPr>
        <w:numPr>
          <w:ilvl w:val="0"/>
          <w:numId w:val="27"/>
        </w:numPr>
        <w:spacing w:after="210" w:line="360" w:lineRule="auto"/>
      </w:pPr>
      <w:bookmarkStart w:id="185" w:name="fn89"/>
      <w:bookmarkEnd w:id="185"/>
      <w:r>
        <w:fldChar w:fldCharType="begin"/>
      </w:r>
      <w:r>
        <w:instrText xml:space="preserve"> HYPERLINK "https://live.euronext.com/nl/search_instruments/Paribury%20B1%20Reviews" \h </w:instrText>
      </w:r>
      <w:r>
        <w:fldChar w:fldCharType="separate"/>
      </w:r>
      <w:r>
        <w:rPr>
          <w:rFonts w:ascii="inter" w:hAnsi="inter" w:eastAsia="inter" w:cs="inter"/>
          <w:color w:val="000000"/>
          <w:sz w:val="18"/>
          <w:u w:val="single"/>
        </w:rPr>
        <w:t>https://live.euronext.com/nl/search_instruments/Paribury B1 Reviews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53D3BF9">
      <w:pPr>
        <w:numPr>
          <w:ilvl w:val="0"/>
          <w:numId w:val="27"/>
        </w:numPr>
        <w:spacing w:after="210" w:line="360" w:lineRule="auto"/>
      </w:pPr>
      <w:bookmarkStart w:id="186" w:name="fn90"/>
      <w:bookmarkEnd w:id="186"/>
      <w:r>
        <w:fldChar w:fldCharType="begin"/>
      </w:r>
      <w:r>
        <w:instrText xml:space="preserve"> HYPERLINK "https://www.youtube.com/shorts/k7F1KSDFhjI" \h </w:instrText>
      </w:r>
      <w:r>
        <w:fldChar w:fldCharType="separate"/>
      </w:r>
      <w:r>
        <w:rPr>
          <w:rFonts w:ascii="inter" w:hAnsi="inter" w:eastAsia="inter" w:cs="inter"/>
          <w:color w:val="000000"/>
          <w:sz w:val="18"/>
          <w:u w:val="single"/>
        </w:rPr>
        <w:t>https://www.youtube.com/shorts/k7F1KSDFhjI</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33F97D0">
      <w:pPr>
        <w:numPr>
          <w:ilvl w:val="0"/>
          <w:numId w:val="27"/>
        </w:numPr>
        <w:spacing w:after="210" w:line="360" w:lineRule="auto"/>
      </w:pPr>
      <w:bookmarkStart w:id="187" w:name="fn91"/>
      <w:bookmarkEnd w:id="187"/>
      <w:r>
        <w:fldChar w:fldCharType="begin"/>
      </w:r>
      <w:r>
        <w:instrText xml:space="preserve"> HYPERLINK "https://jobs.shu.edu/mob/en-us/search/" \h </w:instrText>
      </w:r>
      <w:r>
        <w:fldChar w:fldCharType="separate"/>
      </w:r>
      <w:r>
        <w:rPr>
          <w:rFonts w:ascii="inter" w:hAnsi="inter" w:eastAsia="inter" w:cs="inter"/>
          <w:color w:val="000000"/>
          <w:sz w:val="18"/>
          <w:u w:val="single"/>
        </w:rPr>
        <w:t>https://jobs.shu.edu/mob/en-us/search/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FA2314C">
      <w:pPr>
        <w:numPr>
          <w:ilvl w:val="0"/>
          <w:numId w:val="27"/>
        </w:numPr>
        <w:spacing w:after="210" w:line="360" w:lineRule="auto"/>
      </w:pPr>
      <w:bookmarkStart w:id="188" w:name="fn92"/>
      <w:bookmarkEnd w:id="188"/>
      <w:r>
        <w:fldChar w:fldCharType="begin"/>
      </w:r>
      <w:r>
        <w:instrText xml:space="preserve"> HYPERLINK "https://www.behance.net/search/projects/RapidBit%20Review" \h </w:instrText>
      </w:r>
      <w:r>
        <w:fldChar w:fldCharType="separate"/>
      </w:r>
      <w:r>
        <w:rPr>
          <w:rFonts w:ascii="inter" w:hAnsi="inter" w:eastAsia="inter" w:cs="inter"/>
          <w:color w:val="000000"/>
          <w:sz w:val="18"/>
          <w:u w:val="single"/>
        </w:rPr>
        <w:t>https://www.behance.net/search/projects/RapidBit Review</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7524E5">
      <w:pPr>
        <w:numPr>
          <w:ilvl w:val="0"/>
          <w:numId w:val="27"/>
        </w:numPr>
        <w:spacing w:after="210" w:line="360" w:lineRule="auto"/>
      </w:pPr>
      <w:bookmarkStart w:id="189" w:name="fn93"/>
      <w:bookmarkEnd w:id="189"/>
      <w:r>
        <w:fldChar w:fldCharType="begin"/>
      </w:r>
      <w:r>
        <w:instrText xml:space="preserve"> HYPERLINK "https://finance.sina.com.cn/money/nmetal/hjfx/2026-01-15/doc-inhhkrvt3319158.shtml" \h </w:instrText>
      </w:r>
      <w:r>
        <w:fldChar w:fldCharType="separate"/>
      </w:r>
      <w:r>
        <w:rPr>
          <w:rFonts w:ascii="inter" w:hAnsi="inter" w:eastAsia="inter" w:cs="inter"/>
          <w:color w:val="000000"/>
          <w:sz w:val="18"/>
          <w:u w:val="single"/>
        </w:rPr>
        <w:t>https://finance.sina.com.cn/money/nmetal/hjfx/2026-01-15/doc-inhhkrvt3319158.shtml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4B0F5C">
      <w:pPr>
        <w:numPr>
          <w:ilvl w:val="0"/>
          <w:numId w:val="27"/>
        </w:numPr>
        <w:spacing w:after="210" w:line="360" w:lineRule="auto"/>
      </w:pPr>
      <w:bookmarkStart w:id="190" w:name="fn94"/>
      <w:bookmarkEnd w:id="190"/>
      <w:r>
        <w:fldChar w:fldCharType="begin"/>
      </w:r>
      <w:r>
        <w:instrText xml:space="preserve"> HYPERLINK "https://trends.google.com/trends/explore?geo=HK&amp;q=Tuvalor+B1+Reviews" \h </w:instrText>
      </w:r>
      <w:r>
        <w:fldChar w:fldCharType="separate"/>
      </w:r>
      <w:r>
        <w:rPr>
          <w:rFonts w:ascii="inter" w:hAnsi="inter" w:eastAsia="inter" w:cs="inter"/>
          <w:color w:val="000000"/>
          <w:sz w:val="18"/>
          <w:u w:val="single"/>
        </w:rPr>
        <w:t>https://trends.google.com/trends/explore?geo=HK&amp;q=Tuvalor+B1+Reviews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1AFDA9">
      <w:pPr>
        <w:numPr>
          <w:ilvl w:val="0"/>
          <w:numId w:val="27"/>
        </w:numPr>
        <w:spacing w:after="210" w:line="360" w:lineRule="auto"/>
      </w:pPr>
      <w:bookmarkStart w:id="191" w:name="fn95"/>
      <w:bookmarkEnd w:id="191"/>
      <w:r>
        <w:fldChar w:fldCharType="begin"/>
      </w:r>
      <w:r>
        <w:instrText xml:space="preserve"> HYPERLINK "https://github.com/YangBin1729/nlp_notes/blob/master/06-%E8%87%AA%E7%84%B6%E8%AF%AD%E8%A8%80%E5%A4%84%E7%90%86/51-XLNet%E6%A8%A1%E5%9E%8B.ipynb" \h </w:instrText>
      </w:r>
      <w:r>
        <w:fldChar w:fldCharType="separate"/>
      </w:r>
      <w:r>
        <w:rPr>
          <w:rFonts w:ascii="inter" w:hAnsi="inter" w:eastAsia="inter" w:cs="inter"/>
          <w:color w:val="000000"/>
          <w:sz w:val="18"/>
          <w:u w:val="single"/>
        </w:rPr>
        <w:t>https://github.com/YangBin1729/nlp_notes/blob/master/06-自然语言处理/51-XLNet模型.ipynb</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773CFB">
      <w:pPr>
        <w:numPr>
          <w:ilvl w:val="0"/>
          <w:numId w:val="27"/>
        </w:numPr>
        <w:spacing w:after="210" w:line="360" w:lineRule="auto"/>
      </w:pPr>
      <w:bookmarkStart w:id="192" w:name="fn96"/>
      <w:bookmarkEnd w:id="192"/>
      <w:r>
        <w:fldChar w:fldCharType="begin"/>
      </w:r>
      <w:r>
        <w:instrText xml:space="preserve"> HYPERLINK "https://www.bipc.com/tags?tag=Google+Play%25Elias+Mercer+B1+Reviews" \h </w:instrText>
      </w:r>
      <w:r>
        <w:fldChar w:fldCharType="separate"/>
      </w:r>
      <w:r>
        <w:rPr>
          <w:rFonts w:ascii="inter" w:hAnsi="inter" w:eastAsia="inter" w:cs="inter"/>
          <w:color w:val="000000"/>
          <w:sz w:val="18"/>
          <w:u w:val="single"/>
        </w:rPr>
        <w:t>https://www.bipc.com/tags?tag=Google+Play%Elias+Mercer+B1+Reviews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F4C239">
      <w:pPr>
        <w:numPr>
          <w:ilvl w:val="0"/>
          <w:numId w:val="27"/>
        </w:numPr>
        <w:spacing w:after="210" w:line="360" w:lineRule="auto"/>
      </w:pPr>
      <w:bookmarkStart w:id="193" w:name="fn97"/>
      <w:bookmarkEnd w:id="193"/>
      <w:r>
        <w:fldChar w:fldCharType="begin"/>
      </w:r>
      <w:r>
        <w:instrText xml:space="preserve"> HYPERLINK "https://v.icbc.com.cn/userfiles/resources/icbc/sryh/download/2025/shzz_2025d2q.pdf" \h </w:instrText>
      </w:r>
      <w:r>
        <w:fldChar w:fldCharType="separate"/>
      </w:r>
      <w:r>
        <w:rPr>
          <w:rFonts w:ascii="inter" w:hAnsi="inter" w:eastAsia="inter" w:cs="inter"/>
          <w:color w:val="000000"/>
          <w:sz w:val="18"/>
          <w:u w:val="single"/>
        </w:rPr>
        <w:t>https://v.icbc.com.cn/userfiles/resources/icbc/sryh/download/2025/shzz_2025d2q.pdf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8F2A063">
      <w:pPr>
        <w:numPr>
          <w:ilvl w:val="0"/>
          <w:numId w:val="27"/>
        </w:numPr>
        <w:spacing w:after="210" w:line="360" w:lineRule="auto"/>
      </w:pPr>
      <w:bookmarkStart w:id="194" w:name="fn98"/>
      <w:bookmarkEnd w:id="194"/>
      <w:r>
        <w:fldChar w:fldCharType="begin"/>
      </w:r>
      <w:r>
        <w:instrText xml:space="preserve"> HYPERLINK "https://wap.stockstar.com/detail/SS2021080600000270" \h </w:instrText>
      </w:r>
      <w:r>
        <w:fldChar w:fldCharType="separate"/>
      </w:r>
      <w:r>
        <w:rPr>
          <w:rFonts w:ascii="inter" w:hAnsi="inter" w:eastAsia="inter" w:cs="inter"/>
          <w:color w:val="000000"/>
          <w:sz w:val="18"/>
          <w:u w:val="single"/>
        </w:rPr>
        <w:t>https://wap.stockstar.com/detail/SS2021080600000270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8517A6">
      <w:pPr>
        <w:numPr>
          <w:ilvl w:val="0"/>
          <w:numId w:val="27"/>
        </w:numPr>
        <w:spacing w:after="210" w:line="360" w:lineRule="auto"/>
      </w:pPr>
      <w:bookmarkStart w:id="195" w:name="fn99"/>
      <w:bookmarkEnd w:id="195"/>
      <w:r>
        <w:fldChar w:fldCharType="begin"/>
      </w:r>
      <w:r>
        <w:instrText xml:space="preserve"> HYPERLINK "http://gold.cnfol.com/mingjiadianjin/20260116/31947281.shtml" \h </w:instrText>
      </w:r>
      <w:r>
        <w:fldChar w:fldCharType="separate"/>
      </w:r>
      <w:r>
        <w:rPr>
          <w:rFonts w:ascii="inter" w:hAnsi="inter" w:eastAsia="inter" w:cs="inter"/>
          <w:color w:val="000000"/>
          <w:sz w:val="18"/>
          <w:u w:val="single"/>
        </w:rPr>
        <w:t>http://gold.cnfol.com/mingjiadianjin/20260116/31947281.shtml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3C07D64">
      <w:pPr>
        <w:numPr>
          <w:ilvl w:val="0"/>
          <w:numId w:val="27"/>
        </w:numPr>
        <w:spacing w:after="210" w:line="360" w:lineRule="auto"/>
      </w:pPr>
      <w:bookmarkStart w:id="196" w:name="fn100"/>
      <w:bookmarkEnd w:id="196"/>
      <w:r>
        <w:fldChar w:fldCharType="begin"/>
      </w:r>
      <w:r>
        <w:instrText xml:space="preserve"> HYPERLINK "http://vip.stock.finance.sina.com.cn/corp/view/vCB_AllBulletinDetail.php?stockid=sh601069&amp;id=3756241" \h </w:instrText>
      </w:r>
      <w:r>
        <w:fldChar w:fldCharType="separate"/>
      </w:r>
      <w:r>
        <w:rPr>
          <w:rFonts w:ascii="inter" w:hAnsi="inter" w:eastAsia="inter" w:cs="inter"/>
          <w:color w:val="000000"/>
          <w:sz w:val="18"/>
          <w:u w:val="single"/>
        </w:rPr>
        <w:t>http://vip.stock.finance.sina.com.cn/corp/view/vCB_AllBulletinDetail.php?stockid=sh601069&amp;id=3756241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FFBF75">
      <w:pPr>
        <w:numPr>
          <w:ilvl w:val="0"/>
          <w:numId w:val="27"/>
        </w:numPr>
        <w:spacing w:after="210" w:line="360" w:lineRule="auto"/>
      </w:pPr>
      <w:bookmarkStart w:id="197" w:name="fn101"/>
      <w:bookmarkEnd w:id="197"/>
      <w:r>
        <w:fldChar w:fldCharType="begin"/>
      </w:r>
      <w:r>
        <w:instrText xml:space="preserve"> HYPERLINK "https://www.cls.cn/detail/2256169" \h </w:instrText>
      </w:r>
      <w:r>
        <w:fldChar w:fldCharType="separate"/>
      </w:r>
      <w:r>
        <w:rPr>
          <w:rFonts w:ascii="inter" w:hAnsi="inter" w:eastAsia="inter" w:cs="inter"/>
          <w:color w:val="000000"/>
          <w:sz w:val="18"/>
          <w:u w:val="single"/>
        </w:rPr>
        <w:t>https://www.cls.cn/detail/2256169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69FC7D">
      <w:pPr>
        <w:numPr>
          <w:ilvl w:val="0"/>
          <w:numId w:val="27"/>
        </w:numPr>
        <w:spacing w:after="210" w:line="360" w:lineRule="auto"/>
      </w:pPr>
      <w:bookmarkStart w:id="198" w:name="fn102"/>
      <w:bookmarkEnd w:id="198"/>
      <w:r>
        <w:fldChar w:fldCharType="begin"/>
      </w:r>
      <w:r>
        <w:instrText xml:space="preserve"> HYPERLINK "https://www.163.com/dy/article/KIOUEFIO05199DKK.html" \h </w:instrText>
      </w:r>
      <w:r>
        <w:fldChar w:fldCharType="separate"/>
      </w:r>
      <w:r>
        <w:rPr>
          <w:rFonts w:ascii="inter" w:hAnsi="inter" w:eastAsia="inter" w:cs="inter"/>
          <w:color w:val="000000"/>
          <w:sz w:val="18"/>
          <w:u w:val="single"/>
        </w:rPr>
        <w:t>https://www.163.com/dy/article/KIOUEFIO05199DKK.html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98A3DE">
      <w:pPr>
        <w:numPr>
          <w:ilvl w:val="0"/>
          <w:numId w:val="27"/>
        </w:numPr>
        <w:spacing w:after="210" w:line="360" w:lineRule="auto"/>
      </w:pPr>
      <w:bookmarkStart w:id="199" w:name="fn103"/>
      <w:bookmarkEnd w:id="199"/>
      <w:r>
        <w:fldChar w:fldCharType="begin"/>
      </w:r>
      <w:r>
        <w:instrText xml:space="preserve"> HYPERLINK "https://www.youtube.com/watch?v=-MzKIBShDmw" \h </w:instrText>
      </w:r>
      <w:r>
        <w:fldChar w:fldCharType="separate"/>
      </w:r>
      <w:r>
        <w:rPr>
          <w:rFonts w:ascii="inter" w:hAnsi="inter" w:eastAsia="inter" w:cs="inter"/>
          <w:color w:val="000000"/>
          <w:sz w:val="18"/>
          <w:u w:val="single"/>
        </w:rPr>
        <w:t>https://www.youtube.com/watch?v=-MzKIBShDmw</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6CF88E">
      <w:pPr>
        <w:numPr>
          <w:ilvl w:val="0"/>
          <w:numId w:val="27"/>
        </w:numPr>
        <w:spacing w:after="210" w:line="360" w:lineRule="auto"/>
      </w:pPr>
      <w:bookmarkStart w:id="200" w:name="fn104"/>
      <w:bookmarkEnd w:id="200"/>
      <w:r>
        <w:fldChar w:fldCharType="begin"/>
      </w:r>
      <w:r>
        <w:instrText xml:space="preserve"> HYPERLINK "https://money.finance.sina.com.cn/corp/view/vCB_AllBulletinDetail.php?stockid=000975&amp;id=5953312" \h </w:instrText>
      </w:r>
      <w:r>
        <w:fldChar w:fldCharType="separate"/>
      </w:r>
      <w:r>
        <w:rPr>
          <w:rFonts w:ascii="inter" w:hAnsi="inter" w:eastAsia="inter" w:cs="inter"/>
          <w:color w:val="000000"/>
          <w:sz w:val="18"/>
          <w:u w:val="single"/>
        </w:rPr>
        <w:t>https://money.finance.sina.com.cn/corp/view/vCB_AllBulletinDetail.php?stockid=000975&amp;id=5953312</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pPr>
        <w:tabs>
          <w:tab w:val="left" w:pos="900"/>
        </w:tabs>
        <w:ind w:left="540" w:hanging="360"/>
      </w:pPr>
      <w:rPr>
        <w:rFonts w:hint="default" w:ascii="Symbol" w:hAnsi="Symbol"/>
      </w:rPr>
    </w:lvl>
  </w:abstractNum>
  <w:abstractNum w:abstractNumId="1">
    <w:nsid w:val="9C8AC8EF"/>
    <w:multiLevelType w:val="singleLevel"/>
    <w:tmpl w:val="9C8AC8EF"/>
    <w:lvl w:ilvl="0" w:tentative="0">
      <w:start w:val="1"/>
      <w:numFmt w:val="bullet"/>
      <w:lvlText w:val=""/>
      <w:lvlJc w:val="left"/>
      <w:pPr>
        <w:tabs>
          <w:tab w:val="left" w:pos="900"/>
        </w:tabs>
        <w:ind w:left="540" w:hanging="360"/>
      </w:pPr>
      <w:rPr>
        <w:rFonts w:hint="default" w:ascii="Symbol" w:hAnsi="Symbol"/>
      </w:rPr>
    </w:lvl>
  </w:abstractNum>
  <w:abstractNum w:abstractNumId="2">
    <w:nsid w:val="B0F1ACD9"/>
    <w:multiLevelType w:val="singleLevel"/>
    <w:tmpl w:val="B0F1ACD9"/>
    <w:lvl w:ilvl="0" w:tentative="0">
      <w:start w:val="1"/>
      <w:numFmt w:val="decimal"/>
      <w:lvlText w:val="%1."/>
      <w:lvlJc w:val="left"/>
      <w:pPr>
        <w:tabs>
          <w:tab w:val="left" w:pos="900"/>
        </w:tabs>
        <w:ind w:left="540" w:hanging="360"/>
      </w:pPr>
    </w:lvl>
  </w:abstractNum>
  <w:abstractNum w:abstractNumId="3">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4">
    <w:nsid w:val="BE923771"/>
    <w:multiLevelType w:val="singleLevel"/>
    <w:tmpl w:val="BE923771"/>
    <w:lvl w:ilvl="0" w:tentative="0">
      <w:start w:val="1"/>
      <w:numFmt w:val="decimal"/>
      <w:lvlText w:val="%1."/>
      <w:lvlJc w:val="left"/>
      <w:pPr>
        <w:tabs>
          <w:tab w:val="left" w:pos="900"/>
        </w:tabs>
        <w:ind w:left="540" w:hanging="360"/>
      </w:pPr>
    </w:lvl>
  </w:abstractNum>
  <w:abstractNum w:abstractNumId="5">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6">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7">
    <w:nsid w:val="CF092B84"/>
    <w:multiLevelType w:val="singleLevel"/>
    <w:tmpl w:val="CF092B84"/>
    <w:lvl w:ilvl="0" w:tentative="0">
      <w:start w:val="1"/>
      <w:numFmt w:val="decimal"/>
      <w:lvlText w:val="%1."/>
      <w:lvlJc w:val="left"/>
      <w:pPr>
        <w:tabs>
          <w:tab w:val="left" w:pos="900"/>
        </w:tabs>
        <w:ind w:left="540" w:hanging="360"/>
      </w:pPr>
    </w:lvl>
  </w:abstractNum>
  <w:abstractNum w:abstractNumId="8">
    <w:nsid w:val="D7F9FE59"/>
    <w:multiLevelType w:val="singleLevel"/>
    <w:tmpl w:val="D7F9FE59"/>
    <w:lvl w:ilvl="0" w:tentative="0">
      <w:start w:val="1"/>
      <w:numFmt w:val="bullet"/>
      <w:lvlText w:val=""/>
      <w:lvlJc w:val="left"/>
      <w:pPr>
        <w:tabs>
          <w:tab w:val="left" w:pos="900"/>
        </w:tabs>
        <w:ind w:left="540" w:hanging="360"/>
      </w:pPr>
      <w:rPr>
        <w:rFonts w:hint="default" w:ascii="Symbol" w:hAnsi="Symbol"/>
      </w:rPr>
    </w:lvl>
  </w:abstractNum>
  <w:abstractNum w:abstractNumId="9">
    <w:nsid w:val="DCBA6B53"/>
    <w:multiLevelType w:val="singleLevel"/>
    <w:tmpl w:val="DCBA6B53"/>
    <w:lvl w:ilvl="0" w:tentative="0">
      <w:start w:val="1"/>
      <w:numFmt w:val="bullet"/>
      <w:lvlText w:val=""/>
      <w:lvlJc w:val="left"/>
      <w:pPr>
        <w:tabs>
          <w:tab w:val="left" w:pos="900"/>
        </w:tabs>
        <w:ind w:left="540" w:hanging="360"/>
      </w:pPr>
      <w:rPr>
        <w:rFonts w:hint="default" w:ascii="Symbol" w:hAnsi="Symbol"/>
      </w:rPr>
    </w:lvl>
  </w:abstractNum>
  <w:abstractNum w:abstractNumId="10">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11">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12">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13">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14">
    <w:nsid w:val="0E640482"/>
    <w:multiLevelType w:val="singleLevel"/>
    <w:tmpl w:val="0E640482"/>
    <w:lvl w:ilvl="0" w:tentative="0">
      <w:start w:val="1"/>
      <w:numFmt w:val="bullet"/>
      <w:lvlText w:val=""/>
      <w:lvlJc w:val="left"/>
      <w:pPr>
        <w:tabs>
          <w:tab w:val="left" w:pos="900"/>
        </w:tabs>
        <w:ind w:left="540" w:hanging="360"/>
      </w:pPr>
      <w:rPr>
        <w:rFonts w:hint="default" w:ascii="Symbol" w:hAnsi="Symbol"/>
      </w:rPr>
    </w:lvl>
  </w:abstractNum>
  <w:abstractNum w:abstractNumId="15">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16">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17">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18">
    <w:nsid w:val="46A08BB8"/>
    <w:multiLevelType w:val="singleLevel"/>
    <w:tmpl w:val="46A08BB8"/>
    <w:lvl w:ilvl="0" w:tentative="0">
      <w:start w:val="1"/>
      <w:numFmt w:val="decimal"/>
      <w:lvlText w:val="%1."/>
      <w:lvlJc w:val="left"/>
      <w:pPr>
        <w:tabs>
          <w:tab w:val="left" w:pos="900"/>
        </w:tabs>
        <w:ind w:left="540" w:hanging="360"/>
      </w:pPr>
    </w:lvl>
  </w:abstractNum>
  <w:abstractNum w:abstractNumId="19">
    <w:nsid w:val="4C1BAE26"/>
    <w:multiLevelType w:val="singleLevel"/>
    <w:tmpl w:val="4C1BAE26"/>
    <w:lvl w:ilvl="0" w:tentative="0">
      <w:start w:val="1"/>
      <w:numFmt w:val="bullet"/>
      <w:lvlText w:val=""/>
      <w:lvlJc w:val="left"/>
      <w:pPr>
        <w:tabs>
          <w:tab w:val="left" w:pos="900"/>
        </w:tabs>
        <w:ind w:left="540" w:hanging="360"/>
      </w:pPr>
      <w:rPr>
        <w:rFonts w:hint="default" w:ascii="Symbol" w:hAnsi="Symbol"/>
      </w:rPr>
    </w:lvl>
  </w:abstractNum>
  <w:abstractNum w:abstractNumId="20">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21">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22">
    <w:nsid w:val="5A241D34"/>
    <w:multiLevelType w:val="singleLevel"/>
    <w:tmpl w:val="5A241D34"/>
    <w:lvl w:ilvl="0" w:tentative="0">
      <w:start w:val="1"/>
      <w:numFmt w:val="bullet"/>
      <w:lvlText w:val=""/>
      <w:lvlJc w:val="left"/>
      <w:pPr>
        <w:tabs>
          <w:tab w:val="left" w:pos="900"/>
        </w:tabs>
        <w:ind w:left="540" w:hanging="360"/>
      </w:pPr>
      <w:rPr>
        <w:rFonts w:hint="default" w:ascii="Symbol" w:hAnsi="Symbol"/>
      </w:rPr>
    </w:lvl>
  </w:abstractNum>
  <w:abstractNum w:abstractNumId="23">
    <w:nsid w:val="60382F6E"/>
    <w:multiLevelType w:val="singleLevel"/>
    <w:tmpl w:val="60382F6E"/>
    <w:lvl w:ilvl="0" w:tentative="0">
      <w:start w:val="1"/>
      <w:numFmt w:val="bullet"/>
      <w:lvlText w:val=""/>
      <w:lvlJc w:val="left"/>
      <w:pPr>
        <w:tabs>
          <w:tab w:val="left" w:pos="900"/>
        </w:tabs>
        <w:ind w:left="540" w:hanging="360"/>
      </w:pPr>
      <w:rPr>
        <w:rFonts w:hint="default" w:ascii="Symbol" w:hAnsi="Symbol"/>
      </w:rPr>
    </w:lvl>
  </w:abstractNum>
  <w:abstractNum w:abstractNumId="24">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abstractNum w:abstractNumId="25">
    <w:nsid w:val="77ECEA79"/>
    <w:multiLevelType w:val="singleLevel"/>
    <w:tmpl w:val="77ECEA79"/>
    <w:lvl w:ilvl="0" w:tentative="0">
      <w:start w:val="1"/>
      <w:numFmt w:val="bullet"/>
      <w:lvlText w:val=""/>
      <w:lvlJc w:val="left"/>
      <w:pPr>
        <w:tabs>
          <w:tab w:val="left" w:pos="900"/>
        </w:tabs>
        <w:ind w:left="540" w:hanging="360"/>
      </w:pPr>
      <w:rPr>
        <w:rFonts w:hint="default" w:ascii="Symbol" w:hAnsi="Symbol"/>
      </w:rPr>
    </w:lvl>
  </w:abstractNum>
  <w:abstractNum w:abstractNumId="26">
    <w:nsid w:val="7C246926"/>
    <w:multiLevelType w:val="singleLevel"/>
    <w:tmpl w:val="7C246926"/>
    <w:lvl w:ilvl="0" w:tentative="0">
      <w:start w:val="1"/>
      <w:numFmt w:val="bullet"/>
      <w:lvlText w:val=""/>
      <w:lvlJc w:val="left"/>
      <w:pPr>
        <w:tabs>
          <w:tab w:val="left" w:pos="900"/>
        </w:tabs>
        <w:ind w:left="540" w:hanging="360"/>
      </w:pPr>
      <w:rPr>
        <w:rFonts w:hint="default" w:ascii="Symbol" w:hAnsi="Symbol"/>
      </w:rPr>
    </w:lvl>
  </w:abstractNum>
  <w:num w:numId="1">
    <w:abstractNumId w:val="11"/>
  </w:num>
  <w:num w:numId="2">
    <w:abstractNumId w:val="7"/>
  </w:num>
  <w:num w:numId="3">
    <w:abstractNumId w:val="21"/>
  </w:num>
  <w:num w:numId="4">
    <w:abstractNumId w:val="5"/>
  </w:num>
  <w:num w:numId="5">
    <w:abstractNumId w:val="3"/>
  </w:num>
  <w:num w:numId="6">
    <w:abstractNumId w:val="13"/>
  </w:num>
  <w:num w:numId="7">
    <w:abstractNumId w:val="16"/>
  </w:num>
  <w:num w:numId="8">
    <w:abstractNumId w:val="24"/>
  </w:num>
  <w:num w:numId="9">
    <w:abstractNumId w:val="12"/>
  </w:num>
  <w:num w:numId="10">
    <w:abstractNumId w:val="0"/>
  </w:num>
  <w:num w:numId="11">
    <w:abstractNumId w:val="17"/>
  </w:num>
  <w:num w:numId="12">
    <w:abstractNumId w:val="22"/>
  </w:num>
  <w:num w:numId="13">
    <w:abstractNumId w:val="6"/>
  </w:num>
  <w:num w:numId="14">
    <w:abstractNumId w:val="20"/>
  </w:num>
  <w:num w:numId="15">
    <w:abstractNumId w:val="10"/>
  </w:num>
  <w:num w:numId="16">
    <w:abstractNumId w:val="15"/>
  </w:num>
  <w:num w:numId="17">
    <w:abstractNumId w:val="9"/>
  </w:num>
  <w:num w:numId="18">
    <w:abstractNumId w:val="8"/>
  </w:num>
  <w:num w:numId="19">
    <w:abstractNumId w:val="1"/>
  </w:num>
  <w:num w:numId="20">
    <w:abstractNumId w:val="19"/>
  </w:num>
  <w:num w:numId="21">
    <w:abstractNumId w:val="23"/>
  </w:num>
  <w:num w:numId="22">
    <w:abstractNumId w:val="14"/>
  </w:num>
  <w:num w:numId="23">
    <w:abstractNumId w:val="18"/>
  </w:num>
  <w:num w:numId="24">
    <w:abstractNumId w:val="2"/>
  </w:num>
  <w:num w:numId="25">
    <w:abstractNumId w:val="26"/>
  </w:num>
  <w:num w:numId="26">
    <w:abstractNumId w:val="25"/>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2C80F47"/>
    <w:rsid w:val="7B8E0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zh-CN"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Verbatim Char"/>
    <w:qFormat/>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22</Pages>
  <Words>4336</Words>
  <Characters>5151</Characters>
  <TotalTime>28</TotalTime>
  <ScaleCrop>false</ScaleCrop>
  <LinksUpToDate>false</LinksUpToDate>
  <CharactersWithSpaces>5171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2026-01-16T08:20:00Z</dcterms:created>
  <dc:creator>html-to-docx</dc:creator>
  <cp:keywords>html-to-docx</cp:keywords>
  <cp:lastModifiedBy>dyx</cp:lastModifiedBy>
  <dcterms:modified xsi:type="dcterms:W3CDTF">2026-01-17T16:35:45Z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139FE5078A2D49609DBA546FFC830819_12</vt:lpwstr>
  </property>
</Properties>
</file>