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D860F">
      <w:pPr>
        <w:spacing w:before="210" w:after="0" w:line="360" w:lineRule="auto"/>
      </w:pPr>
      <w:bookmarkStart w:id="113" w:name="_GoBack"/>
      <w:bookmarkEnd w:id="113"/>
      <w:r>
        <w:pict>
          <v:rect id="_x0000_s1026" o:spid="_x0000_s1026" o:spt="1" style="height:0.05pt;width:475.5pt;" coordsize="21600,21600">
            <v:path/>
            <v:fill focussize="0,0"/>
            <v:stroke weight="1pt" color="#000000" opacity="0f"/>
            <v:imagedata o:title=""/>
            <o:lock v:ext="edit"/>
            <w10:wrap type="none"/>
            <w10:anchorlock/>
          </v:rect>
        </w:pict>
      </w:r>
    </w:p>
    <w:p w14:paraId="7BABA75E">
      <w:pPr>
        <w:spacing w:before="157" w:after="157" w:line="270" w:lineRule="auto"/>
        <w:jc w:val="left"/>
      </w:pPr>
      <w:bookmarkStart w:id="0" w:name="黄金市场分析报告_2010_2026年价格走势与未来展望"/>
      <w:r>
        <w:rPr>
          <w:rFonts w:ascii="inter" w:hAnsi="inter" w:eastAsia="inter" w:cs="inter"/>
          <w:b/>
          <w:color w:val="000000"/>
          <w:sz w:val="39"/>
        </w:rPr>
        <w:t>黄金市场分析报告：2010-2026年价格走势与未来展望</w:t>
      </w:r>
      <w:bookmarkEnd w:id="0"/>
    </w:p>
    <w:p w14:paraId="3811BCE0">
      <w:pPr>
        <w:spacing w:before="315" w:after="105" w:line="360" w:lineRule="auto"/>
        <w:ind w:left="-30"/>
        <w:jc w:val="left"/>
      </w:pPr>
      <w:bookmarkStart w:id="1" w:name="执行摘要"/>
      <w:r>
        <w:rPr>
          <w:rFonts w:ascii="inter" w:hAnsi="inter" w:eastAsia="inter" w:cs="inter"/>
          <w:b/>
          <w:color w:val="000000"/>
          <w:sz w:val="24"/>
        </w:rPr>
        <w:t>执行摘要</w:t>
      </w:r>
      <w:bookmarkEnd w:id="1"/>
    </w:p>
    <w:p w14:paraId="117BA1FD">
      <w:pPr>
        <w:spacing w:after="210" w:line="360" w:lineRule="auto"/>
      </w:pPr>
      <w:r>
        <w:rPr>
          <w:rFonts w:ascii="inter" w:hAnsi="inter" w:eastAsia="inter" w:cs="inter"/>
          <w:color w:val="000000"/>
        </w:rPr>
        <w:t>黄金市场在过去16年经历了三个明显的周期：2010-2011年的上升阶段、2012-2015年的深度调整，以及自2015年底以来的超级牛市。当前（2026年1月中旬），黄金价格刚刚突破历史高点$4,642.77/盎司，较2024年初上涨逾120%。这一轮上升的核心驱动力来自于美联储降息预期、全球央行持续大规模购金、美元贬值趋势，以及地缘政治不确定性带来的避险需求。本报告分析了历史价格走势的关键驱动因素，并对未来三个可能的市场情景进行了阐述。</w:t>
      </w:r>
    </w:p>
    <w:p w14:paraId="693B1CC8">
      <w:pPr>
        <w:spacing w:before="315" w:after="105" w:line="360" w:lineRule="auto"/>
        <w:ind w:left="-30"/>
        <w:jc w:val="left"/>
      </w:pPr>
      <w:bookmarkStart w:id="2" w:name="第一部分_过去十六年的黄金价格走势_2010_2026"/>
      <w:r>
        <w:rPr>
          <w:rFonts w:ascii="inter" w:hAnsi="inter" w:eastAsia="inter" w:cs="inter"/>
          <w:b/>
          <w:color w:val="000000"/>
          <w:sz w:val="24"/>
        </w:rPr>
        <w:t>第一部分：过去十六年的黄金价格走势（2010-2026）</w:t>
      </w:r>
      <w:bookmarkEnd w:id="2"/>
    </w:p>
    <w:p w14:paraId="6AA90BFA">
      <w:pPr>
        <w:spacing w:before="315" w:after="105" w:line="360" w:lineRule="auto"/>
        <w:ind w:left="-30"/>
        <w:jc w:val="left"/>
      </w:pPr>
      <w:bookmarkStart w:id="3" w:name="四个明确的周期阶段"/>
      <w:r>
        <w:rPr>
          <w:rFonts w:ascii="inter" w:hAnsi="inter" w:eastAsia="inter" w:cs="inter"/>
          <w:b/>
          <w:color w:val="000000"/>
          <w:sz w:val="24"/>
        </w:rPr>
        <w:t>四个明确的周期阶段</w:t>
      </w:r>
      <w:bookmarkEnd w:id="3"/>
    </w:p>
    <w:p w14:paraId="11886433">
      <w:pPr>
        <w:spacing w:after="210" w:line="360" w:lineRule="auto"/>
      </w:pPr>
      <w:r>
        <w:rPr>
          <w:rFonts w:ascii="inter" w:hAnsi="inter" w:eastAsia="inter" w:cs="inter"/>
          <w:b/>
          <w:color w:val="000000"/>
        </w:rPr>
        <w:t>2010-2011年：危机后的避险上升</w:t>
      </w:r>
    </w:p>
    <w:p w14:paraId="3660CBBB">
      <w:pPr>
        <w:spacing w:after="210" w:line="360" w:lineRule="auto"/>
      </w:pPr>
      <w:r>
        <w:rPr>
          <w:rFonts w:ascii="inter" w:hAnsi="inter" w:eastAsia="inter" w:cs="inter"/>
          <w:color w:val="000000"/>
        </w:rPr>
        <w:t>2010年初，黄金价格在$1,226.66/盎司开盘，当年就上升了27.74%至$1,426.00。这个上升动力来自全球金融危机的后遗症。美联储实施了三轮量化宽松（QE）政策，向市场注入大量流动性；同时欧元区债务危机愈演愈烈，欧洲央行也面临政策困境。在这样的环境下，投资者纷纷寻求保值避险资产。2011年黄金迎来历史性时刻，在9月触及$1,896.50/盎司的历史高点，涨幅达到了11.65%。</w:t>
      </w:r>
      <w:bookmarkStart w:id="4" w:name="fnref1"/>
      <w:bookmarkEnd w:id="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293AD15">
      <w:pPr>
        <w:spacing w:after="210" w:line="360" w:lineRule="auto"/>
      </w:pPr>
      <w:r>
        <w:rPr>
          <w:rFonts w:ascii="inter" w:hAnsi="inter" w:eastAsia="inter" w:cs="inter"/>
          <w:color w:val="000000"/>
        </w:rPr>
        <w:t>这一阶段的黄金牛市主要源于三个因素的叠加：第一，全球央行的宽松流动性政策压低了名义利率；第二，市场对高通胀的担忧；第三，美元贬值的预期。</w:t>
      </w:r>
    </w:p>
    <w:p w14:paraId="30747A72">
      <w:pPr>
        <w:spacing w:after="210" w:line="360" w:lineRule="auto"/>
      </w:pPr>
      <w:r>
        <w:rPr>
          <w:rFonts w:ascii="inter" w:hAnsi="inter" w:eastAsia="inter" w:cs="inter"/>
          <w:b/>
          <w:color w:val="000000"/>
        </w:rPr>
        <w:t>2012-2015年：长期熊市调整</w:t>
      </w:r>
    </w:p>
    <w:p w14:paraId="1C59CB93">
      <w:pPr>
        <w:spacing w:after="210" w:line="360" w:lineRule="auto"/>
      </w:pPr>
      <w:r>
        <w:rPr>
          <w:rFonts w:ascii="inter" w:hAnsi="inter" w:eastAsia="inter" w:cs="inter"/>
          <w:color w:val="000000"/>
        </w:rPr>
        <w:t>2011年见顶后，黄金进入了长达约50个月的漫长熊市。2012年黄金价格平均为$1,668.86/盎司，略有反弹；但之后就是持续的下行。到2015年，黄金价格跌至$1,158.86/盎司，较2011年高点跌幅约39%。2016年一度创出$1,046/盎司的六年低位。</w:t>
      </w:r>
      <w:bookmarkStart w:id="5" w:name="fnref2"/>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6" w:name="fnref1_1"/>
      <w:bookmarkEnd w:id="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29C1EC6">
      <w:pPr>
        <w:spacing w:after="210" w:line="360" w:lineRule="auto"/>
      </w:pPr>
      <w:r>
        <w:rPr>
          <w:rFonts w:ascii="inter" w:hAnsi="inter" w:eastAsia="inter" w:cs="inter"/>
          <w:color w:val="000000"/>
        </w:rPr>
        <w:t>这个阶段的主要压力因素是：第一，美联储于2015年12月开启加息周期，这是金融危机后首次加息。加息增加了持有无息资产（黄金）的机会成本，使债券等有息资产更具吸引力；第二，美元在加息预期驱动下持续升值，用非美货币购买黄金的成本大幅上升，抑制了全球需求；第三，全球经济复苏预期逐步确立，避险需求下降。</w:t>
      </w:r>
      <w:bookmarkStart w:id="7" w:name="fnref3"/>
      <w:bookmarkEnd w:id="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8" w:name="fnref4"/>
      <w:bookmarkEnd w:id="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00684675">
      <w:pPr>
        <w:spacing w:after="210" w:line="360" w:lineRule="auto"/>
      </w:pPr>
      <w:r>
        <w:rPr>
          <w:rFonts w:ascii="inter" w:hAnsi="inter" w:eastAsia="inter" w:cs="inter"/>
          <w:b/>
          <w:color w:val="000000"/>
        </w:rPr>
        <w:t>2016-2019年：缓慢修复与区间波动</w:t>
      </w:r>
    </w:p>
    <w:p w14:paraId="2893A241">
      <w:pPr>
        <w:spacing w:after="210" w:line="360" w:lineRule="auto"/>
      </w:pPr>
      <w:r>
        <w:rPr>
          <w:rFonts w:ascii="inter" w:hAnsi="inter" w:eastAsia="inter" w:cs="inter"/>
          <w:color w:val="000000"/>
        </w:rPr>
        <w:t>2016年至2019年间，黄金价格在$1,000-$1,500的区间内反复波动，处于长期底部寻找。2017年虽然涨幅达到12.57%，但2018年又微幅下跌-1.15%，显示市场仍在消化前期的高位。这一时期黄金需求的主要来源转向了对贸易战、英脱欧、地缘政治风险的避险，但总体缺乏强有力的上升动力。</w:t>
      </w:r>
      <w:bookmarkStart w:id="9" w:name="fnref1_2"/>
      <w:bookmarkEnd w:id="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33A98FD4">
      <w:pPr>
        <w:spacing w:after="210" w:line="360" w:lineRule="auto"/>
      </w:pPr>
      <w:r>
        <w:rPr>
          <w:rFonts w:ascii="inter" w:hAnsi="inter" w:eastAsia="inter" w:cs="inter"/>
          <w:b/>
          <w:color w:val="000000"/>
        </w:rPr>
        <w:t>2020-2025年：超级牛市周期</w:t>
      </w:r>
    </w:p>
    <w:p w14:paraId="33363EF6">
      <w:pPr>
        <w:spacing w:after="210" w:line="360" w:lineRule="auto"/>
      </w:pPr>
      <w:r>
        <w:rPr>
          <w:rFonts w:ascii="inter" w:hAnsi="inter" w:eastAsia="inter" w:cs="inter"/>
          <w:color w:val="000000"/>
        </w:rPr>
        <w:t>2020年初新冠疫情爆发，美联储立即采取了包括零利率和无限量QE的极度宽松措施。黄金价格从2020年初的$1,518.41/盎司迅速上升至8月份创下$2,058.40/盎司的新高，涨幅达到35.6%。此后虽然经历了2021年的微幅回调（-5.81%）和2022年加息期的下跌至$1,652.85，但从2023年起黄金再度起飞。</w:t>
      </w:r>
      <w:bookmarkStart w:id="10" w:name="fnref5"/>
      <w:bookmarkEnd w:id="1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78C5BA51">
      <w:pPr>
        <w:spacing w:after="210" w:line="360" w:lineRule="auto"/>
      </w:pPr>
      <w:r>
        <w:rPr>
          <w:rFonts w:ascii="inter" w:hAnsi="inter" w:eastAsia="inter" w:cs="inter"/>
          <w:color w:val="000000"/>
        </w:rPr>
        <w:t>特别是2024年和2025年，黄金展现了超强的上升动力：</w:t>
      </w:r>
    </w:p>
    <w:p w14:paraId="4E0DFA20">
      <w:pPr>
        <w:numPr>
          <w:ilvl w:val="0"/>
          <w:numId w:val="1"/>
        </w:numPr>
        <w:spacing w:before="105" w:after="105" w:line="360" w:lineRule="auto"/>
      </w:pPr>
      <w:r>
        <w:rPr>
          <w:rFonts w:ascii="inter" w:hAnsi="inter" w:eastAsia="inter" w:cs="inter"/>
          <w:color w:val="000000"/>
          <w:sz w:val="21"/>
        </w:rPr>
        <w:t>2024年上升27.17%至$2,624.49/盎司</w:t>
      </w:r>
      <w:bookmarkStart w:id="11" w:name="fnref5_1"/>
      <w:bookmarkEnd w:id="11"/>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33C4748B">
      <w:pPr>
        <w:numPr>
          <w:ilvl w:val="0"/>
          <w:numId w:val="1"/>
        </w:numPr>
        <w:spacing w:before="105" w:after="105" w:line="360" w:lineRule="auto"/>
      </w:pPr>
      <w:r>
        <w:rPr>
          <w:rFonts w:ascii="inter" w:hAnsi="inter" w:eastAsia="inter" w:cs="inter"/>
          <w:color w:val="000000"/>
          <w:sz w:val="21"/>
        </w:rPr>
        <w:t>2025年暴涨66.80%至$4,794.85/盎司，创造了历史新高</w:t>
      </w:r>
      <w:bookmarkStart w:id="12" w:name="fnref6"/>
      <w:bookmarkEnd w:id="12"/>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141794F0">
      <w:pPr>
        <w:numPr>
          <w:ilvl w:val="0"/>
          <w:numId w:val="1"/>
        </w:numPr>
        <w:spacing w:before="105" w:after="105" w:line="360" w:lineRule="auto"/>
      </w:pPr>
      <w:r>
        <w:rPr>
          <w:rFonts w:ascii="inter" w:hAnsi="inter" w:eastAsia="inter" w:cs="inter"/>
          <w:color w:val="000000"/>
          <w:sz w:val="21"/>
        </w:rPr>
        <w:t>2026年1月中旬进一步上升至$4,642.77/盎司（虽然略有回调）</w:t>
      </w:r>
      <w:bookmarkStart w:id="13" w:name="fnref7"/>
      <w:bookmarkEnd w:id="1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4" w:name="fnref8"/>
      <w:bookmarkEnd w:id="1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B6551EE">
      <w:pPr>
        <w:spacing w:after="210" w:line="360" w:lineRule="auto"/>
      </w:pPr>
      <w:r>
        <w:rPr>
          <w:rFonts w:ascii="inter" w:hAnsi="inter" w:eastAsia="inter" w:cs="inter"/>
          <w:color w:val="000000"/>
        </w:rPr>
        <w:t>在短短两年半的时间内，黄金从$2,000区间上升到接近$4,800，翻倍有余。</w:t>
      </w:r>
    </w:p>
    <w:p w14:paraId="178B3B4E">
      <w:pPr>
        <w:spacing w:before="315" w:after="105" w:line="360" w:lineRule="auto"/>
        <w:ind w:left="-30"/>
        <w:jc w:val="left"/>
      </w:pPr>
      <w:bookmarkStart w:id="15" w:name="驱动因素详解"/>
      <w:r>
        <w:rPr>
          <w:rFonts w:ascii="inter" w:hAnsi="inter" w:eastAsia="inter" w:cs="inter"/>
          <w:b/>
          <w:color w:val="000000"/>
          <w:sz w:val="24"/>
        </w:rPr>
        <w:t>驱动因素详解</w:t>
      </w:r>
      <w:bookmarkEnd w:id="15"/>
    </w:p>
    <w:p w14:paraId="7F78FE2A">
      <w:pPr>
        <w:spacing w:after="210" w:line="360" w:lineRule="auto"/>
      </w:pPr>
      <w:r>
        <w:rPr>
          <w:rFonts w:ascii="inter" w:hAnsi="inter" w:eastAsia="inter" w:cs="inter"/>
          <w:b/>
          <w:color w:val="000000"/>
        </w:rPr>
        <w:t>1. 利率政策与实际利率</w:t>
      </w:r>
    </w:p>
    <w:p w14:paraId="5224F8E1">
      <w:pPr>
        <w:spacing w:after="210" w:line="360" w:lineRule="auto"/>
      </w:pPr>
      <w:r>
        <w:rPr>
          <w:rFonts w:ascii="inter" w:hAnsi="inter" w:eastAsia="inter" w:cs="inter"/>
          <w:color w:val="000000"/>
        </w:rPr>
        <w:t>黄金是不产生利息的资产，其吸引力与无风险利率（通常用美债收益率代表）的高低呈反向关系。简单来说，当央行加息时，存款、债券等有息资产变得更有吸引力，投资者倾向于减少黄金持仓；反之，降息会降低黄金的机会成本，使其更具吸引力。</w:t>
      </w:r>
      <w:bookmarkStart w:id="16" w:name="fnref9"/>
      <w:bookmarkEnd w:id="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409D8B42">
      <w:pPr>
        <w:spacing w:after="210" w:line="360" w:lineRule="auto"/>
      </w:pPr>
      <w:r>
        <w:rPr>
          <w:rFonts w:ascii="inter" w:hAnsi="inter" w:eastAsia="inter" w:cs="inter"/>
          <w:color w:val="000000"/>
        </w:rPr>
        <w:t>更重要的是实际利率（名义利率减去通胀率）的概念。当实际利率为负时，投资者持有现金和债券都在蚀本（购买力下降），此时黄金作为"保值避险"资产的需求会剧增。2020-2021年期间，美联储保持零利率，而通胀预期在上升，导致实际利率深度负值，这是黄金大牛市的重要基础。相反，2022-2023年美联储累计加息525个基点至5.25%-5.50%，虽然压制了黄金，但也控制了通胀预期。</w:t>
      </w:r>
      <w:bookmarkStart w:id="17" w:name="fnref10"/>
      <w:bookmarkEnd w:id="1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35AC2582">
      <w:pPr>
        <w:spacing w:after="210" w:line="360" w:lineRule="auto"/>
      </w:pPr>
      <w:r>
        <w:rPr>
          <w:rFonts w:ascii="inter" w:hAnsi="inter" w:eastAsia="inter" w:cs="inter"/>
          <w:color w:val="000000"/>
        </w:rPr>
        <w:t>从2024年开始，市场逐步认识到美联储可能进入降息周期，这为黄金奠定了基调。最新的信息表明，特朗普总统表示希望联邦基金利率在一年后降至"1%甚至更低"，这为2026年及之后的黄金上升提供了政策支持。</w:t>
      </w:r>
      <w:bookmarkStart w:id="18" w:name="fnref11"/>
      <w:bookmarkEnd w:id="18"/>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73456FB2">
      <w:pPr>
        <w:spacing w:after="210" w:line="360" w:lineRule="auto"/>
      </w:pPr>
      <w:r>
        <w:rPr>
          <w:rFonts w:ascii="inter" w:hAnsi="inter" w:eastAsia="inter" w:cs="inter"/>
          <w:b/>
          <w:color w:val="000000"/>
        </w:rPr>
        <w:t>2. 美元强弱与汇率</w:t>
      </w:r>
    </w:p>
    <w:p w14:paraId="77E2CD2C">
      <w:pPr>
        <w:spacing w:after="210" w:line="360" w:lineRule="auto"/>
      </w:pPr>
      <w:r>
        <w:rPr>
          <w:rFonts w:ascii="inter" w:hAnsi="inter" w:eastAsia="inter" w:cs="inter"/>
          <w:color w:val="000000"/>
        </w:rPr>
        <w:t>黄金以美元计价，这意味着美元升值时，黄金的国际竞争力下降。用人民币、欧元等其他货币衡量，黄金的价格会更高，全球需求反而增加；但用美元衡量的报价会因为美元升值而相对走低。反之亦然——美元贬值时，非美货币投资者购买黄金的成本更低，全球需求增加，美元计价的金价也会上升。</w:t>
      </w:r>
      <w:bookmarkStart w:id="19" w:name="fnref12"/>
      <w:bookmarkEnd w:id="19"/>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0" w:name="fnref13"/>
      <w:bookmarkEnd w:id="2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166949CB">
      <w:pPr>
        <w:spacing w:after="210" w:line="360" w:lineRule="auto"/>
      </w:pPr>
      <w:r>
        <w:rPr>
          <w:rFonts w:ascii="inter" w:hAnsi="inter" w:eastAsia="inter" w:cs="inter"/>
          <w:color w:val="000000"/>
        </w:rPr>
        <w:t>过去一年中，美元指数出现了明显的贬值。2025年美元指数下跌了9%，这直接支撑了黄金的上升。市场预期2026年美元可能继续走弱，这与多个机构对黄金进一步上升的预测相吻合。</w:t>
      </w:r>
      <w:bookmarkStart w:id="21" w:name="fnref14"/>
      <w:bookmarkEnd w:id="2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66CF74B8">
      <w:pPr>
        <w:spacing w:after="210" w:line="360" w:lineRule="auto"/>
      </w:pPr>
      <w:r>
        <w:rPr>
          <w:rFonts w:ascii="inter" w:hAnsi="inter" w:eastAsia="inter" w:cs="inter"/>
          <w:b/>
          <w:color w:val="000000"/>
        </w:rPr>
        <w:t>3. 全球央行的黄金购买</w:t>
      </w:r>
    </w:p>
    <w:p w14:paraId="670239E4">
      <w:pPr>
        <w:spacing w:after="210" w:line="360" w:lineRule="auto"/>
      </w:pPr>
      <w:r>
        <w:rPr>
          <w:rFonts w:ascii="inter" w:hAnsi="inter" w:eastAsia="inter" w:cs="inter"/>
          <w:color w:val="000000"/>
        </w:rPr>
        <w:t>这是最近几年支撑金价的最重要因素之一。根据世界黄金协会的数据：</w:t>
      </w:r>
    </w:p>
    <w:p w14:paraId="3D367A52">
      <w:pPr>
        <w:numPr>
          <w:ilvl w:val="0"/>
          <w:numId w:val="2"/>
        </w:numPr>
        <w:spacing w:before="105" w:after="105" w:line="360" w:lineRule="auto"/>
      </w:pPr>
      <w:r>
        <w:rPr>
          <w:rFonts w:ascii="inter" w:hAnsi="inter" w:eastAsia="inter" w:cs="inter"/>
          <w:color w:val="000000"/>
          <w:sz w:val="21"/>
        </w:rPr>
        <w:t>2021年全球央行购金450吨</w:t>
      </w:r>
    </w:p>
    <w:p w14:paraId="40BD5198">
      <w:pPr>
        <w:numPr>
          <w:ilvl w:val="0"/>
          <w:numId w:val="2"/>
        </w:numPr>
        <w:spacing w:before="105" w:after="105" w:line="360" w:lineRule="auto"/>
      </w:pPr>
      <w:r>
        <w:rPr>
          <w:rFonts w:ascii="inter" w:hAnsi="inter" w:eastAsia="inter" w:cs="inter"/>
          <w:color w:val="000000"/>
          <w:sz w:val="21"/>
        </w:rPr>
        <w:t>2022-2023年继续增持</w:t>
      </w:r>
    </w:p>
    <w:p w14:paraId="74960562">
      <w:pPr>
        <w:numPr>
          <w:ilvl w:val="0"/>
          <w:numId w:val="2"/>
        </w:numPr>
        <w:spacing w:before="105" w:after="105" w:line="360" w:lineRule="auto"/>
      </w:pPr>
      <w:r>
        <w:rPr>
          <w:rFonts w:ascii="inter" w:hAnsi="inter" w:eastAsia="inter" w:cs="inter"/>
          <w:color w:val="000000"/>
          <w:sz w:val="21"/>
        </w:rPr>
        <w:t>2024年达到1,089吨，创造历史第二高纪录</w:t>
      </w:r>
      <w:bookmarkStart w:id="22" w:name="fnref15"/>
      <w:bookmarkEnd w:id="22"/>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02B939F8">
      <w:pPr>
        <w:spacing w:after="210" w:line="360" w:lineRule="auto"/>
      </w:pPr>
      <w:r>
        <w:rPr>
          <w:rFonts w:ascii="inter" w:hAnsi="inter" w:eastAsia="inter" w:cs="inter"/>
          <w:color w:val="000000"/>
        </w:rPr>
        <w:t>这种央行购金的热潮反映了各国对美元可靠性的质疑，以及对黄金作为战略资产的重视。特别是中国、印度、土耳其等新兴经济体，正在加速增加黄金储备。中国央行自2024年11月起连续14个月增持黄金，累计增持约42吨。</w:t>
      </w:r>
      <w:bookmarkStart w:id="23" w:name="fnref16"/>
      <w:bookmarkEnd w:id="23"/>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24" w:name="fnref17"/>
      <w:bookmarkEnd w:id="2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61366DC4">
      <w:pPr>
        <w:spacing w:after="210" w:line="360" w:lineRule="auto"/>
      </w:pPr>
      <w:r>
        <w:rPr>
          <w:rFonts w:ascii="inter" w:hAnsi="inter" w:eastAsia="inter" w:cs="inter"/>
          <w:color w:val="000000"/>
        </w:rPr>
        <w:t>需要注意的是，虽然2025年前三季度央行购金同比下降了13%（从1,089吨降至约700多吨），但这主要是因为金价的大幅上升已经让许多央行的黄金储备占比超过了目标（例如波兰央行）。然而，95%的受访央行机构表示计划在未来12个月内继续增持黄金，这表明官方需求的长期趋势仍然坚实。</w:t>
      </w:r>
      <w:bookmarkStart w:id="25" w:name="fnref18"/>
      <w:bookmarkEnd w:id="2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26" w:name="fnref19"/>
      <w:bookmarkEnd w:id="2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0FD7AF0D">
      <w:pPr>
        <w:spacing w:after="210" w:line="360" w:lineRule="auto"/>
      </w:pPr>
      <w:r>
        <w:rPr>
          <w:rFonts w:ascii="inter" w:hAnsi="inter" w:eastAsia="inter" w:cs="inter"/>
          <w:b/>
          <w:color w:val="000000"/>
        </w:rPr>
        <w:t>4. 投资需求与ETF</w:t>
      </w:r>
    </w:p>
    <w:p w14:paraId="7F16B810">
      <w:pPr>
        <w:spacing w:after="210" w:line="360" w:lineRule="auto"/>
      </w:pPr>
      <w:r>
        <w:rPr>
          <w:rFonts w:ascii="inter" w:hAnsi="inter" w:eastAsia="inter" w:cs="inter"/>
          <w:color w:val="000000"/>
        </w:rPr>
        <w:t>除央行外，私人投资者对黄金的需求也在上升。世界黄金协会的数据显示，2025年前三季度的投资需求为1,566吨，较2024年同期增长了729吨，同比增长87%。这说明在金价上升的过程中，市场中的机构和个人投资者也在积极配置黄金。</w:t>
      </w:r>
      <w:bookmarkStart w:id="27" w:name="fnref15_1"/>
      <w:bookmarkEnd w:id="2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7E1432AC">
      <w:pPr>
        <w:spacing w:after="210" w:line="360" w:lineRule="auto"/>
      </w:pPr>
      <w:r>
        <w:rPr>
          <w:rFonts w:ascii="inter" w:hAnsi="inter" w:eastAsia="inter" w:cs="inter"/>
          <w:color w:val="000000"/>
        </w:rPr>
        <w:t>黄金支持ETF的持仓数据也反映了这一趋势。虽然在加息周期（2022-2023年）中出现过流出，但最近的数据显示流出势头已经停止，甚至出现了新的流入。</w:t>
      </w:r>
      <w:bookmarkStart w:id="28" w:name="fnref3_1"/>
      <w:bookmarkEnd w:id="2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A274C8A">
      <w:pPr>
        <w:spacing w:after="210" w:line="360" w:lineRule="auto"/>
      </w:pPr>
      <w:r>
        <w:rPr>
          <w:rFonts w:ascii="inter" w:hAnsi="inter" w:eastAsia="inter" w:cs="inter"/>
          <w:b/>
          <w:color w:val="000000"/>
        </w:rPr>
        <w:t>5. 地缘政治与避险情绪</w:t>
      </w:r>
    </w:p>
    <w:p w14:paraId="52221506">
      <w:pPr>
        <w:spacing w:after="210" w:line="360" w:lineRule="auto"/>
      </w:pPr>
      <w:r>
        <w:rPr>
          <w:rFonts w:ascii="inter" w:hAnsi="inter" w:eastAsia="inter" w:cs="inter"/>
          <w:color w:val="000000"/>
        </w:rPr>
        <w:t>乌克兰战争自2022年以来持续，俄罗斯加快了"去美元化"的步伐，大幅增加黄金储备作为替代美元的价值储存手段。中东地区的局势也间歇性地升级，最新的报道表明2025年乌克兰战事持续，中东局势紧张，这些都推升了全球的避险买盘。</w:t>
      </w:r>
      <w:bookmarkStart w:id="29" w:name="fnref20"/>
      <w:bookmarkEnd w:id="29"/>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30" w:name="fnref21"/>
      <w:bookmarkEnd w:id="30"/>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3F6C8585">
      <w:pPr>
        <w:spacing w:after="210" w:line="360" w:lineRule="auto"/>
      </w:pPr>
      <w:r>
        <w:rPr>
          <w:rFonts w:ascii="inter" w:hAnsi="inter" w:eastAsia="inter" w:cs="inter"/>
          <w:color w:val="000000"/>
        </w:rPr>
        <w:t>地缘政治风险虽然不是金价上升的唯一驱动，但在其他因素已经有利的背景下，它可以进一步强化上升势头。</w:t>
      </w:r>
    </w:p>
    <w:p w14:paraId="0C84E6CA">
      <w:pPr>
        <w:spacing w:after="210" w:line="360" w:lineRule="auto"/>
      </w:pPr>
      <w:r>
        <w:rPr>
          <w:rFonts w:ascii="inter" w:hAnsi="inter" w:eastAsia="inter" w:cs="inter"/>
          <w:b/>
          <w:color w:val="000000"/>
        </w:rPr>
        <w:t>6. 通胀与保值需求</w:t>
      </w:r>
    </w:p>
    <w:p w14:paraId="599B2F1C">
      <w:pPr>
        <w:spacing w:after="210" w:line="360" w:lineRule="auto"/>
      </w:pPr>
      <w:r>
        <w:rPr>
          <w:rFonts w:ascii="inter" w:hAnsi="inter" w:eastAsia="inter" w:cs="inter"/>
          <w:color w:val="000000"/>
        </w:rPr>
        <w:t>虽然2022-2023年的美联储加息已经比较好地控制住了通胀，但市场仍然存在对未来通胀的担忧。财政赤字庞大、贸易摩擦可能导致商品价格上升等因素，都使得投资者将黄金视为通胀对冲工具。特别是在美联储可能长期保持低利率环境的预期下，金价的长期保值属性变得尤为重要。</w:t>
      </w:r>
    </w:p>
    <w:p w14:paraId="745B0061">
      <w:pPr>
        <w:spacing w:before="315" w:after="105" w:line="360" w:lineRule="auto"/>
        <w:ind w:left="-30"/>
        <w:jc w:val="left"/>
      </w:pPr>
      <w:bookmarkStart w:id="31" w:name="第二部分_未来可能的走势情景"/>
      <w:r>
        <w:rPr>
          <w:rFonts w:ascii="inter" w:hAnsi="inter" w:eastAsia="inter" w:cs="inter"/>
          <w:b/>
          <w:color w:val="000000"/>
          <w:sz w:val="24"/>
        </w:rPr>
        <w:t>第二部分：未来可能的走势情景</w:t>
      </w:r>
      <w:bookmarkEnd w:id="31"/>
    </w:p>
    <w:p w14:paraId="41C71723">
      <w:pPr>
        <w:spacing w:after="210" w:line="360" w:lineRule="auto"/>
      </w:pPr>
      <w:r>
        <w:rPr>
          <w:rFonts w:ascii="inter" w:hAnsi="inter" w:eastAsia="inter" w:cs="inter"/>
          <w:color w:val="000000"/>
        </w:rPr>
        <w:t>基于以上分析，黄金的未来可能出现三个不同的情景。这三个情景都有各自的支撑条件，投资者需要根据宏观形势的发展来判断哪个情景最有可能实现。</w:t>
      </w:r>
    </w:p>
    <w:p w14:paraId="09B4E03E">
      <w:pPr>
        <w:spacing w:before="315" w:after="105" w:line="360" w:lineRule="auto"/>
        <w:ind w:left="-30"/>
        <w:jc w:val="left"/>
      </w:pPr>
      <w:bookmarkStart w:id="32" w:name="情景一_牛市续涨_概率_中等_较高"/>
      <w:r>
        <w:rPr>
          <w:rFonts w:ascii="inter" w:hAnsi="inter" w:eastAsia="inter" w:cs="inter"/>
          <w:b/>
          <w:color w:val="000000"/>
          <w:sz w:val="24"/>
        </w:rPr>
        <w:t>情景一：牛市续涨（概率：中等-较高）</w:t>
      </w:r>
      <w:bookmarkEnd w:id="32"/>
    </w:p>
    <w:p w14:paraId="4A0B0988">
      <w:pPr>
        <w:spacing w:after="210" w:line="360" w:lineRule="auto"/>
      </w:pPr>
      <w:r>
        <w:rPr>
          <w:rFonts w:ascii="inter" w:hAnsi="inter" w:eastAsia="inter" w:cs="inter"/>
          <w:b/>
          <w:color w:val="000000"/>
        </w:rPr>
        <w:t>可能的触发条件：</w:t>
      </w:r>
    </w:p>
    <w:p w14:paraId="4009C785">
      <w:pPr>
        <w:numPr>
          <w:ilvl w:val="0"/>
          <w:numId w:val="3"/>
        </w:numPr>
        <w:spacing w:before="105" w:after="105" w:line="360" w:lineRule="auto"/>
      </w:pPr>
      <w:r>
        <w:rPr>
          <w:rFonts w:ascii="inter" w:hAnsi="inter" w:eastAsia="inter" w:cs="inter"/>
          <w:color w:val="000000"/>
          <w:sz w:val="21"/>
        </w:rPr>
        <w:t>美联储如期在2026年下半年或2027年启动更大幅度的降息，使联邦基金利率降至2%-3%或更低</w:t>
      </w:r>
    </w:p>
    <w:p w14:paraId="2EA66713">
      <w:pPr>
        <w:numPr>
          <w:ilvl w:val="0"/>
          <w:numId w:val="3"/>
        </w:numPr>
        <w:spacing w:before="105" w:after="105" w:line="360" w:lineRule="auto"/>
      </w:pPr>
      <w:r>
        <w:rPr>
          <w:rFonts w:ascii="inter" w:hAnsi="inter" w:eastAsia="inter" w:cs="inter"/>
          <w:color w:val="000000"/>
          <w:sz w:val="21"/>
        </w:rPr>
        <w:t>全球经济增长放缓，经济衰退预期上升，推升避险需求</w:t>
      </w:r>
    </w:p>
    <w:p w14:paraId="2BBF76AE">
      <w:pPr>
        <w:numPr>
          <w:ilvl w:val="0"/>
          <w:numId w:val="3"/>
        </w:numPr>
        <w:spacing w:before="105" w:after="105" w:line="360" w:lineRule="auto"/>
      </w:pPr>
      <w:r>
        <w:rPr>
          <w:rFonts w:ascii="inter" w:hAnsi="inter" w:eastAsia="inter" w:cs="inter"/>
          <w:color w:val="000000"/>
          <w:sz w:val="21"/>
        </w:rPr>
        <w:t>美元继续贬值，特别是在"去美元化"趋势加速的情况下</w:t>
      </w:r>
    </w:p>
    <w:p w14:paraId="33626D05">
      <w:pPr>
        <w:numPr>
          <w:ilvl w:val="0"/>
          <w:numId w:val="3"/>
        </w:numPr>
        <w:spacing w:before="105" w:after="105" w:line="360" w:lineRule="auto"/>
      </w:pPr>
      <w:r>
        <w:rPr>
          <w:rFonts w:ascii="inter" w:hAnsi="inter" w:eastAsia="inter" w:cs="inter"/>
          <w:color w:val="000000"/>
          <w:sz w:val="21"/>
        </w:rPr>
        <w:t>央行持续购金，投资需求不减</w:t>
      </w:r>
    </w:p>
    <w:p w14:paraId="5D275BC1">
      <w:pPr>
        <w:numPr>
          <w:ilvl w:val="0"/>
          <w:numId w:val="3"/>
        </w:numPr>
        <w:spacing w:before="105" w:after="105" w:line="360" w:lineRule="auto"/>
      </w:pPr>
      <w:r>
        <w:rPr>
          <w:rFonts w:ascii="inter" w:hAnsi="inter" w:eastAsia="inter" w:cs="inter"/>
          <w:color w:val="000000"/>
          <w:sz w:val="21"/>
        </w:rPr>
        <w:t>地缘政治继续升温（乌克兰、中东）</w:t>
      </w:r>
    </w:p>
    <w:p w14:paraId="389CC56A">
      <w:pPr>
        <w:spacing w:after="210" w:line="360" w:lineRule="auto"/>
      </w:pPr>
      <w:r>
        <w:rPr>
          <w:rFonts w:ascii="inter" w:hAnsi="inter" w:eastAsia="inter" w:cs="inter"/>
          <w:b/>
          <w:color w:val="000000"/>
        </w:rPr>
        <w:t>价格目标：</w:t>
      </w:r>
    </w:p>
    <w:p w14:paraId="17F45017">
      <w:pPr>
        <w:spacing w:after="210" w:line="360" w:lineRule="auto"/>
      </w:pPr>
      <w:r>
        <w:rPr>
          <w:rFonts w:ascii="inter" w:hAnsi="inter" w:eastAsia="inter" w:cs="inter"/>
          <w:color w:val="000000"/>
        </w:rPr>
        <w:t>在这个情景下，黄金有可能继续突破当前的历史高点。摩根大通预计黄金在2026年第四季度有望升至$5,055/盎司，甚至可能进一步上探至$6,000/盎司。高盛则预计到2026年底升至$4,900/盎司。</w:t>
      </w:r>
      <w:bookmarkStart w:id="33" w:name="fnref14_1"/>
      <w:bookmarkEnd w:id="3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5A09B4DB">
      <w:pPr>
        <w:spacing w:after="210" w:line="360" w:lineRule="auto"/>
      </w:pPr>
      <w:r>
        <w:rPr>
          <w:rFonts w:ascii="inter" w:hAnsi="inter" w:eastAsia="inter" w:cs="inter"/>
          <w:color w:val="000000"/>
        </w:rPr>
        <w:t>这意味着从当前$4,600的水平再上升5%-30%的空间。支撑这个上升的是美联储可能的大幅降息（特朗普要求的"1%甚至更低"的利率水平），以及全球央行和投资者对黄金的持续配置需求。</w:t>
      </w:r>
    </w:p>
    <w:p w14:paraId="047285F8">
      <w:pPr>
        <w:spacing w:after="210" w:line="360" w:lineRule="auto"/>
      </w:pPr>
      <w:r>
        <w:rPr>
          <w:rFonts w:ascii="inter" w:hAnsi="inter" w:eastAsia="inter" w:cs="inter"/>
          <w:b/>
          <w:color w:val="000000"/>
        </w:rPr>
        <w:t>风险因素：</w:t>
      </w:r>
    </w:p>
    <w:p w14:paraId="28D86FCC">
      <w:pPr>
        <w:spacing w:after="210" w:line="360" w:lineRule="auto"/>
      </w:pPr>
      <w:r>
        <w:rPr>
          <w:rFonts w:ascii="inter" w:hAnsi="inter" w:eastAsia="inter" w:cs="inter"/>
          <w:color w:val="000000"/>
        </w:rPr>
        <w:t>这个情景最主要的风险是美联储降息幅度不如预期，或者美国经济表现强于预期（如最近的就业数据强势），导致美联储暂停降息计划。强于预期的经济数据会推升美元，进而压制黄金。</w:t>
      </w:r>
      <w:bookmarkStart w:id="34" w:name="fnref22"/>
      <w:bookmarkEnd w:id="34"/>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68211B12">
      <w:pPr>
        <w:spacing w:before="315" w:after="105" w:line="360" w:lineRule="auto"/>
        <w:ind w:left="-30"/>
        <w:jc w:val="left"/>
      </w:pPr>
      <w:bookmarkStart w:id="35" w:name="情景二_高位震荡_概率_中等"/>
      <w:r>
        <w:rPr>
          <w:rFonts w:ascii="inter" w:hAnsi="inter" w:eastAsia="inter" w:cs="inter"/>
          <w:b/>
          <w:color w:val="000000"/>
          <w:sz w:val="24"/>
        </w:rPr>
        <w:t>情景二：高位震荡（概率：中等）</w:t>
      </w:r>
      <w:bookmarkEnd w:id="35"/>
    </w:p>
    <w:p w14:paraId="2B89F973">
      <w:pPr>
        <w:spacing w:after="210" w:line="360" w:lineRule="auto"/>
      </w:pPr>
      <w:r>
        <w:rPr>
          <w:rFonts w:ascii="inter" w:hAnsi="inter" w:eastAsia="inter" w:cs="inter"/>
          <w:b/>
          <w:color w:val="000000"/>
        </w:rPr>
        <w:t>可能的触发条件：</w:t>
      </w:r>
    </w:p>
    <w:p w14:paraId="242CA15D">
      <w:pPr>
        <w:numPr>
          <w:ilvl w:val="0"/>
          <w:numId w:val="4"/>
        </w:numPr>
        <w:spacing w:before="105" w:after="105" w:line="360" w:lineRule="auto"/>
      </w:pPr>
      <w:r>
        <w:rPr>
          <w:rFonts w:ascii="inter" w:hAnsi="inter" w:eastAsia="inter" w:cs="inter"/>
          <w:color w:val="000000"/>
          <w:sz w:val="21"/>
        </w:rPr>
        <w:t>美联储降息步伐缓慢，年内降息幅度有限（例如仅降息100-150基点）</w:t>
      </w:r>
    </w:p>
    <w:p w14:paraId="0BBE1852">
      <w:pPr>
        <w:numPr>
          <w:ilvl w:val="0"/>
          <w:numId w:val="4"/>
        </w:numPr>
        <w:spacing w:before="105" w:after="105" w:line="360" w:lineRule="auto"/>
      </w:pPr>
      <w:r>
        <w:rPr>
          <w:rFonts w:ascii="inter" w:hAnsi="inter" w:eastAsia="inter" w:cs="inter"/>
          <w:color w:val="000000"/>
          <w:sz w:val="21"/>
        </w:rPr>
        <w:t>全球经济"软着陆"成功，既避免了衰退，又控制住了通胀</w:t>
      </w:r>
    </w:p>
    <w:p w14:paraId="5219289E">
      <w:pPr>
        <w:numPr>
          <w:ilvl w:val="0"/>
          <w:numId w:val="4"/>
        </w:numPr>
        <w:spacing w:before="105" w:after="105" w:line="360" w:lineRule="auto"/>
      </w:pPr>
      <w:r>
        <w:rPr>
          <w:rFonts w:ascii="inter" w:hAnsi="inter" w:eastAsia="inter" w:cs="inter"/>
          <w:color w:val="000000"/>
          <w:sz w:val="21"/>
        </w:rPr>
        <w:t>地缘政治风险不再扩大，避险情绪有所缓解</w:t>
      </w:r>
    </w:p>
    <w:p w14:paraId="7DFD050A">
      <w:pPr>
        <w:numPr>
          <w:ilvl w:val="0"/>
          <w:numId w:val="4"/>
        </w:numPr>
        <w:spacing w:before="105" w:after="105" w:line="360" w:lineRule="auto"/>
      </w:pPr>
      <w:r>
        <w:rPr>
          <w:rFonts w:ascii="inter" w:hAnsi="inter" w:eastAsia="inter" w:cs="inter"/>
          <w:color w:val="000000"/>
          <w:sz w:val="21"/>
        </w:rPr>
        <w:t>美元指数在高位企稳，不再继续贬值</w:t>
      </w:r>
    </w:p>
    <w:p w14:paraId="43A4AA0E">
      <w:pPr>
        <w:spacing w:after="210" w:line="360" w:lineRule="auto"/>
      </w:pPr>
      <w:r>
        <w:rPr>
          <w:rFonts w:ascii="inter" w:hAnsi="inter" w:eastAsia="inter" w:cs="inter"/>
          <w:b/>
          <w:color w:val="000000"/>
        </w:rPr>
        <w:t>价格目标：</w:t>
      </w:r>
    </w:p>
    <w:p w14:paraId="4370FA86">
      <w:pPr>
        <w:spacing w:after="210" w:line="360" w:lineRule="auto"/>
      </w:pPr>
      <w:r>
        <w:rPr>
          <w:rFonts w:ascii="inter" w:hAnsi="inter" w:eastAsia="inter" w:cs="inter"/>
          <w:color w:val="000000"/>
        </w:rPr>
        <w:t>在这个情景下，黄金价格可能在$3,800-$4,800的范围内反复震荡，既不会大幅突破新高，也不会跌破当前水平太多。这意味着投资者可能面临"做高不成、做低不就"的局面——买在高位可能会被套住，卖在低位又会错过反弹机会。</w:t>
      </w:r>
    </w:p>
    <w:p w14:paraId="33064F2B">
      <w:pPr>
        <w:spacing w:before="315" w:after="105" w:line="360" w:lineRule="auto"/>
        <w:ind w:left="-30"/>
        <w:jc w:val="left"/>
      </w:pPr>
      <w:bookmarkStart w:id="36" w:name="情景三_深度调整_概率_较低"/>
      <w:r>
        <w:rPr>
          <w:rFonts w:ascii="inter" w:hAnsi="inter" w:eastAsia="inter" w:cs="inter"/>
          <w:b/>
          <w:color w:val="000000"/>
          <w:sz w:val="24"/>
        </w:rPr>
        <w:t>情景三：深度调整（概率：较低）</w:t>
      </w:r>
      <w:bookmarkEnd w:id="36"/>
    </w:p>
    <w:p w14:paraId="29DF4614">
      <w:pPr>
        <w:spacing w:after="210" w:line="360" w:lineRule="auto"/>
      </w:pPr>
      <w:r>
        <w:rPr>
          <w:rFonts w:ascii="inter" w:hAnsi="inter" w:eastAsia="inter" w:cs="inter"/>
          <w:b/>
          <w:color w:val="000000"/>
        </w:rPr>
        <w:t>可能的触发条件：</w:t>
      </w:r>
    </w:p>
    <w:p w14:paraId="2A1A8B47">
      <w:pPr>
        <w:numPr>
          <w:ilvl w:val="0"/>
          <w:numId w:val="5"/>
        </w:numPr>
        <w:spacing w:before="105" w:after="105" w:line="360" w:lineRule="auto"/>
      </w:pPr>
      <w:r>
        <w:rPr>
          <w:rFonts w:ascii="inter" w:hAnsi="inter" w:eastAsia="inter" w:cs="inter"/>
          <w:color w:val="000000"/>
          <w:sz w:val="21"/>
        </w:rPr>
        <w:t>美联储改变政策立场，扭转降息预期，重新进入加息周期（这需要通胀意外回升）</w:t>
      </w:r>
    </w:p>
    <w:p w14:paraId="154F2613">
      <w:pPr>
        <w:numPr>
          <w:ilvl w:val="0"/>
          <w:numId w:val="5"/>
        </w:numPr>
        <w:spacing w:before="105" w:after="105" w:line="360" w:lineRule="auto"/>
      </w:pPr>
      <w:r>
        <w:rPr>
          <w:rFonts w:ascii="inter" w:hAnsi="inter" w:eastAsia="inter" w:cs="inter"/>
          <w:color w:val="000000"/>
          <w:sz w:val="21"/>
        </w:rPr>
        <w:t>美国经济表现强劲，就业市场继续紧张，导致美联储维持高利率</w:t>
      </w:r>
    </w:p>
    <w:p w14:paraId="7E11798A">
      <w:pPr>
        <w:numPr>
          <w:ilvl w:val="0"/>
          <w:numId w:val="5"/>
        </w:numPr>
        <w:spacing w:before="105" w:after="105" w:line="360" w:lineRule="auto"/>
      </w:pPr>
      <w:r>
        <w:rPr>
          <w:rFonts w:ascii="inter" w:hAnsi="inter" w:eastAsia="inter" w:cs="inter"/>
          <w:color w:val="000000"/>
          <w:sz w:val="21"/>
        </w:rPr>
        <w:t>美元指数强势反弹，创造新高</w:t>
      </w:r>
    </w:p>
    <w:p w14:paraId="17F06AAE">
      <w:pPr>
        <w:numPr>
          <w:ilvl w:val="0"/>
          <w:numId w:val="5"/>
        </w:numPr>
        <w:spacing w:before="105" w:after="105" w:line="360" w:lineRule="auto"/>
      </w:pPr>
      <w:r>
        <w:rPr>
          <w:rFonts w:ascii="inter" w:hAnsi="inter" w:eastAsia="inter" w:cs="inter"/>
          <w:color w:val="000000"/>
          <w:sz w:val="21"/>
        </w:rPr>
        <w:t>地缘政治风险迅速缓解（例如乌克兰战争意外结束），避险需求大幅下降</w:t>
      </w:r>
    </w:p>
    <w:p w14:paraId="5C473C9B">
      <w:pPr>
        <w:numPr>
          <w:ilvl w:val="0"/>
          <w:numId w:val="5"/>
        </w:numPr>
        <w:spacing w:before="105" w:after="105" w:line="360" w:lineRule="auto"/>
      </w:pPr>
      <w:r>
        <w:rPr>
          <w:rFonts w:ascii="inter" w:hAnsi="inter" w:eastAsia="inter" w:cs="inter"/>
          <w:color w:val="000000"/>
          <w:sz w:val="21"/>
        </w:rPr>
        <w:t>央行购金热情减弱</w:t>
      </w:r>
    </w:p>
    <w:p w14:paraId="596BE6FC">
      <w:pPr>
        <w:spacing w:after="210" w:line="360" w:lineRule="auto"/>
      </w:pPr>
      <w:r>
        <w:rPr>
          <w:rFonts w:ascii="inter" w:hAnsi="inter" w:eastAsia="inter" w:cs="inter"/>
          <w:b/>
          <w:color w:val="000000"/>
        </w:rPr>
        <w:t>价格目标：</w:t>
      </w:r>
    </w:p>
    <w:p w14:paraId="26DAE5D0">
      <w:pPr>
        <w:spacing w:after="210" w:line="360" w:lineRule="auto"/>
      </w:pPr>
      <w:r>
        <w:rPr>
          <w:rFonts w:ascii="inter" w:hAnsi="inter" w:eastAsia="inter" w:cs="inter"/>
          <w:color w:val="000000"/>
        </w:rPr>
        <w:t>在这个情景下，黄金可能回调至$3,000-$3,500的支撑位。这将意味着金价从$4,600回调20%-35%。虽然这个情景的概率较低（因为它需要美联储政策的根本转变），但并非不可能。历史上，2011年的$1,900高点之后就经历了40年低点（相对于名义GDP或通胀调整后）。</w:t>
      </w:r>
    </w:p>
    <w:p w14:paraId="1B3E0E94">
      <w:pPr>
        <w:spacing w:after="210" w:line="360" w:lineRule="auto"/>
      </w:pPr>
      <w:r>
        <w:rPr>
          <w:rFonts w:ascii="inter" w:hAnsi="inter" w:eastAsia="inter" w:cs="inter"/>
          <w:color w:val="000000"/>
        </w:rPr>
        <w:t>值得注意的是，即使发生深度调整，$3,000-$3,500的水平仍然远高于2020年初疫情前的$1,500水平，这反映了长期的结构性支撑因素（央行购金需求、美元贬值预期、实际利率低位）。</w:t>
      </w:r>
    </w:p>
    <w:p w14:paraId="3D1C4566">
      <w:pPr>
        <w:spacing w:before="315" w:after="105" w:line="360" w:lineRule="auto"/>
        <w:ind w:left="-30"/>
        <w:jc w:val="left"/>
      </w:pPr>
      <w:bookmarkStart w:id="37" w:name="第三部分_关键支撑与压力位"/>
      <w:r>
        <w:rPr>
          <w:rFonts w:ascii="inter" w:hAnsi="inter" w:eastAsia="inter" w:cs="inter"/>
          <w:b/>
          <w:color w:val="000000"/>
          <w:sz w:val="24"/>
        </w:rPr>
        <w:t>第三部分：关键支撑与压力位</w:t>
      </w:r>
      <w:bookmarkEnd w:id="37"/>
    </w:p>
    <w:p w14:paraId="34C3C6A9">
      <w:pPr>
        <w:spacing w:before="315" w:after="105" w:line="360" w:lineRule="auto"/>
        <w:ind w:left="-30"/>
        <w:jc w:val="left"/>
      </w:pPr>
      <w:bookmarkStart w:id="38" w:name="重要支撑位_向下的止损点"/>
      <w:r>
        <w:rPr>
          <w:rFonts w:ascii="inter" w:hAnsi="inter" w:eastAsia="inter" w:cs="inter"/>
          <w:b/>
          <w:color w:val="000000"/>
          <w:sz w:val="24"/>
        </w:rPr>
        <w:t>重要支撑位（向下的止损点）</w:t>
      </w:r>
      <w:bookmarkEnd w:id="38"/>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72"/>
        <w:gridCol w:w="4048"/>
        <w:gridCol w:w="665"/>
      </w:tblGrid>
      <w:tr w14:paraId="5FE4AAD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AEED311">
            <w:pPr>
              <w:spacing w:after="0" w:line="360" w:lineRule="auto"/>
            </w:pPr>
            <w:r>
              <w:rPr>
                <w:rFonts w:ascii="inter" w:hAnsi="inter" w:eastAsia="inter" w:cs="inter"/>
                <w:color w:val="000000"/>
                <w:sz w:val="17"/>
              </w:rPr>
              <w:t>支撑位</w:t>
            </w:r>
          </w:p>
        </w:tc>
        <w:tc>
          <w:tcPr>
            <w:tcBorders>
              <w:top w:val="single" w:color="000000" w:sz="0" w:space="0"/>
              <w:bottom w:val="single" w:color="000000" w:sz="0" w:space="0"/>
              <w:right w:val="single" w:color="000000" w:sz="0" w:space="0"/>
            </w:tcBorders>
          </w:tcPr>
          <w:p w14:paraId="32711936">
            <w:pPr>
              <w:spacing w:after="0" w:line="360" w:lineRule="auto"/>
            </w:pPr>
            <w:r>
              <w:rPr>
                <w:rFonts w:ascii="inter" w:hAnsi="inter" w:eastAsia="inter" w:cs="inter"/>
                <w:color w:val="000000"/>
                <w:sz w:val="17"/>
              </w:rPr>
              <w:t>历史背景</w:t>
            </w:r>
          </w:p>
        </w:tc>
        <w:tc>
          <w:tcPr>
            <w:tcBorders>
              <w:top w:val="single" w:color="000000" w:sz="0" w:space="0"/>
              <w:bottom w:val="single" w:color="000000" w:sz="0" w:space="0"/>
            </w:tcBorders>
          </w:tcPr>
          <w:p w14:paraId="79EBF8EF">
            <w:pPr>
              <w:spacing w:after="0" w:line="360" w:lineRule="auto"/>
            </w:pPr>
            <w:r>
              <w:rPr>
                <w:rFonts w:ascii="inter" w:hAnsi="inter" w:eastAsia="inter" w:cs="inter"/>
                <w:color w:val="000000"/>
                <w:sz w:val="17"/>
              </w:rPr>
              <w:t>强度</w:t>
            </w:r>
          </w:p>
        </w:tc>
      </w:tr>
      <w:tr w14:paraId="25339A5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84D4EEB">
            <w:pPr>
              <w:spacing w:after="0" w:line="360" w:lineRule="auto"/>
            </w:pPr>
            <w:r>
              <w:rPr>
                <w:rFonts w:ascii="inter" w:hAnsi="inter" w:eastAsia="inter" w:cs="inter"/>
                <w:b/>
                <w:color w:val="000000"/>
                <w:sz w:val="17"/>
              </w:rPr>
              <w:t>$4,000</w:t>
            </w:r>
          </w:p>
        </w:tc>
        <w:tc>
          <w:tcPr>
            <w:tcBorders>
              <w:top w:val="single" w:color="000000" w:sz="0" w:space="0"/>
              <w:bottom w:val="single" w:color="000000" w:sz="0" w:space="0"/>
              <w:right w:val="single" w:color="000000" w:sz="0" w:space="0"/>
            </w:tcBorders>
          </w:tcPr>
          <w:p w14:paraId="515CEDF9">
            <w:pPr>
              <w:spacing w:after="0" w:line="360" w:lineRule="auto"/>
            </w:pPr>
            <w:r>
              <w:rPr>
                <w:rFonts w:ascii="inter" w:hAnsi="inter" w:eastAsia="inter" w:cs="inter"/>
                <w:color w:val="000000"/>
                <w:sz w:val="17"/>
              </w:rPr>
              <w:t>心理整数位，接近2025年9月的$3,800新高</w:t>
            </w:r>
          </w:p>
        </w:tc>
        <w:tc>
          <w:tcPr>
            <w:tcBorders>
              <w:top w:val="single" w:color="000000" w:sz="0" w:space="0"/>
              <w:bottom w:val="single" w:color="000000" w:sz="0" w:space="0"/>
            </w:tcBorders>
          </w:tcPr>
          <w:p w14:paraId="722FA945">
            <w:pPr>
              <w:spacing w:after="0" w:line="360" w:lineRule="auto"/>
            </w:pPr>
            <w:r>
              <w:rPr>
                <w:rFonts w:ascii="inter" w:hAnsi="inter" w:eastAsia="inter" w:cs="inter"/>
                <w:color w:val="000000"/>
                <w:sz w:val="17"/>
              </w:rPr>
              <w:t>中等</w:t>
            </w:r>
          </w:p>
        </w:tc>
      </w:tr>
      <w:tr w14:paraId="79542E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0A43245">
            <w:pPr>
              <w:spacing w:after="0" w:line="360" w:lineRule="auto"/>
            </w:pPr>
            <w:r>
              <w:rPr>
                <w:rFonts w:ascii="inter" w:hAnsi="inter" w:eastAsia="inter" w:cs="inter"/>
                <w:b/>
                <w:color w:val="000000"/>
                <w:sz w:val="17"/>
              </w:rPr>
              <w:t>$3,800</w:t>
            </w:r>
          </w:p>
        </w:tc>
        <w:tc>
          <w:tcPr>
            <w:tcBorders>
              <w:top w:val="single" w:color="000000" w:sz="0" w:space="0"/>
              <w:bottom w:val="single" w:color="000000" w:sz="0" w:space="0"/>
              <w:right w:val="single" w:color="000000" w:sz="0" w:space="0"/>
            </w:tcBorders>
          </w:tcPr>
          <w:p w14:paraId="2FACFA30">
            <w:pPr>
              <w:spacing w:after="0" w:line="360" w:lineRule="auto"/>
            </w:pPr>
            <w:r>
              <w:rPr>
                <w:rFonts w:ascii="inter" w:hAnsi="inter" w:eastAsia="inter" w:cs="inter"/>
                <w:color w:val="000000"/>
                <w:sz w:val="17"/>
              </w:rPr>
              <w:t>2025年9月触及的关键高点</w:t>
            </w:r>
          </w:p>
        </w:tc>
        <w:tc>
          <w:tcPr>
            <w:tcBorders>
              <w:top w:val="single" w:color="000000" w:sz="0" w:space="0"/>
              <w:bottom w:val="single" w:color="000000" w:sz="0" w:space="0"/>
            </w:tcBorders>
          </w:tcPr>
          <w:p w14:paraId="3BEF4DDB">
            <w:pPr>
              <w:spacing w:after="0" w:line="360" w:lineRule="auto"/>
            </w:pPr>
            <w:r>
              <w:rPr>
                <w:rFonts w:ascii="inter" w:hAnsi="inter" w:eastAsia="inter" w:cs="inter"/>
                <w:color w:val="000000"/>
                <w:sz w:val="17"/>
              </w:rPr>
              <w:t>中强</w:t>
            </w:r>
          </w:p>
        </w:tc>
      </w:tr>
      <w:tr w14:paraId="628BA7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F28CA11">
            <w:pPr>
              <w:spacing w:after="0" w:line="360" w:lineRule="auto"/>
            </w:pPr>
            <w:r>
              <w:rPr>
                <w:rFonts w:ascii="inter" w:hAnsi="inter" w:eastAsia="inter" w:cs="inter"/>
                <w:b/>
                <w:color w:val="000000"/>
                <w:sz w:val="17"/>
              </w:rPr>
              <w:t>$3,500</w:t>
            </w:r>
          </w:p>
        </w:tc>
        <w:tc>
          <w:tcPr>
            <w:tcBorders>
              <w:top w:val="single" w:color="000000" w:sz="0" w:space="0"/>
              <w:bottom w:val="single" w:color="000000" w:sz="0" w:space="0"/>
              <w:right w:val="single" w:color="000000" w:sz="0" w:space="0"/>
            </w:tcBorders>
          </w:tcPr>
          <w:p w14:paraId="2698650B">
            <w:pPr>
              <w:spacing w:after="0" w:line="360" w:lineRule="auto"/>
            </w:pPr>
            <w:r>
              <w:rPr>
                <w:rFonts w:ascii="inter" w:hAnsi="inter" w:eastAsia="inter" w:cs="inter"/>
                <w:color w:val="000000"/>
                <w:sz w:val="17"/>
              </w:rPr>
              <w:t>2025年中期水平，投资者心理关键点</w:t>
            </w:r>
          </w:p>
        </w:tc>
        <w:tc>
          <w:tcPr>
            <w:tcBorders>
              <w:top w:val="single" w:color="000000" w:sz="0" w:space="0"/>
              <w:bottom w:val="single" w:color="000000" w:sz="0" w:space="0"/>
            </w:tcBorders>
          </w:tcPr>
          <w:p w14:paraId="6A902092">
            <w:pPr>
              <w:spacing w:after="0" w:line="360" w:lineRule="auto"/>
            </w:pPr>
            <w:r>
              <w:rPr>
                <w:rFonts w:ascii="inter" w:hAnsi="inter" w:eastAsia="inter" w:cs="inter"/>
                <w:color w:val="000000"/>
                <w:sz w:val="17"/>
              </w:rPr>
              <w:t>中等</w:t>
            </w:r>
          </w:p>
        </w:tc>
      </w:tr>
      <w:tr w14:paraId="472C542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D7D60C5">
            <w:pPr>
              <w:spacing w:after="0" w:line="360" w:lineRule="auto"/>
            </w:pPr>
            <w:r>
              <w:rPr>
                <w:rFonts w:ascii="inter" w:hAnsi="inter" w:eastAsia="inter" w:cs="inter"/>
                <w:b/>
                <w:color w:val="000000"/>
                <w:sz w:val="17"/>
              </w:rPr>
              <w:t>$3,300</w:t>
            </w:r>
          </w:p>
        </w:tc>
        <w:tc>
          <w:tcPr>
            <w:tcBorders>
              <w:top w:val="single" w:color="000000" w:sz="0" w:space="0"/>
              <w:bottom w:val="single" w:color="000000" w:sz="0" w:space="0"/>
              <w:right w:val="single" w:color="000000" w:sz="0" w:space="0"/>
            </w:tcBorders>
          </w:tcPr>
          <w:p w14:paraId="00DF49C5">
            <w:pPr>
              <w:spacing w:after="0" w:line="360" w:lineRule="auto"/>
            </w:pPr>
            <w:r>
              <w:rPr>
                <w:rFonts w:ascii="inter" w:hAnsi="inter" w:eastAsia="inter" w:cs="inter"/>
                <w:color w:val="000000"/>
                <w:sz w:val="17"/>
              </w:rPr>
              <w:t>高盛2026年底目标下方</w:t>
            </w:r>
          </w:p>
        </w:tc>
        <w:tc>
          <w:tcPr>
            <w:tcBorders>
              <w:top w:val="single" w:color="000000" w:sz="0" w:space="0"/>
              <w:bottom w:val="single" w:color="000000" w:sz="0" w:space="0"/>
            </w:tcBorders>
          </w:tcPr>
          <w:p w14:paraId="7FE86D3D">
            <w:pPr>
              <w:spacing w:after="0" w:line="360" w:lineRule="auto"/>
            </w:pPr>
            <w:r>
              <w:rPr>
                <w:rFonts w:ascii="inter" w:hAnsi="inter" w:eastAsia="inter" w:cs="inter"/>
                <w:color w:val="000000"/>
                <w:sz w:val="17"/>
              </w:rPr>
              <w:t>中弱</w:t>
            </w:r>
          </w:p>
        </w:tc>
      </w:tr>
      <w:tr w14:paraId="5B2F83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4795283">
            <w:pPr>
              <w:spacing w:after="0" w:line="360" w:lineRule="auto"/>
            </w:pPr>
            <w:r>
              <w:rPr>
                <w:rFonts w:ascii="inter" w:hAnsi="inter" w:eastAsia="inter" w:cs="inter"/>
                <w:b/>
                <w:color w:val="000000"/>
                <w:sz w:val="17"/>
              </w:rPr>
              <w:t>$3,000</w:t>
            </w:r>
          </w:p>
        </w:tc>
        <w:tc>
          <w:tcPr>
            <w:tcBorders>
              <w:top w:val="single" w:color="000000" w:sz="0" w:space="0"/>
              <w:bottom w:val="single" w:color="000000" w:sz="0" w:space="0"/>
              <w:right w:val="single" w:color="000000" w:sz="0" w:space="0"/>
            </w:tcBorders>
          </w:tcPr>
          <w:p w14:paraId="2FF20DEB">
            <w:pPr>
              <w:spacing w:after="0" w:line="360" w:lineRule="auto"/>
            </w:pPr>
            <w:r>
              <w:rPr>
                <w:rFonts w:ascii="inter" w:hAnsi="inter" w:eastAsia="inter" w:cs="inter"/>
                <w:color w:val="000000"/>
                <w:sz w:val="17"/>
              </w:rPr>
              <w:t>历史整数关键点，2024年高位附近</w:t>
            </w:r>
          </w:p>
        </w:tc>
        <w:tc>
          <w:tcPr>
            <w:tcBorders>
              <w:top w:val="single" w:color="000000" w:sz="0" w:space="0"/>
              <w:bottom w:val="single" w:color="000000" w:sz="0" w:space="0"/>
            </w:tcBorders>
          </w:tcPr>
          <w:p w14:paraId="1B9784B0">
            <w:pPr>
              <w:spacing w:after="0" w:line="360" w:lineRule="auto"/>
            </w:pPr>
            <w:r>
              <w:rPr>
                <w:rFonts w:ascii="inter" w:hAnsi="inter" w:eastAsia="inter" w:cs="inter"/>
                <w:color w:val="000000"/>
                <w:sz w:val="17"/>
              </w:rPr>
              <w:t>强</w:t>
            </w:r>
          </w:p>
        </w:tc>
      </w:tr>
      <w:tr w14:paraId="0CEE98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1F14BC2">
            <w:pPr>
              <w:spacing w:after="0" w:line="360" w:lineRule="auto"/>
            </w:pPr>
            <w:r>
              <w:rPr>
                <w:rFonts w:ascii="inter" w:hAnsi="inter" w:eastAsia="inter" w:cs="inter"/>
                <w:b/>
                <w:color w:val="000000"/>
                <w:sz w:val="17"/>
              </w:rPr>
              <w:t>$2,800</w:t>
            </w:r>
          </w:p>
        </w:tc>
        <w:tc>
          <w:tcPr>
            <w:tcBorders>
              <w:top w:val="single" w:color="000000" w:sz="0" w:space="0"/>
              <w:bottom w:val="single" w:color="000000" w:sz="0" w:space="0"/>
              <w:right w:val="single" w:color="000000" w:sz="0" w:space="0"/>
            </w:tcBorders>
          </w:tcPr>
          <w:p w14:paraId="541BAFBD">
            <w:pPr>
              <w:spacing w:after="0" w:line="360" w:lineRule="auto"/>
            </w:pPr>
            <w:r>
              <w:rPr>
                <w:rFonts w:ascii="inter" w:hAnsi="inter" w:eastAsia="inter" w:cs="inter"/>
                <w:color w:val="000000"/>
                <w:sz w:val="17"/>
              </w:rPr>
              <w:t>2024年突破点，心理堡垒</w:t>
            </w:r>
          </w:p>
        </w:tc>
        <w:tc>
          <w:tcPr>
            <w:tcBorders>
              <w:top w:val="single" w:color="000000" w:sz="0" w:space="0"/>
              <w:bottom w:val="single" w:color="000000" w:sz="0" w:space="0"/>
            </w:tcBorders>
          </w:tcPr>
          <w:p w14:paraId="248EDBED">
            <w:pPr>
              <w:spacing w:after="0" w:line="360" w:lineRule="auto"/>
            </w:pPr>
            <w:r>
              <w:rPr>
                <w:rFonts w:ascii="inter" w:hAnsi="inter" w:eastAsia="inter" w:cs="inter"/>
                <w:color w:val="000000"/>
                <w:sz w:val="17"/>
              </w:rPr>
              <w:t>强</w:t>
            </w:r>
          </w:p>
        </w:tc>
      </w:tr>
      <w:tr w14:paraId="1C909F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9326B08">
            <w:pPr>
              <w:spacing w:after="0" w:line="360" w:lineRule="auto"/>
            </w:pPr>
            <w:r>
              <w:rPr>
                <w:rFonts w:ascii="inter" w:hAnsi="inter" w:eastAsia="inter" w:cs="inter"/>
                <w:b/>
                <w:color w:val="000000"/>
                <w:sz w:val="17"/>
              </w:rPr>
              <w:t>$2,400</w:t>
            </w:r>
          </w:p>
        </w:tc>
        <w:tc>
          <w:tcPr>
            <w:tcBorders>
              <w:top w:val="single" w:color="000000" w:sz="0" w:space="0"/>
              <w:bottom w:val="single" w:color="000000" w:sz="0" w:space="0"/>
              <w:right w:val="single" w:color="000000" w:sz="0" w:space="0"/>
            </w:tcBorders>
          </w:tcPr>
          <w:p w14:paraId="5F357B79">
            <w:pPr>
              <w:spacing w:after="0" w:line="360" w:lineRule="auto"/>
            </w:pPr>
            <w:r>
              <w:rPr>
                <w:rFonts w:ascii="inter" w:hAnsi="inter" w:eastAsia="inter" w:cs="inter"/>
                <w:color w:val="000000"/>
                <w:sz w:val="17"/>
              </w:rPr>
              <w:t>2024年中期支撑</w:t>
            </w:r>
          </w:p>
        </w:tc>
        <w:tc>
          <w:tcPr>
            <w:tcBorders>
              <w:top w:val="single" w:color="000000" w:sz="0" w:space="0"/>
              <w:bottom w:val="single" w:color="000000" w:sz="0" w:space="0"/>
            </w:tcBorders>
          </w:tcPr>
          <w:p w14:paraId="5F63A4DF">
            <w:pPr>
              <w:spacing w:after="0" w:line="360" w:lineRule="auto"/>
            </w:pPr>
            <w:r>
              <w:rPr>
                <w:rFonts w:ascii="inter" w:hAnsi="inter" w:eastAsia="inter" w:cs="inter"/>
                <w:color w:val="000000"/>
                <w:sz w:val="17"/>
              </w:rPr>
              <w:t>中等</w:t>
            </w:r>
          </w:p>
        </w:tc>
      </w:tr>
      <w:tr w14:paraId="289834B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42241AF">
            <w:pPr>
              <w:spacing w:after="0" w:line="360" w:lineRule="auto"/>
            </w:pPr>
            <w:r>
              <w:rPr>
                <w:rFonts w:ascii="inter" w:hAnsi="inter" w:eastAsia="inter" w:cs="inter"/>
                <w:b/>
                <w:color w:val="000000"/>
                <w:sz w:val="17"/>
              </w:rPr>
              <w:t>$2,000</w:t>
            </w:r>
          </w:p>
        </w:tc>
        <w:tc>
          <w:tcPr>
            <w:tcBorders>
              <w:top w:val="single" w:color="000000" w:sz="0" w:space="0"/>
              <w:bottom w:val="single" w:color="000000" w:sz="0" w:space="0"/>
              <w:right w:val="single" w:color="000000" w:sz="0" w:space="0"/>
            </w:tcBorders>
          </w:tcPr>
          <w:p w14:paraId="7073BA24">
            <w:pPr>
              <w:spacing w:after="0" w:line="360" w:lineRule="auto"/>
            </w:pPr>
            <w:r>
              <w:rPr>
                <w:rFonts w:ascii="inter" w:hAnsi="inter" w:eastAsia="inter" w:cs="inter"/>
                <w:color w:val="000000"/>
                <w:sz w:val="17"/>
              </w:rPr>
              <w:t>2020年历史新高点之一</w:t>
            </w:r>
          </w:p>
        </w:tc>
        <w:tc>
          <w:tcPr>
            <w:tcBorders>
              <w:top w:val="single" w:color="000000" w:sz="0" w:space="0"/>
              <w:bottom w:val="single" w:color="000000" w:sz="0" w:space="0"/>
            </w:tcBorders>
          </w:tcPr>
          <w:p w14:paraId="4B4584D8">
            <w:pPr>
              <w:spacing w:after="0" w:line="360" w:lineRule="auto"/>
            </w:pPr>
            <w:r>
              <w:rPr>
                <w:rFonts w:ascii="inter" w:hAnsi="inter" w:eastAsia="inter" w:cs="inter"/>
                <w:color w:val="000000"/>
                <w:sz w:val="17"/>
              </w:rPr>
              <w:t>强</w:t>
            </w:r>
          </w:p>
        </w:tc>
      </w:tr>
      <w:tr w14:paraId="5BAD96D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E23021A">
            <w:pPr>
              <w:spacing w:after="0" w:line="360" w:lineRule="auto"/>
            </w:pPr>
            <w:r>
              <w:rPr>
                <w:rFonts w:ascii="inter" w:hAnsi="inter" w:eastAsia="inter" w:cs="inter"/>
                <w:b/>
                <w:color w:val="000000"/>
                <w:sz w:val="17"/>
              </w:rPr>
              <w:t>$1,850</w:t>
            </w:r>
          </w:p>
        </w:tc>
        <w:tc>
          <w:tcPr>
            <w:tcBorders>
              <w:top w:val="single" w:color="000000" w:sz="0" w:space="0"/>
              <w:bottom w:val="single" w:color="000000" w:sz="0" w:space="0"/>
              <w:right w:val="single" w:color="000000" w:sz="0" w:space="0"/>
            </w:tcBorders>
          </w:tcPr>
          <w:p w14:paraId="0DE3992A">
            <w:pPr>
              <w:spacing w:after="0" w:line="360" w:lineRule="auto"/>
            </w:pPr>
            <w:r>
              <w:rPr>
                <w:rFonts w:ascii="inter" w:hAnsi="inter" w:eastAsia="inter" w:cs="inter"/>
                <w:color w:val="000000"/>
                <w:sz w:val="17"/>
              </w:rPr>
              <w:t>2023年确立的中期底部</w:t>
            </w:r>
          </w:p>
        </w:tc>
        <w:tc>
          <w:tcPr>
            <w:tcBorders>
              <w:top w:val="single" w:color="000000" w:sz="0" w:space="0"/>
              <w:bottom w:val="single" w:color="000000" w:sz="0" w:space="0"/>
            </w:tcBorders>
          </w:tcPr>
          <w:p w14:paraId="1C8A9708">
            <w:pPr>
              <w:spacing w:after="0" w:line="360" w:lineRule="auto"/>
            </w:pPr>
            <w:r>
              <w:rPr>
                <w:rFonts w:ascii="inter" w:hAnsi="inter" w:eastAsia="inter" w:cs="inter"/>
                <w:color w:val="000000"/>
                <w:sz w:val="17"/>
              </w:rPr>
              <w:t>中等</w:t>
            </w:r>
          </w:p>
        </w:tc>
      </w:tr>
    </w:tbl>
    <w:p w14:paraId="6B5F0320"/>
    <w:p w14:paraId="480D38C7">
      <w:pPr>
        <w:spacing w:after="210" w:line="360" w:lineRule="auto"/>
      </w:pPr>
      <w:r>
        <w:rPr>
          <w:rFonts w:ascii="inter" w:hAnsi="inter" w:eastAsia="inter" w:cs="inter"/>
          <w:color w:val="000000"/>
        </w:rPr>
        <w:t>其中最关键的支撑位是$3,000、$2,800和$2,000这三个整数位，以及$1,850这个2023年的确认底部。如果金价跌破$3,000，说明市场的结构性看好情绪已经动摇；如果跌破$2,000，则表明新一轮熊市已经形成。</w:t>
      </w:r>
    </w:p>
    <w:p w14:paraId="15BE331B">
      <w:pPr>
        <w:spacing w:before="315" w:after="105" w:line="360" w:lineRule="auto"/>
        <w:ind w:left="-30"/>
        <w:jc w:val="left"/>
      </w:pPr>
      <w:bookmarkStart w:id="39" w:name="重要压力位_向上的目标点"/>
      <w:r>
        <w:rPr>
          <w:rFonts w:ascii="inter" w:hAnsi="inter" w:eastAsia="inter" w:cs="inter"/>
          <w:b/>
          <w:color w:val="000000"/>
          <w:sz w:val="24"/>
        </w:rPr>
        <w:t>重要压力位（向上的目标点）</w:t>
      </w:r>
      <w:bookmarkEnd w:id="39"/>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33"/>
        <w:gridCol w:w="3556"/>
        <w:gridCol w:w="665"/>
      </w:tblGrid>
      <w:tr w14:paraId="303966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8F04520">
            <w:pPr>
              <w:spacing w:after="0" w:line="360" w:lineRule="auto"/>
            </w:pPr>
            <w:r>
              <w:rPr>
                <w:rFonts w:ascii="inter" w:hAnsi="inter" w:eastAsia="inter" w:cs="inter"/>
                <w:color w:val="000000"/>
                <w:sz w:val="17"/>
              </w:rPr>
              <w:t>压力位</w:t>
            </w:r>
          </w:p>
        </w:tc>
        <w:tc>
          <w:tcPr>
            <w:tcBorders>
              <w:top w:val="single" w:color="000000" w:sz="0" w:space="0"/>
              <w:bottom w:val="single" w:color="000000" w:sz="0" w:space="0"/>
              <w:right w:val="single" w:color="000000" w:sz="0" w:space="0"/>
            </w:tcBorders>
          </w:tcPr>
          <w:p w14:paraId="28A97ABE">
            <w:pPr>
              <w:spacing w:after="0" w:line="360" w:lineRule="auto"/>
            </w:pPr>
            <w:r>
              <w:rPr>
                <w:rFonts w:ascii="inter" w:hAnsi="inter" w:eastAsia="inter" w:cs="inter"/>
                <w:color w:val="000000"/>
                <w:sz w:val="17"/>
              </w:rPr>
              <w:t>历史背景</w:t>
            </w:r>
          </w:p>
        </w:tc>
        <w:tc>
          <w:tcPr>
            <w:tcBorders>
              <w:top w:val="single" w:color="000000" w:sz="0" w:space="0"/>
              <w:bottom w:val="single" w:color="000000" w:sz="0" w:space="0"/>
            </w:tcBorders>
          </w:tcPr>
          <w:p w14:paraId="33C6871B">
            <w:pPr>
              <w:spacing w:after="0" w:line="360" w:lineRule="auto"/>
            </w:pPr>
            <w:r>
              <w:rPr>
                <w:rFonts w:ascii="inter" w:hAnsi="inter" w:eastAsia="inter" w:cs="inter"/>
                <w:color w:val="000000"/>
                <w:sz w:val="17"/>
              </w:rPr>
              <w:t>强度</w:t>
            </w:r>
          </w:p>
        </w:tc>
      </w:tr>
      <w:tr w14:paraId="4960B36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EDC8186">
            <w:pPr>
              <w:spacing w:after="0" w:line="360" w:lineRule="auto"/>
            </w:pPr>
            <w:r>
              <w:rPr>
                <w:rFonts w:ascii="inter" w:hAnsi="inter" w:eastAsia="inter" w:cs="inter"/>
                <w:b/>
                <w:color w:val="000000"/>
                <w:sz w:val="17"/>
              </w:rPr>
              <w:t>$4,650</w:t>
            </w:r>
          </w:p>
        </w:tc>
        <w:tc>
          <w:tcPr>
            <w:tcBorders>
              <w:top w:val="single" w:color="000000" w:sz="0" w:space="0"/>
              <w:bottom w:val="single" w:color="000000" w:sz="0" w:space="0"/>
              <w:right w:val="single" w:color="000000" w:sz="0" w:space="0"/>
            </w:tcBorders>
          </w:tcPr>
          <w:p w14:paraId="154FAB0A">
            <w:pPr>
              <w:spacing w:after="0" w:line="360" w:lineRule="auto"/>
            </w:pPr>
            <w:r>
              <w:rPr>
                <w:rFonts w:ascii="inter" w:hAnsi="inter" w:eastAsia="inter" w:cs="inter"/>
                <w:color w:val="000000"/>
                <w:sz w:val="17"/>
              </w:rPr>
              <w:t>2026年1月14日创造的历史新高</w:t>
            </w:r>
          </w:p>
        </w:tc>
        <w:tc>
          <w:tcPr>
            <w:tcBorders>
              <w:top w:val="single" w:color="000000" w:sz="0" w:space="0"/>
              <w:bottom w:val="single" w:color="000000" w:sz="0" w:space="0"/>
            </w:tcBorders>
          </w:tcPr>
          <w:p w14:paraId="19F13D4F">
            <w:pPr>
              <w:spacing w:after="0" w:line="360" w:lineRule="auto"/>
            </w:pPr>
            <w:r>
              <w:rPr>
                <w:rFonts w:ascii="inter" w:hAnsi="inter" w:eastAsia="inter" w:cs="inter"/>
                <w:color w:val="000000"/>
                <w:sz w:val="17"/>
              </w:rPr>
              <w:t>强</w:t>
            </w:r>
          </w:p>
        </w:tc>
      </w:tr>
      <w:tr w14:paraId="2FA201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9B28CF5">
            <w:pPr>
              <w:spacing w:after="0" w:line="360" w:lineRule="auto"/>
            </w:pPr>
            <w:r>
              <w:rPr>
                <w:rFonts w:ascii="inter" w:hAnsi="inter" w:eastAsia="inter" w:cs="inter"/>
                <w:b/>
                <w:color w:val="000000"/>
                <w:sz w:val="17"/>
              </w:rPr>
              <w:t>$4,800-4,900</w:t>
            </w:r>
          </w:p>
        </w:tc>
        <w:tc>
          <w:tcPr>
            <w:tcBorders>
              <w:top w:val="single" w:color="000000" w:sz="0" w:space="0"/>
              <w:bottom w:val="single" w:color="000000" w:sz="0" w:space="0"/>
              <w:right w:val="single" w:color="000000" w:sz="0" w:space="0"/>
            </w:tcBorders>
          </w:tcPr>
          <w:p w14:paraId="6691157F">
            <w:pPr>
              <w:spacing w:after="0" w:line="360" w:lineRule="auto"/>
            </w:pPr>
            <w:r>
              <w:rPr>
                <w:rFonts w:ascii="inter" w:hAnsi="inter" w:eastAsia="inter" w:cs="inter"/>
                <w:color w:val="000000"/>
                <w:sz w:val="17"/>
              </w:rPr>
              <w:t>高盛和多家机构2026年底目标</w:t>
            </w:r>
          </w:p>
        </w:tc>
        <w:tc>
          <w:tcPr>
            <w:tcBorders>
              <w:top w:val="single" w:color="000000" w:sz="0" w:space="0"/>
              <w:bottom w:val="single" w:color="000000" w:sz="0" w:space="0"/>
            </w:tcBorders>
          </w:tcPr>
          <w:p w14:paraId="56787979">
            <w:pPr>
              <w:spacing w:after="0" w:line="360" w:lineRule="auto"/>
            </w:pPr>
            <w:r>
              <w:rPr>
                <w:rFonts w:ascii="inter" w:hAnsi="inter" w:eastAsia="inter" w:cs="inter"/>
                <w:color w:val="000000"/>
                <w:sz w:val="17"/>
              </w:rPr>
              <w:t>中强</w:t>
            </w:r>
          </w:p>
        </w:tc>
      </w:tr>
      <w:tr w14:paraId="36AEFF9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11A6617">
            <w:pPr>
              <w:spacing w:after="0" w:line="360" w:lineRule="auto"/>
            </w:pPr>
            <w:r>
              <w:rPr>
                <w:rFonts w:ascii="inter" w:hAnsi="inter" w:eastAsia="inter" w:cs="inter"/>
                <w:b/>
                <w:color w:val="000000"/>
                <w:sz w:val="17"/>
              </w:rPr>
              <w:t>$5,000</w:t>
            </w:r>
          </w:p>
        </w:tc>
        <w:tc>
          <w:tcPr>
            <w:tcBorders>
              <w:top w:val="single" w:color="000000" w:sz="0" w:space="0"/>
              <w:bottom w:val="single" w:color="000000" w:sz="0" w:space="0"/>
              <w:right w:val="single" w:color="000000" w:sz="0" w:space="0"/>
            </w:tcBorders>
          </w:tcPr>
          <w:p w14:paraId="3932D5BD">
            <w:pPr>
              <w:spacing w:after="0" w:line="360" w:lineRule="auto"/>
            </w:pPr>
            <w:r>
              <w:rPr>
                <w:rFonts w:ascii="inter" w:hAnsi="inter" w:eastAsia="inter" w:cs="inter"/>
                <w:color w:val="000000"/>
                <w:sz w:val="17"/>
              </w:rPr>
              <w:t>心理整数位，摩根大通2026Q4目标下方</w:t>
            </w:r>
          </w:p>
        </w:tc>
        <w:tc>
          <w:tcPr>
            <w:tcBorders>
              <w:top w:val="single" w:color="000000" w:sz="0" w:space="0"/>
              <w:bottom w:val="single" w:color="000000" w:sz="0" w:space="0"/>
            </w:tcBorders>
          </w:tcPr>
          <w:p w14:paraId="7FACED37">
            <w:pPr>
              <w:spacing w:after="0" w:line="360" w:lineRule="auto"/>
            </w:pPr>
            <w:r>
              <w:rPr>
                <w:rFonts w:ascii="inter" w:hAnsi="inter" w:eastAsia="inter" w:cs="inter"/>
                <w:color w:val="000000"/>
                <w:sz w:val="17"/>
              </w:rPr>
              <w:t>中强</w:t>
            </w:r>
          </w:p>
        </w:tc>
      </w:tr>
      <w:tr w14:paraId="620928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5B4D56C">
            <w:pPr>
              <w:spacing w:after="0" w:line="360" w:lineRule="auto"/>
            </w:pPr>
            <w:r>
              <w:rPr>
                <w:rFonts w:ascii="inter" w:hAnsi="inter" w:eastAsia="inter" w:cs="inter"/>
                <w:b/>
                <w:color w:val="000000"/>
                <w:sz w:val="17"/>
              </w:rPr>
              <w:t>$5,055</w:t>
            </w:r>
          </w:p>
        </w:tc>
        <w:tc>
          <w:tcPr>
            <w:tcBorders>
              <w:top w:val="single" w:color="000000" w:sz="0" w:space="0"/>
              <w:bottom w:val="single" w:color="000000" w:sz="0" w:space="0"/>
              <w:right w:val="single" w:color="000000" w:sz="0" w:space="0"/>
            </w:tcBorders>
          </w:tcPr>
          <w:p w14:paraId="39304B26">
            <w:pPr>
              <w:spacing w:after="0" w:line="360" w:lineRule="auto"/>
            </w:pPr>
            <w:r>
              <w:rPr>
                <w:rFonts w:ascii="inter" w:hAnsi="inter" w:eastAsia="inter" w:cs="inter"/>
                <w:color w:val="000000"/>
                <w:sz w:val="17"/>
              </w:rPr>
              <w:t>摩根大通2026Q4明确目标</w:t>
            </w:r>
          </w:p>
        </w:tc>
        <w:tc>
          <w:tcPr>
            <w:tcBorders>
              <w:top w:val="single" w:color="000000" w:sz="0" w:space="0"/>
              <w:bottom w:val="single" w:color="000000" w:sz="0" w:space="0"/>
            </w:tcBorders>
          </w:tcPr>
          <w:p w14:paraId="76D4C587">
            <w:pPr>
              <w:spacing w:after="0" w:line="360" w:lineRule="auto"/>
            </w:pPr>
            <w:r>
              <w:rPr>
                <w:rFonts w:ascii="inter" w:hAnsi="inter" w:eastAsia="inter" w:cs="inter"/>
                <w:color w:val="000000"/>
                <w:sz w:val="17"/>
              </w:rPr>
              <w:t>中强</w:t>
            </w:r>
          </w:p>
        </w:tc>
      </w:tr>
      <w:tr w14:paraId="0B2EEC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2EDAF64">
            <w:pPr>
              <w:spacing w:after="0" w:line="360" w:lineRule="auto"/>
            </w:pPr>
            <w:r>
              <w:rPr>
                <w:rFonts w:ascii="inter" w:hAnsi="inter" w:eastAsia="inter" w:cs="inter"/>
                <w:b/>
                <w:color w:val="000000"/>
                <w:sz w:val="17"/>
              </w:rPr>
              <w:t>$6,000</w:t>
            </w:r>
          </w:p>
        </w:tc>
        <w:tc>
          <w:tcPr>
            <w:tcBorders>
              <w:top w:val="single" w:color="000000" w:sz="0" w:space="0"/>
              <w:bottom w:val="single" w:color="000000" w:sz="0" w:space="0"/>
              <w:right w:val="single" w:color="000000" w:sz="0" w:space="0"/>
            </w:tcBorders>
          </w:tcPr>
          <w:p w14:paraId="55BC5956">
            <w:pPr>
              <w:spacing w:after="0" w:line="360" w:lineRule="auto"/>
            </w:pPr>
            <w:r>
              <w:rPr>
                <w:rFonts w:ascii="inter" w:hAnsi="inter" w:eastAsia="inter" w:cs="inter"/>
                <w:color w:val="000000"/>
                <w:sz w:val="17"/>
              </w:rPr>
              <w:t>摩根大通远期极端目标</w:t>
            </w:r>
          </w:p>
        </w:tc>
        <w:tc>
          <w:tcPr>
            <w:tcBorders>
              <w:top w:val="single" w:color="000000" w:sz="0" w:space="0"/>
              <w:bottom w:val="single" w:color="000000" w:sz="0" w:space="0"/>
            </w:tcBorders>
          </w:tcPr>
          <w:p w14:paraId="50D8573D">
            <w:pPr>
              <w:spacing w:after="0" w:line="360" w:lineRule="auto"/>
            </w:pPr>
            <w:r>
              <w:rPr>
                <w:rFonts w:ascii="inter" w:hAnsi="inter" w:eastAsia="inter" w:cs="inter"/>
                <w:color w:val="000000"/>
                <w:sz w:val="17"/>
              </w:rPr>
              <w:t>中弱</w:t>
            </w:r>
          </w:p>
        </w:tc>
      </w:tr>
    </w:tbl>
    <w:p w14:paraId="236F8380"/>
    <w:p w14:paraId="672B9E49">
      <w:pPr>
        <w:spacing w:after="210" w:line="360" w:lineRule="auto"/>
      </w:pPr>
      <w:r>
        <w:rPr>
          <w:rFonts w:ascii="inter" w:hAnsi="inter" w:eastAsia="inter" w:cs="inter"/>
          <w:color w:val="000000"/>
        </w:rPr>
        <w:t>在这些压力位中，$4,650是最近刚刚创造的，可能成为短期的"现货高点"心理基准。$5,000和$5,055是多家主流机构看好的2026年底目标，如果能突破，将再创历史新高。$6,000则是更加激进的预测，需要出现更强劲的驱动因素（例如美联储大幅超预期降息）。</w:t>
      </w:r>
    </w:p>
    <w:p w14:paraId="15BA8C66">
      <w:pPr>
        <w:spacing w:before="315" w:after="105" w:line="360" w:lineRule="auto"/>
        <w:ind w:left="-30"/>
        <w:jc w:val="left"/>
      </w:pPr>
      <w:bookmarkStart w:id="40" w:name="第四部分_总结与投资启示"/>
      <w:r>
        <w:rPr>
          <w:rFonts w:ascii="inter" w:hAnsi="inter" w:eastAsia="inter" w:cs="inter"/>
          <w:b/>
          <w:color w:val="000000"/>
          <w:sz w:val="24"/>
        </w:rPr>
        <w:t>第四部分：总结与投资启示</w:t>
      </w:r>
      <w:bookmarkEnd w:id="40"/>
    </w:p>
    <w:p w14:paraId="20C34088">
      <w:pPr>
        <w:spacing w:after="210" w:line="360" w:lineRule="auto"/>
      </w:pPr>
      <w:r>
        <w:rPr>
          <w:rFonts w:ascii="inter" w:hAnsi="inter" w:eastAsia="inter" w:cs="inter"/>
          <w:color w:val="000000"/>
        </w:rPr>
        <w:t>黄金在过去16年经历了从危机后的避险上升、长期熊市调整、缓慢复苏到超级牛市的完整周期。当前的历史高价位反映了三个关键的结构性因素：</w:t>
      </w:r>
    </w:p>
    <w:p w14:paraId="2FB1FD14">
      <w:pPr>
        <w:numPr>
          <w:ilvl w:val="0"/>
          <w:numId w:val="6"/>
        </w:numPr>
        <w:spacing w:before="105" w:after="105" w:line="360" w:lineRule="auto"/>
      </w:pPr>
      <w:r>
        <w:rPr>
          <w:rFonts w:ascii="inter" w:hAnsi="inter" w:eastAsia="inter" w:cs="inter"/>
          <w:b/>
          <w:color w:val="000000"/>
          <w:sz w:val="21"/>
        </w:rPr>
        <w:t>美联储长期宽松预期</w:t>
      </w:r>
      <w:r>
        <w:rPr>
          <w:rFonts w:ascii="inter" w:hAnsi="inter" w:eastAsia="inter" w:cs="inter"/>
          <w:color w:val="000000"/>
          <w:sz w:val="21"/>
        </w:rPr>
        <w:t>：特朗普政府和美联储新主席可能采取的鸽派立场，支撑长期低利率环境</w:t>
      </w:r>
    </w:p>
    <w:p w14:paraId="36AB10F3">
      <w:pPr>
        <w:numPr>
          <w:ilvl w:val="0"/>
          <w:numId w:val="6"/>
        </w:numPr>
        <w:spacing w:before="105" w:after="105" w:line="360" w:lineRule="auto"/>
      </w:pPr>
      <w:r>
        <w:rPr>
          <w:rFonts w:ascii="inter" w:hAnsi="inter" w:eastAsia="inter" w:cs="inter"/>
          <w:b/>
          <w:color w:val="000000"/>
          <w:sz w:val="21"/>
        </w:rPr>
        <w:t>美元霸权的衰退</w:t>
      </w:r>
      <w:r>
        <w:rPr>
          <w:rFonts w:ascii="inter" w:hAnsi="inter" w:eastAsia="inter" w:cs="inter"/>
          <w:color w:val="000000"/>
          <w:sz w:val="21"/>
        </w:rPr>
        <w:t>：各国央行加速"去美元化"，黄金成为首选的价值储存手段</w:t>
      </w:r>
    </w:p>
    <w:p w14:paraId="2EEFEB7E">
      <w:pPr>
        <w:numPr>
          <w:ilvl w:val="0"/>
          <w:numId w:val="6"/>
        </w:numPr>
        <w:spacing w:before="105" w:after="105" w:line="360" w:lineRule="auto"/>
      </w:pPr>
      <w:r>
        <w:rPr>
          <w:rFonts w:ascii="inter" w:hAnsi="inter" w:eastAsia="inter" w:cs="inter"/>
          <w:b/>
          <w:color w:val="000000"/>
          <w:sz w:val="21"/>
        </w:rPr>
        <w:t>地缘政治不确定性</w:t>
      </w:r>
      <w:r>
        <w:rPr>
          <w:rFonts w:ascii="inter" w:hAnsi="inter" w:eastAsia="inter" w:cs="inter"/>
          <w:color w:val="000000"/>
          <w:sz w:val="21"/>
        </w:rPr>
        <w:t>：乌克兰、中东等地的持续冲突，强化避险需求</w:t>
      </w:r>
    </w:p>
    <w:p w14:paraId="346C9170">
      <w:pPr>
        <w:spacing w:after="210" w:line="360" w:lineRule="auto"/>
      </w:pPr>
      <w:r>
        <w:rPr>
          <w:rFonts w:ascii="inter" w:hAnsi="inter" w:eastAsia="inter" w:cs="inter"/>
          <w:color w:val="000000"/>
        </w:rPr>
        <w:t>这些因素未来几年内不太可能完全消失，这意味着黄金的长期趋势仍然向上。但短期内（未来3-6个月）可能会出现高位震荡或小幅调整，投资者应做好准备。</w:t>
      </w:r>
    </w:p>
    <w:p w14:paraId="1EE8A1F1">
      <w:pPr>
        <w:spacing w:after="210" w:line="360" w:lineRule="auto"/>
      </w:pPr>
      <w:r>
        <w:rPr>
          <w:rFonts w:ascii="inter" w:hAnsi="inter" w:eastAsia="inter" w:cs="inter"/>
          <w:color w:val="000000"/>
        </w:rPr>
        <w:t>对于投资者而言，$3,000-$3,500是关键的支撑区域，一旦金价跌破这个区域，就值得谨慎；而$5,000-$6,000则是中期的关键目标区域，能否突破将决定黄金是否进入新的阶段。</w:t>
      </w:r>
    </w:p>
    <w:p w14:paraId="0B5105DB">
      <w:pPr>
        <w:spacing w:after="210" w:line="360" w:lineRule="auto"/>
      </w:pPr>
      <w:bookmarkStart w:id="41" w:name="fnref1_3"/>
      <w:bookmarkEnd w:id="4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2" w:name="fnref20_1"/>
      <w:bookmarkEnd w:id="42"/>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43" w:name="fnref7_1"/>
      <w:bookmarkEnd w:id="4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44" w:name="fnref8_1"/>
      <w:bookmarkEnd w:id="4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45" w:name="fnref9_1"/>
      <w:bookmarkEnd w:id="4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46" w:name="fnref22_1"/>
      <w:bookmarkEnd w:id="46"/>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47" w:name="fnref15_2"/>
      <w:bookmarkEnd w:id="4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8" w:name="fnref14_2"/>
      <w:bookmarkEnd w:id="48"/>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9" w:name="fnref18_1"/>
      <w:bookmarkEnd w:id="49"/>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50" w:name="fnref11_1"/>
      <w:bookmarkEnd w:id="5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51" w:name="fnref16_1"/>
      <w:bookmarkEnd w:id="51"/>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52" w:name="fnref17_1"/>
      <w:bookmarkEnd w:id="52"/>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7318AFEC">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760BF64A">
      <w:pPr>
        <w:spacing w:after="0" w:line="360" w:lineRule="auto"/>
        <w:jc w:val="center"/>
      </w:pPr>
      <w:r>
        <w:rPr>
          <w:rFonts w:ascii="inter" w:hAnsi="inter" w:eastAsia="inter" w:cs="inter"/>
          <w:color w:val="000000"/>
        </w:rPr>
        <w:drawing>
          <wp:inline distT="0" distB="0" distL="0" distR="0">
            <wp:extent cx="952500" cy="952500"/>
            <wp:effectExtent l="0" t="0" r="0" b="0"/>
            <wp:docPr id="2" name="image-not-found.png" descr="黄金价格未来走势思维导图：展示了可能的市场方向、关键支撑与压力位以及核心驱动因素"/>
            <wp:cNvGraphicFramePr/>
            <a:graphic xmlns:a="http://schemas.openxmlformats.org/drawingml/2006/main">
              <a:graphicData uri="http://schemas.openxmlformats.org/drawingml/2006/picture">
                <pic:pic xmlns:pic="http://schemas.openxmlformats.org/drawingml/2006/picture">
                  <pic:nvPicPr>
                    <pic:cNvPr id="2" name="image-not-found.png" descr="黄金价格未来走势思维导图：展示了可能的市场方向、关键支撑与压力位以及核心驱动因素"/>
                    <pic:cNvPicPr/>
                  </pic:nvPicPr>
                  <pic:blipFill>
                    <a:blip r:embed="rId6" cstate="print"/>
                    <a:srcRect/>
                    <a:stretch>
                      <a:fillRect/>
                    </a:stretch>
                  </pic:blipFill>
                  <pic:spPr>
                    <a:xfrm>
                      <a:off x="0" y="0"/>
                      <a:ext cx="952500" cy="952500"/>
                    </a:xfrm>
                    <a:prstGeom prst="rect">
                      <a:avLst/>
                    </a:prstGeom>
                  </pic:spPr>
                </pic:pic>
              </a:graphicData>
            </a:graphic>
          </wp:inline>
        </w:drawing>
      </w:r>
    </w:p>
    <w:p w14:paraId="3117007B">
      <w:pPr>
        <w:spacing w:after="210" w:line="360" w:lineRule="auto"/>
      </w:pPr>
      <w:r>
        <w:rPr>
          <w:rFonts w:ascii="inter" w:hAnsi="inter" w:eastAsia="inter" w:cs="inter"/>
          <w:color w:val="000000"/>
        </w:rPr>
        <w:t>黄金价格未来走势思维导图：展示了可能的市场方向、关键支撑与压力位以及核心驱动因素</w:t>
      </w:r>
    </w:p>
    <w:p w14:paraId="3EC4E3F3">
      <w:pPr>
        <w:spacing w:after="210" w:line="360" w:lineRule="auto"/>
      </w:pPr>
      <w:r>
        <w:rPr>
          <w:rFonts w:ascii="inter" w:hAnsi="inter" w:eastAsia="inter" w:cs="inter"/>
          <w:color w:val="000000"/>
        </w:rPr>
        <w:t>在上方的思维导图中，我已经将黄金价格展望的核心要素清晰地组织起来，包括未来可能的走势方向（牛市续涨、高位震荡、深度调整）、关键的支撑与压力位数值，以及推动金价变动的核心驱动因素。这个导图可以帮助投资者快速理解黄金市场的全景，并据此制定相应的投资策略。</w:t>
      </w:r>
      <w:r>
        <w:rPr>
          <w:rFonts w:ascii="inter" w:hAnsi="inter" w:eastAsia="inter" w:cs="inter"/>
          <w:color w:val="000000"/>
        </w:rPr>
        <w:br w:type="textWrapping"/>
      </w:r>
    </w:p>
    <w:p w14:paraId="3E690030">
      <w:pPr>
        <w:spacing w:line="360" w:lineRule="auto"/>
      </w:pPr>
      <w:r>
        <w:rPr>
          <w:rFonts w:ascii="inter" w:hAnsi="inter" w:eastAsia="inter" w:cs="inter"/>
          <w:color w:val="000000"/>
        </w:rPr>
        <w:t>⁂</w:t>
      </w:r>
    </w:p>
    <w:p w14:paraId="3B01D5EE">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13433649">
      <w:pPr>
        <w:numPr>
          <w:ilvl w:val="0"/>
          <w:numId w:val="7"/>
        </w:numPr>
        <w:spacing w:after="210" w:line="360" w:lineRule="auto"/>
      </w:pPr>
      <w:bookmarkStart w:id="53" w:name="fn1"/>
      <w:bookmarkEnd w:id="53"/>
      <w:r>
        <w:fldChar w:fldCharType="begin"/>
      </w:r>
      <w:r>
        <w:instrText xml:space="preserve"> HYPERLINK "https://www.guojijinjia.com/lishi/" \h </w:instrText>
      </w:r>
      <w:r>
        <w:fldChar w:fldCharType="separate"/>
      </w:r>
      <w:r>
        <w:rPr>
          <w:rFonts w:ascii="inter" w:hAnsi="inter" w:eastAsia="inter" w:cs="inter"/>
          <w:color w:val="000000"/>
          <w:sz w:val="18"/>
          <w:u w:val="single"/>
        </w:rPr>
        <w:t>https://www.guojijinjia.com/lishi/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2B0292">
      <w:pPr>
        <w:numPr>
          <w:ilvl w:val="0"/>
          <w:numId w:val="7"/>
        </w:numPr>
        <w:spacing w:after="210" w:line="360" w:lineRule="auto"/>
      </w:pPr>
      <w:bookmarkStart w:id="54" w:name="fn2"/>
      <w:bookmarkEnd w:id="54"/>
      <w:r>
        <w:fldChar w:fldCharType="begin"/>
      </w:r>
      <w:r>
        <w:instrText xml:space="preserve"> HYPERLINK "https://www.bullionvault.com/gold-news/market-fundamentals/gold-below-1000-april-top-forecaster-01072016" \h </w:instrText>
      </w:r>
      <w:r>
        <w:fldChar w:fldCharType="separate"/>
      </w:r>
      <w:r>
        <w:rPr>
          <w:rFonts w:ascii="inter" w:hAnsi="inter" w:eastAsia="inter" w:cs="inter"/>
          <w:color w:val="000000"/>
          <w:sz w:val="18"/>
          <w:u w:val="single"/>
        </w:rPr>
        <w:t>https://www.bullionvault.com/gold-news/market-fundamentals/gold-below-1000-april-top-forecaster-01072016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3CC0BC">
      <w:pPr>
        <w:numPr>
          <w:ilvl w:val="0"/>
          <w:numId w:val="7"/>
        </w:numPr>
        <w:spacing w:after="210" w:line="360" w:lineRule="auto"/>
      </w:pPr>
      <w:bookmarkStart w:id="55" w:name="fn3"/>
      <w:bookmarkEnd w:id="55"/>
      <w:r>
        <w:fldChar w:fldCharType="begin"/>
      </w:r>
      <w:r>
        <w:instrText xml:space="preserve"> HYPERLINK "https://www.spdrgoldshares.com/media/GLD/file/investment-commentary-2015review-2016-outlook.pdf" \h </w:instrText>
      </w:r>
      <w:r>
        <w:fldChar w:fldCharType="separate"/>
      </w:r>
      <w:r>
        <w:rPr>
          <w:rFonts w:ascii="inter" w:hAnsi="inter" w:eastAsia="inter" w:cs="inter"/>
          <w:color w:val="000000"/>
          <w:sz w:val="18"/>
          <w:u w:val="single"/>
        </w:rPr>
        <w:t>https://www.spdrgoldshares.com/media/GLD/file/investment-commentary-2015review-2016-outlook.pdf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9EC244">
      <w:pPr>
        <w:numPr>
          <w:ilvl w:val="0"/>
          <w:numId w:val="7"/>
        </w:numPr>
        <w:spacing w:after="210" w:line="360" w:lineRule="auto"/>
      </w:pPr>
      <w:bookmarkStart w:id="56" w:name="fn4"/>
      <w:bookmarkEnd w:id="56"/>
      <w:r>
        <w:fldChar w:fldCharType="begin"/>
      </w:r>
      <w:r>
        <w:instrText xml:space="preserve"> HYPERLINK "https://www.cnbc.com/2015/10/15/gold-price-move-points-to-fed-rate-hike-in-2016.html" \h </w:instrText>
      </w:r>
      <w:r>
        <w:fldChar w:fldCharType="separate"/>
      </w:r>
      <w:r>
        <w:rPr>
          <w:rFonts w:ascii="inter" w:hAnsi="inter" w:eastAsia="inter" w:cs="inter"/>
          <w:color w:val="000000"/>
          <w:sz w:val="18"/>
          <w:u w:val="single"/>
        </w:rPr>
        <w:t>https://www.cnbc.com/2015/10/15/gold-price-move-points-to-fed-rate-hike-in-2016.html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450851">
      <w:pPr>
        <w:numPr>
          <w:ilvl w:val="0"/>
          <w:numId w:val="7"/>
        </w:numPr>
        <w:spacing w:after="210" w:line="360" w:lineRule="auto"/>
      </w:pPr>
      <w:bookmarkStart w:id="57" w:name="fn5"/>
      <w:bookmarkEnd w:id="57"/>
      <w:r>
        <w:fldChar w:fldCharType="begin"/>
      </w:r>
      <w:r>
        <w:instrText xml:space="preserve"> HYPERLINK "https://www.jmbullion.com/charts/gold-price/5-year/" \h </w:instrText>
      </w:r>
      <w:r>
        <w:fldChar w:fldCharType="separate"/>
      </w:r>
      <w:r>
        <w:rPr>
          <w:rFonts w:ascii="inter" w:hAnsi="inter" w:eastAsia="inter" w:cs="inter"/>
          <w:color w:val="000000"/>
          <w:sz w:val="18"/>
          <w:u w:val="single"/>
        </w:rPr>
        <w:t>https://www.jmbullion.com/charts/gold-price/5-year/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C06EC9">
      <w:pPr>
        <w:numPr>
          <w:ilvl w:val="0"/>
          <w:numId w:val="7"/>
        </w:numPr>
        <w:spacing w:after="210" w:line="360" w:lineRule="auto"/>
      </w:pPr>
      <w:bookmarkStart w:id="58" w:name="fn6"/>
      <w:bookmarkEnd w:id="58"/>
      <w:r>
        <w:fldChar w:fldCharType="begin"/>
      </w:r>
      <w:r>
        <w:instrText xml:space="preserve"> HYPERLINK "https://strategicmetalsinvest.com/gold-prices/" \h </w:instrText>
      </w:r>
      <w:r>
        <w:fldChar w:fldCharType="separate"/>
      </w:r>
      <w:r>
        <w:rPr>
          <w:rFonts w:ascii="inter" w:hAnsi="inter" w:eastAsia="inter" w:cs="inter"/>
          <w:color w:val="000000"/>
          <w:sz w:val="18"/>
          <w:u w:val="single"/>
        </w:rPr>
        <w:t>https://strategicmetalsinvest.com/gold-prices/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F8DF52">
      <w:pPr>
        <w:numPr>
          <w:ilvl w:val="0"/>
          <w:numId w:val="7"/>
        </w:numPr>
        <w:spacing w:after="210" w:line="360" w:lineRule="auto"/>
      </w:pPr>
      <w:bookmarkStart w:id="59" w:name="fn7"/>
      <w:bookmarkEnd w:id="59"/>
      <w:r>
        <w:fldChar w:fldCharType="begin"/>
      </w:r>
      <w:r>
        <w:instrText xml:space="preserve"> HYPERLINK "https://finance.sina.com.cn/money/forex/hbfx/2026-01-15/doc-inhhiurv4388471.shtml" \h </w:instrText>
      </w:r>
      <w:r>
        <w:fldChar w:fldCharType="separate"/>
      </w:r>
      <w:r>
        <w:rPr>
          <w:rFonts w:ascii="inter" w:hAnsi="inter" w:eastAsia="inter" w:cs="inter"/>
          <w:color w:val="000000"/>
          <w:sz w:val="18"/>
          <w:u w:val="single"/>
        </w:rPr>
        <w:t>https://finance.sina.com.cn/money/forex/hbfx/2026-01-15/doc-inhhiurv4388471.shtml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9A8962">
      <w:pPr>
        <w:numPr>
          <w:ilvl w:val="0"/>
          <w:numId w:val="7"/>
        </w:numPr>
        <w:spacing w:after="210" w:line="360" w:lineRule="auto"/>
      </w:pPr>
      <w:bookmarkStart w:id="60" w:name="fn8"/>
      <w:bookmarkEnd w:id="60"/>
      <w:r>
        <w:fldChar w:fldCharType="begin"/>
      </w:r>
      <w:r>
        <w:instrText xml:space="preserve"> HYPERLINK "https://www.stcn.com/article/detail/3596165.html" \h </w:instrText>
      </w:r>
      <w:r>
        <w:fldChar w:fldCharType="separate"/>
      </w:r>
      <w:r>
        <w:rPr>
          <w:rFonts w:ascii="inter" w:hAnsi="inter" w:eastAsia="inter" w:cs="inter"/>
          <w:color w:val="000000"/>
          <w:sz w:val="18"/>
          <w:u w:val="single"/>
        </w:rPr>
        <w:t>https://www.stcn.com/article/detail/3596165.html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40EAC6">
      <w:pPr>
        <w:numPr>
          <w:ilvl w:val="0"/>
          <w:numId w:val="7"/>
        </w:numPr>
        <w:spacing w:after="210" w:line="360" w:lineRule="auto"/>
      </w:pPr>
      <w:bookmarkStart w:id="61" w:name="fn9"/>
      <w:bookmarkEnd w:id="61"/>
      <w:r>
        <w:fldChar w:fldCharType="begin"/>
      </w:r>
      <w:r>
        <w:instrText xml:space="preserve"> HYPERLINK "https://blog.csdn.net/WuLex/article/details/147456826" \h </w:instrText>
      </w:r>
      <w:r>
        <w:fldChar w:fldCharType="separate"/>
      </w:r>
      <w:r>
        <w:rPr>
          <w:rFonts w:ascii="inter" w:hAnsi="inter" w:eastAsia="inter" w:cs="inter"/>
          <w:color w:val="000000"/>
          <w:sz w:val="18"/>
          <w:u w:val="single"/>
        </w:rPr>
        <w:t>https://blog.csdn.net/WuLex/article/details/147456826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A56FB5">
      <w:pPr>
        <w:numPr>
          <w:ilvl w:val="0"/>
          <w:numId w:val="7"/>
        </w:numPr>
        <w:spacing w:after="210" w:line="360" w:lineRule="auto"/>
      </w:pPr>
      <w:bookmarkStart w:id="62" w:name="fn10"/>
      <w:bookmarkEnd w:id="62"/>
      <w:r>
        <w:fldChar w:fldCharType="begin"/>
      </w:r>
      <w:r>
        <w:instrText xml:space="preserve"> HYPERLINK "https://www.megasia.com.tw/emegaResearch/resources/doc/%E9%A1%A7%E5%95%8F%E5%A4%96%E5%9C%8B%E6%9C%89%E5%83%B9%E8%AD%89%E5%88%B8(%E4%B8%8D%E5%90%AB%E5%A2%83%E5%A4%96%E5%9F%BA%E9%87%91)%E6%8A%95%E8%B3%87%E4%BA%BA%E9%A0%88%E7%9F%A5.pdf" \h </w:instrText>
      </w:r>
      <w:r>
        <w:fldChar w:fldCharType="separate"/>
      </w:r>
      <w:r>
        <w:rPr>
          <w:rFonts w:ascii="inter" w:hAnsi="inter" w:eastAsia="inter" w:cs="inter"/>
          <w:color w:val="000000"/>
          <w:sz w:val="18"/>
          <w:u w:val="single"/>
        </w:rPr>
        <w:t>https://www.megasia.com.tw/emegaResearch/resources/doc/顧問外國有價證券(不含境外基金)投資人須知.pdf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6F62EE">
      <w:pPr>
        <w:numPr>
          <w:ilvl w:val="0"/>
          <w:numId w:val="7"/>
        </w:numPr>
        <w:spacing w:after="210" w:line="360" w:lineRule="auto"/>
      </w:pPr>
      <w:bookmarkStart w:id="63" w:name="fn11"/>
      <w:bookmarkEnd w:id="63"/>
      <w:r>
        <w:fldChar w:fldCharType="begin"/>
      </w:r>
      <w:r>
        <w:instrText xml:space="preserve"> HYPERLINK "https://www.nbd.com.cn/articles/2025-12-19/4187908.html" \h </w:instrText>
      </w:r>
      <w:r>
        <w:fldChar w:fldCharType="separate"/>
      </w:r>
      <w:r>
        <w:rPr>
          <w:rFonts w:ascii="inter" w:hAnsi="inter" w:eastAsia="inter" w:cs="inter"/>
          <w:color w:val="000000"/>
          <w:sz w:val="18"/>
          <w:u w:val="single"/>
        </w:rPr>
        <w:t>https://www.nbd.com.cn/articles/2025-12-19/4187908.html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84ABBA">
      <w:pPr>
        <w:numPr>
          <w:ilvl w:val="0"/>
          <w:numId w:val="7"/>
        </w:numPr>
        <w:spacing w:after="210" w:line="360" w:lineRule="auto"/>
      </w:pPr>
      <w:bookmarkStart w:id="64" w:name="fn12"/>
      <w:bookmarkEnd w:id="64"/>
      <w:r>
        <w:fldChar w:fldCharType="begin"/>
      </w:r>
      <w:r>
        <w:instrText xml:space="preserve"> HYPERLINK "https://m.hexun.com/gold/2025-12-27/222970221.html" \h </w:instrText>
      </w:r>
      <w:r>
        <w:fldChar w:fldCharType="separate"/>
      </w:r>
      <w:r>
        <w:rPr>
          <w:rFonts w:ascii="inter" w:hAnsi="inter" w:eastAsia="inter" w:cs="inter"/>
          <w:color w:val="000000"/>
          <w:sz w:val="18"/>
          <w:u w:val="single"/>
        </w:rPr>
        <w:t>https://m.hexun.com/gold/2025-12-27/222970221.html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52193C">
      <w:pPr>
        <w:numPr>
          <w:ilvl w:val="0"/>
          <w:numId w:val="7"/>
        </w:numPr>
        <w:spacing w:after="210" w:line="360" w:lineRule="auto"/>
      </w:pPr>
      <w:bookmarkStart w:id="65" w:name="fn13"/>
      <w:bookmarkEnd w:id="65"/>
      <w:r>
        <w:fldChar w:fldCharType="begin"/>
      </w:r>
      <w:r>
        <w:instrText xml:space="preserve"> HYPERLINK "https://sc.macromicro.me/collections/45/mm-gold-price/592/us-usd-dollar-gold-price" \h </w:instrText>
      </w:r>
      <w:r>
        <w:fldChar w:fldCharType="separate"/>
      </w:r>
      <w:r>
        <w:rPr>
          <w:rFonts w:ascii="inter" w:hAnsi="inter" w:eastAsia="inter" w:cs="inter"/>
          <w:color w:val="000000"/>
          <w:sz w:val="18"/>
          <w:u w:val="single"/>
        </w:rPr>
        <w:t>https://sc.macromicro.me/collections/45/mm-gold-price/592/us-usd-dollar-gold-price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BA9927">
      <w:pPr>
        <w:numPr>
          <w:ilvl w:val="0"/>
          <w:numId w:val="7"/>
        </w:numPr>
        <w:spacing w:after="210" w:line="360" w:lineRule="auto"/>
      </w:pPr>
      <w:bookmarkStart w:id="66" w:name="fn14"/>
      <w:bookmarkEnd w:id="66"/>
      <w:r>
        <w:fldChar w:fldCharType="begin"/>
      </w:r>
      <w:r>
        <w:instrText xml:space="preserve"> HYPERLINK "http://www.news.cn/world/20251225/612ade0c0c144e45bc112ce50c25edae/c.html" \h </w:instrText>
      </w:r>
      <w:r>
        <w:fldChar w:fldCharType="separate"/>
      </w:r>
      <w:r>
        <w:rPr>
          <w:rFonts w:ascii="inter" w:hAnsi="inter" w:eastAsia="inter" w:cs="inter"/>
          <w:color w:val="000000"/>
          <w:sz w:val="18"/>
          <w:u w:val="single"/>
        </w:rPr>
        <w:t>http://www.news.cn/world/20251225/612ade0c0c144e45bc112ce50c25edae/c.html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AB3B53">
      <w:pPr>
        <w:numPr>
          <w:ilvl w:val="0"/>
          <w:numId w:val="7"/>
        </w:numPr>
        <w:spacing w:after="210" w:line="360" w:lineRule="auto"/>
      </w:pPr>
      <w:bookmarkStart w:id="67" w:name="fn15"/>
      <w:bookmarkEnd w:id="67"/>
      <w:r>
        <w:fldChar w:fldCharType="begin"/>
      </w:r>
      <w:r>
        <w:instrText xml:space="preserve"> HYPERLINK "https://wallstreetcn.com/articles/3760054" \h </w:instrText>
      </w:r>
      <w:r>
        <w:fldChar w:fldCharType="separate"/>
      </w:r>
      <w:r>
        <w:rPr>
          <w:rFonts w:ascii="inter" w:hAnsi="inter" w:eastAsia="inter" w:cs="inter"/>
          <w:color w:val="000000"/>
          <w:sz w:val="18"/>
          <w:u w:val="single"/>
        </w:rPr>
        <w:t>https://wallstreetcn.com/articles/3760054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5AE2C4">
      <w:pPr>
        <w:numPr>
          <w:ilvl w:val="0"/>
          <w:numId w:val="7"/>
        </w:numPr>
        <w:spacing w:after="210" w:line="360" w:lineRule="auto"/>
      </w:pPr>
      <w:bookmarkStart w:id="68" w:name="fn16"/>
      <w:bookmarkEnd w:id="68"/>
      <w:r>
        <w:fldChar w:fldCharType="begin"/>
      </w:r>
      <w:r>
        <w:instrText xml:space="preserve"> HYPERLINK "https://www.zaobao.com.sg/realtime/china/story20260108-8068568" \h </w:instrText>
      </w:r>
      <w:r>
        <w:fldChar w:fldCharType="separate"/>
      </w:r>
      <w:r>
        <w:rPr>
          <w:rFonts w:ascii="inter" w:hAnsi="inter" w:eastAsia="inter" w:cs="inter"/>
          <w:color w:val="000000"/>
          <w:sz w:val="18"/>
          <w:u w:val="single"/>
        </w:rPr>
        <w:t>https://www.zaobao.com.sg/realtime/china/story20260108-8068568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8C8FCA">
      <w:pPr>
        <w:numPr>
          <w:ilvl w:val="0"/>
          <w:numId w:val="7"/>
        </w:numPr>
        <w:spacing w:after="210" w:line="360" w:lineRule="auto"/>
      </w:pPr>
      <w:bookmarkStart w:id="69" w:name="fn17"/>
      <w:bookmarkEnd w:id="69"/>
      <w:r>
        <w:fldChar w:fldCharType="begin"/>
      </w:r>
      <w:r>
        <w:instrText xml:space="preserve"> HYPERLINK "https://cj.sina.cn/articles/view/6143266895/16e2ad04f00101mjj4" \h </w:instrText>
      </w:r>
      <w:r>
        <w:fldChar w:fldCharType="separate"/>
      </w:r>
      <w:r>
        <w:rPr>
          <w:rFonts w:ascii="inter" w:hAnsi="inter" w:eastAsia="inter" w:cs="inter"/>
          <w:color w:val="000000"/>
          <w:sz w:val="18"/>
          <w:u w:val="single"/>
        </w:rPr>
        <w:t>https://cj.sina.cn/articles/view/6143266895/16e2ad04f00101mjj4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A77D5B">
      <w:pPr>
        <w:numPr>
          <w:ilvl w:val="0"/>
          <w:numId w:val="7"/>
        </w:numPr>
        <w:spacing w:after="210" w:line="360" w:lineRule="auto"/>
      </w:pPr>
      <w:bookmarkStart w:id="70" w:name="fn18"/>
      <w:bookmarkEnd w:id="70"/>
      <w:r>
        <w:fldChar w:fldCharType="begin"/>
      </w:r>
      <w:r>
        <w:instrText xml:space="preserve"> HYPERLINK "http://www.news.cn/20250718/a21119c5b82f4bbeaafbcf2190779038/c.html" \h </w:instrText>
      </w:r>
      <w:r>
        <w:fldChar w:fldCharType="separate"/>
      </w:r>
      <w:r>
        <w:rPr>
          <w:rFonts w:ascii="inter" w:hAnsi="inter" w:eastAsia="inter" w:cs="inter"/>
          <w:color w:val="000000"/>
          <w:sz w:val="18"/>
          <w:u w:val="single"/>
        </w:rPr>
        <w:t>http://www.news.cn/20250718/a21119c5b82f4bbeaafbcf2190779038/c.html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F1507B">
      <w:pPr>
        <w:numPr>
          <w:ilvl w:val="0"/>
          <w:numId w:val="7"/>
        </w:numPr>
        <w:spacing w:after="210" w:line="360" w:lineRule="auto"/>
      </w:pPr>
      <w:bookmarkStart w:id="71" w:name="fn19"/>
      <w:bookmarkEnd w:id="71"/>
      <w:r>
        <w:fldChar w:fldCharType="begin"/>
      </w:r>
      <w:r>
        <w:instrText xml:space="preserve"> HYPERLINK "https://pdf.dfcfw.com/pdf/H3_AP202507011700782569_1.pdf?1751357345000.pdf" \h </w:instrText>
      </w:r>
      <w:r>
        <w:fldChar w:fldCharType="separate"/>
      </w:r>
      <w:r>
        <w:rPr>
          <w:rFonts w:ascii="inter" w:hAnsi="inter" w:eastAsia="inter" w:cs="inter"/>
          <w:color w:val="000000"/>
          <w:sz w:val="18"/>
          <w:u w:val="single"/>
        </w:rPr>
        <w:t>https://pdf.dfcfw.com/pdf/H3_AP202507011700782569_1.pdf?1751357345000.pdf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61F295">
      <w:pPr>
        <w:numPr>
          <w:ilvl w:val="0"/>
          <w:numId w:val="7"/>
        </w:numPr>
        <w:spacing w:after="210" w:line="360" w:lineRule="auto"/>
      </w:pPr>
      <w:bookmarkStart w:id="72" w:name="fn20"/>
      <w:bookmarkEnd w:id="72"/>
      <w:r>
        <w:fldChar w:fldCharType="begin"/>
      </w:r>
      <w:r>
        <w:instrText xml:space="preserve"> HYPERLINK "https://www.ultimamarkets.com/cn/academy/gold-price-trend-2015-2025-analysis/" \h </w:instrText>
      </w:r>
      <w:r>
        <w:fldChar w:fldCharType="separate"/>
      </w:r>
      <w:r>
        <w:rPr>
          <w:rFonts w:ascii="inter" w:hAnsi="inter" w:eastAsia="inter" w:cs="inter"/>
          <w:color w:val="000000"/>
          <w:sz w:val="18"/>
          <w:u w:val="single"/>
        </w:rPr>
        <w:t>https://www.ultimamarkets.com/cn/academy/gold-price-trend-2015-2025-analysis/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FE8747">
      <w:pPr>
        <w:numPr>
          <w:ilvl w:val="0"/>
          <w:numId w:val="7"/>
        </w:numPr>
        <w:spacing w:after="210" w:line="360" w:lineRule="auto"/>
      </w:pPr>
      <w:bookmarkStart w:id="73" w:name="fn21"/>
      <w:bookmarkEnd w:id="73"/>
      <w:r>
        <w:fldChar w:fldCharType="begin"/>
      </w:r>
      <w:r>
        <w:instrText xml:space="preserve"> HYPERLINK "https://big5.icbc.com.cn/SiteCollectionDocuments/ICBC/Resources/ICBC/guijinshu/download/2013/%E9%87%91%E8%A1%8C%E5%AE%B62014_04dinggao.pdf" \h </w:instrText>
      </w:r>
      <w:r>
        <w:fldChar w:fldCharType="separate"/>
      </w:r>
      <w:r>
        <w:rPr>
          <w:rFonts w:ascii="inter" w:hAnsi="inter" w:eastAsia="inter" w:cs="inter"/>
          <w:color w:val="000000"/>
          <w:sz w:val="18"/>
          <w:u w:val="single"/>
        </w:rPr>
        <w:t>https://big5.icbc.com.cn/SiteCollectionDocuments/ICBC/Resources/ICBC/guijinshu/download/2013/金行家2014_04dinggao.pdf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355423">
      <w:pPr>
        <w:numPr>
          <w:ilvl w:val="0"/>
          <w:numId w:val="7"/>
        </w:numPr>
        <w:spacing w:after="210" w:line="360" w:lineRule="auto"/>
      </w:pPr>
      <w:bookmarkStart w:id="74" w:name="fn22"/>
      <w:bookmarkEnd w:id="74"/>
      <w:r>
        <w:fldChar w:fldCharType="begin"/>
      </w:r>
      <w:r>
        <w:instrText xml:space="preserve"> HYPERLINK "http://forex.cnfol.com/jingjiyaowen/20260116/31947619.shtml" \h </w:instrText>
      </w:r>
      <w:r>
        <w:fldChar w:fldCharType="separate"/>
      </w:r>
      <w:r>
        <w:rPr>
          <w:rFonts w:ascii="inter" w:hAnsi="inter" w:eastAsia="inter" w:cs="inter"/>
          <w:color w:val="000000"/>
          <w:sz w:val="18"/>
          <w:u w:val="single"/>
        </w:rPr>
        <w:t>http://forex.cnfol.com/jingjiyaowen/20260116/31947619.shtml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749A6D">
      <w:pPr>
        <w:numPr>
          <w:ilvl w:val="0"/>
          <w:numId w:val="7"/>
        </w:numPr>
        <w:spacing w:after="210" w:line="360" w:lineRule="auto"/>
      </w:pPr>
      <w:bookmarkStart w:id="75" w:name="fn23"/>
      <w:bookmarkEnd w:id="75"/>
      <w:r>
        <w:fldChar w:fldCharType="begin"/>
      </w:r>
      <w:r>
        <w:instrText xml:space="preserve"> HYPERLINK "https://wallstreetcn.com/articles/3762285" \h </w:instrText>
      </w:r>
      <w:r>
        <w:fldChar w:fldCharType="separate"/>
      </w:r>
      <w:r>
        <w:rPr>
          <w:rFonts w:ascii="inter" w:hAnsi="inter" w:eastAsia="inter" w:cs="inter"/>
          <w:color w:val="000000"/>
          <w:sz w:val="18"/>
          <w:u w:val="single"/>
        </w:rPr>
        <w:t>https://wallstreetcn.com/articles/3762285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6F5437">
      <w:pPr>
        <w:numPr>
          <w:ilvl w:val="0"/>
          <w:numId w:val="7"/>
        </w:numPr>
        <w:spacing w:after="210" w:line="360" w:lineRule="auto"/>
      </w:pPr>
      <w:bookmarkStart w:id="76" w:name="fn24"/>
      <w:bookmarkEnd w:id="76"/>
      <w:r>
        <w:fldChar w:fldCharType="begin"/>
      </w:r>
      <w:r>
        <w:instrText xml:space="preserve"> HYPERLINK "https://cn.investing.com/commodities/gold-historical-data" \h </w:instrText>
      </w:r>
      <w:r>
        <w:fldChar w:fldCharType="separate"/>
      </w:r>
      <w:r>
        <w:rPr>
          <w:rFonts w:ascii="inter" w:hAnsi="inter" w:eastAsia="inter" w:cs="inter"/>
          <w:color w:val="000000"/>
          <w:sz w:val="18"/>
          <w:u w:val="single"/>
        </w:rPr>
        <w:t>https://cn.investing.com/commodities/gold-historical-data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27477E">
      <w:pPr>
        <w:numPr>
          <w:ilvl w:val="0"/>
          <w:numId w:val="7"/>
        </w:numPr>
        <w:spacing w:after="210" w:line="360" w:lineRule="auto"/>
      </w:pPr>
      <w:bookmarkStart w:id="77" w:name="fn25"/>
      <w:bookmarkEnd w:id="77"/>
      <w:r>
        <w:fldChar w:fldCharType="begin"/>
      </w:r>
      <w:r>
        <w:instrText xml:space="preserve"> HYPERLINK "https://www.guojijinjia.com/lishi/10y/" \h </w:instrText>
      </w:r>
      <w:r>
        <w:fldChar w:fldCharType="separate"/>
      </w:r>
      <w:r>
        <w:rPr>
          <w:rFonts w:ascii="inter" w:hAnsi="inter" w:eastAsia="inter" w:cs="inter"/>
          <w:color w:val="000000"/>
          <w:sz w:val="18"/>
          <w:u w:val="single"/>
        </w:rPr>
        <w:t>https://www.guojijinjia.com/lishi/10y/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F6B5C7">
      <w:pPr>
        <w:numPr>
          <w:ilvl w:val="0"/>
          <w:numId w:val="7"/>
        </w:numPr>
        <w:spacing w:after="210" w:line="360" w:lineRule="auto"/>
      </w:pPr>
      <w:bookmarkStart w:id="78" w:name="fn26"/>
      <w:bookmarkEnd w:id="78"/>
      <w:r>
        <w:fldChar w:fldCharType="begin"/>
      </w:r>
      <w:r>
        <w:instrText xml:space="preserve"> HYPERLINK "https://www.shfe.com.cn/jrysp/43/14.pdf" \h </w:instrText>
      </w:r>
      <w:r>
        <w:fldChar w:fldCharType="separate"/>
      </w:r>
      <w:r>
        <w:rPr>
          <w:rFonts w:ascii="inter" w:hAnsi="inter" w:eastAsia="inter" w:cs="inter"/>
          <w:color w:val="000000"/>
          <w:sz w:val="18"/>
          <w:u w:val="single"/>
        </w:rPr>
        <w:t>https://www.shfe.com.cn/jrysp/43/14.pdf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C27A68">
      <w:pPr>
        <w:numPr>
          <w:ilvl w:val="0"/>
          <w:numId w:val="7"/>
        </w:numPr>
        <w:spacing w:after="210" w:line="360" w:lineRule="auto"/>
      </w:pPr>
      <w:bookmarkStart w:id="79" w:name="fn27"/>
      <w:bookmarkEnd w:id="79"/>
      <w:r>
        <w:fldChar w:fldCharType="begin"/>
      </w:r>
      <w:r>
        <w:instrText xml:space="preserve"> HYPERLINK "https://zh.tradingeconomics.com/commodity/gold" \h </w:instrText>
      </w:r>
      <w:r>
        <w:fldChar w:fldCharType="separate"/>
      </w:r>
      <w:r>
        <w:rPr>
          <w:rFonts w:ascii="inter" w:hAnsi="inter" w:eastAsia="inter" w:cs="inter"/>
          <w:color w:val="000000"/>
          <w:sz w:val="18"/>
          <w:u w:val="single"/>
        </w:rPr>
        <w:t>https://zh.tradingeconomics.com/commodity/gold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C48931">
      <w:pPr>
        <w:numPr>
          <w:ilvl w:val="0"/>
          <w:numId w:val="7"/>
        </w:numPr>
        <w:spacing w:after="210" w:line="360" w:lineRule="auto"/>
      </w:pPr>
      <w:bookmarkStart w:id="80" w:name="fn28"/>
      <w:bookmarkEnd w:id="80"/>
      <w:r>
        <w:fldChar w:fldCharType="begin"/>
      </w:r>
      <w:r>
        <w:instrText xml:space="preserve"> HYPERLINK "https://www.5huangjin.com/huangjin_rmb_10.html" \h </w:instrText>
      </w:r>
      <w:r>
        <w:fldChar w:fldCharType="separate"/>
      </w:r>
      <w:r>
        <w:rPr>
          <w:rFonts w:ascii="inter" w:hAnsi="inter" w:eastAsia="inter" w:cs="inter"/>
          <w:color w:val="000000"/>
          <w:sz w:val="18"/>
          <w:u w:val="single"/>
        </w:rPr>
        <w:t>https://www.5huangjin.com/huangjin_rmb_10.html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A3FD4C">
      <w:pPr>
        <w:numPr>
          <w:ilvl w:val="0"/>
          <w:numId w:val="7"/>
        </w:numPr>
        <w:spacing w:after="210" w:line="360" w:lineRule="auto"/>
      </w:pPr>
      <w:bookmarkStart w:id="81" w:name="fn29"/>
      <w:bookmarkEnd w:id="81"/>
      <w:r>
        <w:fldChar w:fldCharType="begin"/>
      </w:r>
      <w:r>
        <w:instrText xml:space="preserve"> HYPERLINK "https://otakaraya.hk/gold/10years/" \h </w:instrText>
      </w:r>
      <w:r>
        <w:fldChar w:fldCharType="separate"/>
      </w:r>
      <w:r>
        <w:rPr>
          <w:rFonts w:ascii="inter" w:hAnsi="inter" w:eastAsia="inter" w:cs="inter"/>
          <w:color w:val="000000"/>
          <w:sz w:val="18"/>
          <w:u w:val="single"/>
        </w:rPr>
        <w:t>https://otakaraya.hk/gold/10years/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799CE0">
      <w:pPr>
        <w:numPr>
          <w:ilvl w:val="0"/>
          <w:numId w:val="7"/>
        </w:numPr>
        <w:spacing w:after="210" w:line="360" w:lineRule="auto"/>
      </w:pPr>
      <w:bookmarkStart w:id="82" w:name="fn30"/>
      <w:bookmarkEnd w:id="82"/>
      <w:r>
        <w:fldChar w:fldCharType="begin"/>
      </w:r>
      <w:r>
        <w:instrText xml:space="preserve"> HYPERLINK "https://goldprice.org/zh/gold-price-history.html" \h </w:instrText>
      </w:r>
      <w:r>
        <w:fldChar w:fldCharType="separate"/>
      </w:r>
      <w:r>
        <w:rPr>
          <w:rFonts w:ascii="inter" w:hAnsi="inter" w:eastAsia="inter" w:cs="inter"/>
          <w:color w:val="000000"/>
          <w:sz w:val="18"/>
          <w:u w:val="single"/>
        </w:rPr>
        <w:t>https://goldprice.org/zh/gold-price-history.html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1A61CD">
      <w:pPr>
        <w:numPr>
          <w:ilvl w:val="0"/>
          <w:numId w:val="7"/>
        </w:numPr>
        <w:spacing w:after="210" w:line="360" w:lineRule="auto"/>
      </w:pPr>
      <w:bookmarkStart w:id="83" w:name="fn31"/>
      <w:bookmarkEnd w:id="83"/>
      <w:r>
        <w:fldChar w:fldCharType="begin"/>
      </w:r>
      <w:r>
        <w:instrText xml:space="preserve"> HYPERLINK "https://hk.finance.yahoo.com/quote/GC=F/history/" \h </w:instrText>
      </w:r>
      <w:r>
        <w:fldChar w:fldCharType="separate"/>
      </w:r>
      <w:r>
        <w:rPr>
          <w:rFonts w:ascii="inter" w:hAnsi="inter" w:eastAsia="inter" w:cs="inter"/>
          <w:color w:val="000000"/>
          <w:sz w:val="18"/>
          <w:u w:val="single"/>
        </w:rPr>
        <w:t>https://hk.finance.yahoo.com/quote/GC=F/history/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3320C6">
      <w:pPr>
        <w:numPr>
          <w:ilvl w:val="0"/>
          <w:numId w:val="7"/>
        </w:numPr>
        <w:spacing w:after="210" w:line="360" w:lineRule="auto"/>
      </w:pPr>
      <w:bookmarkStart w:id="84" w:name="fn32"/>
      <w:bookmarkEnd w:id="84"/>
      <w:r>
        <w:fldChar w:fldCharType="begin"/>
      </w:r>
      <w:r>
        <w:instrText xml:space="preserve"> HYPERLINK "https://www.cngold.org/img_date/gold_past.html" \h </w:instrText>
      </w:r>
      <w:r>
        <w:fldChar w:fldCharType="separate"/>
      </w:r>
      <w:r>
        <w:rPr>
          <w:rFonts w:ascii="inter" w:hAnsi="inter" w:eastAsia="inter" w:cs="inter"/>
          <w:color w:val="000000"/>
          <w:sz w:val="18"/>
          <w:u w:val="single"/>
        </w:rPr>
        <w:t>https://www.cngold.org/img_date/gold_past.html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D435AF">
      <w:pPr>
        <w:numPr>
          <w:ilvl w:val="0"/>
          <w:numId w:val="7"/>
        </w:numPr>
        <w:spacing w:after="210" w:line="360" w:lineRule="auto"/>
      </w:pPr>
      <w:bookmarkStart w:id="85" w:name="fn33"/>
      <w:bookmarkEnd w:id="85"/>
      <w:r>
        <w:fldChar w:fldCharType="begin"/>
      </w:r>
      <w:r>
        <w:instrText xml:space="preserve"> HYPERLINK "http://gold.cnfol.com/jinshizhibo/20260115/31943916.shtml" \h </w:instrText>
      </w:r>
      <w:r>
        <w:fldChar w:fldCharType="separate"/>
      </w:r>
      <w:r>
        <w:rPr>
          <w:rFonts w:ascii="inter" w:hAnsi="inter" w:eastAsia="inter" w:cs="inter"/>
          <w:color w:val="000000"/>
          <w:sz w:val="18"/>
          <w:u w:val="single"/>
        </w:rPr>
        <w:t>http://gold.cnfol.com/jinshizhibo/20260115/31943916.shtml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EF4245">
      <w:pPr>
        <w:numPr>
          <w:ilvl w:val="0"/>
          <w:numId w:val="7"/>
        </w:numPr>
        <w:spacing w:after="210" w:line="360" w:lineRule="auto"/>
      </w:pPr>
      <w:bookmarkStart w:id="86" w:name="fn34"/>
      <w:bookmarkEnd w:id="86"/>
      <w:r>
        <w:fldChar w:fldCharType="begin"/>
      </w:r>
      <w:r>
        <w:instrText xml:space="preserve"> HYPERLINK "https://www.stcn.com/article/detail/3326402.html" \h </w:instrText>
      </w:r>
      <w:r>
        <w:fldChar w:fldCharType="separate"/>
      </w:r>
      <w:r>
        <w:rPr>
          <w:rFonts w:ascii="inter" w:hAnsi="inter" w:eastAsia="inter" w:cs="inter"/>
          <w:color w:val="000000"/>
          <w:sz w:val="18"/>
          <w:u w:val="single"/>
        </w:rPr>
        <w:t>https://www.stcn.com/article/detail/3326402.html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6F8649">
      <w:pPr>
        <w:numPr>
          <w:ilvl w:val="0"/>
          <w:numId w:val="7"/>
        </w:numPr>
        <w:spacing w:after="210" w:line="360" w:lineRule="auto"/>
      </w:pPr>
      <w:bookmarkStart w:id="87" w:name="fn35"/>
      <w:bookmarkEnd w:id="87"/>
      <w:r>
        <w:fldChar w:fldCharType="begin"/>
      </w:r>
      <w:r>
        <w:instrText xml:space="preserve"> HYPERLINK "https://cn.investing.com/currencies/xau-usd-technical" \h </w:instrText>
      </w:r>
      <w:r>
        <w:fldChar w:fldCharType="separate"/>
      </w:r>
      <w:r>
        <w:rPr>
          <w:rFonts w:ascii="inter" w:hAnsi="inter" w:eastAsia="inter" w:cs="inter"/>
          <w:color w:val="000000"/>
          <w:sz w:val="18"/>
          <w:u w:val="single"/>
        </w:rPr>
        <w:t>https://cn.investing.com/currencies/xau-usd-technical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68CBFE">
      <w:pPr>
        <w:numPr>
          <w:ilvl w:val="0"/>
          <w:numId w:val="7"/>
        </w:numPr>
        <w:spacing w:after="210" w:line="360" w:lineRule="auto"/>
      </w:pPr>
      <w:bookmarkStart w:id="88" w:name="fn36"/>
      <w:bookmarkEnd w:id="88"/>
      <w:r>
        <w:fldChar w:fldCharType="begin"/>
      </w:r>
      <w:r>
        <w:instrText xml:space="preserve"> HYPERLINK "https://pdf.dfcfw.com/pdf/H3_AP202409061639774342_1.pdf" \h </w:instrText>
      </w:r>
      <w:r>
        <w:fldChar w:fldCharType="separate"/>
      </w:r>
      <w:r>
        <w:rPr>
          <w:rFonts w:ascii="inter" w:hAnsi="inter" w:eastAsia="inter" w:cs="inter"/>
          <w:color w:val="000000"/>
          <w:sz w:val="18"/>
          <w:u w:val="single"/>
        </w:rPr>
        <w:t>https://pdf.dfcfw.com/pdf/H3_AP202409061639774342_1.pdf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2D7CA0">
      <w:pPr>
        <w:numPr>
          <w:ilvl w:val="0"/>
          <w:numId w:val="7"/>
        </w:numPr>
        <w:spacing w:after="210" w:line="360" w:lineRule="auto"/>
      </w:pPr>
      <w:bookmarkStart w:id="89" w:name="fn37"/>
      <w:bookmarkEnd w:id="89"/>
      <w:r>
        <w:fldChar w:fldCharType="begin"/>
      </w:r>
      <w:r>
        <w:instrText xml:space="preserve"> HYPERLINK "https://sc.macromicro.me/collections/45/mm-gold-price/591/us-fedwatch-probability-gold-price" \h </w:instrText>
      </w:r>
      <w:r>
        <w:fldChar w:fldCharType="separate"/>
      </w:r>
      <w:r>
        <w:rPr>
          <w:rFonts w:ascii="inter" w:hAnsi="inter" w:eastAsia="inter" w:cs="inter"/>
          <w:color w:val="000000"/>
          <w:sz w:val="18"/>
          <w:u w:val="single"/>
        </w:rPr>
        <w:t>https://sc.macromicro.me/collections/45/mm-gold-price/591/us-fedwatch-probability-gold-price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D4433B">
      <w:pPr>
        <w:numPr>
          <w:ilvl w:val="0"/>
          <w:numId w:val="7"/>
        </w:numPr>
        <w:spacing w:after="210" w:line="360" w:lineRule="auto"/>
      </w:pPr>
      <w:bookmarkStart w:id="90" w:name="fn38"/>
      <w:bookmarkEnd w:id="90"/>
      <w:r>
        <w:fldChar w:fldCharType="begin"/>
      </w:r>
      <w:r>
        <w:instrText xml:space="preserve"> HYPERLINK "https://www.9fzt.com/detail/sz_002156_1_526773172.html" \h </w:instrText>
      </w:r>
      <w:r>
        <w:fldChar w:fldCharType="separate"/>
      </w:r>
      <w:r>
        <w:rPr>
          <w:rFonts w:ascii="inter" w:hAnsi="inter" w:eastAsia="inter" w:cs="inter"/>
          <w:color w:val="000000"/>
          <w:sz w:val="18"/>
          <w:u w:val="single"/>
        </w:rPr>
        <w:t>https://www.9fzt.com/detail/sz_002156_1_526773172.html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71C588">
      <w:pPr>
        <w:numPr>
          <w:ilvl w:val="0"/>
          <w:numId w:val="7"/>
        </w:numPr>
        <w:spacing w:after="210" w:line="360" w:lineRule="auto"/>
      </w:pPr>
      <w:bookmarkStart w:id="91" w:name="fn39"/>
      <w:bookmarkEnd w:id="91"/>
      <w:r>
        <w:fldChar w:fldCharType="begin"/>
      </w:r>
      <w:r>
        <w:instrText xml:space="preserve"> HYPERLINK "https://www.gamersky.com/handbook/202601/2072763.shtml" \h </w:instrText>
      </w:r>
      <w:r>
        <w:fldChar w:fldCharType="separate"/>
      </w:r>
      <w:r>
        <w:rPr>
          <w:rFonts w:ascii="inter" w:hAnsi="inter" w:eastAsia="inter" w:cs="inter"/>
          <w:color w:val="000000"/>
          <w:sz w:val="18"/>
          <w:u w:val="single"/>
        </w:rPr>
        <w:t>https://www.gamersky.com/handbook/202601/2072763.shtml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6A3652">
      <w:pPr>
        <w:numPr>
          <w:ilvl w:val="0"/>
          <w:numId w:val="7"/>
        </w:numPr>
        <w:spacing w:after="210" w:line="360" w:lineRule="auto"/>
      </w:pPr>
      <w:bookmarkStart w:id="92" w:name="fn40"/>
      <w:bookmarkEnd w:id="92"/>
      <w:r>
        <w:fldChar w:fldCharType="begin"/>
      </w:r>
      <w:r>
        <w:instrText xml:space="preserve"> HYPERLINK "https://www.irs.gov/pub/irs-prior/p17zht--2021.pdf" \h </w:instrText>
      </w:r>
      <w:r>
        <w:fldChar w:fldCharType="separate"/>
      </w:r>
      <w:r>
        <w:rPr>
          <w:rFonts w:ascii="inter" w:hAnsi="inter" w:eastAsia="inter" w:cs="inter"/>
          <w:color w:val="000000"/>
          <w:sz w:val="18"/>
          <w:u w:val="single"/>
        </w:rPr>
        <w:t>https://www.irs.gov/pub/irs-prior/p17zht--2021.pdf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D17534">
      <w:pPr>
        <w:numPr>
          <w:ilvl w:val="0"/>
          <w:numId w:val="7"/>
        </w:numPr>
        <w:spacing w:after="210" w:line="360" w:lineRule="auto"/>
      </w:pPr>
      <w:bookmarkStart w:id="93" w:name="fn41"/>
      <w:bookmarkEnd w:id="93"/>
      <w:r>
        <w:fldChar w:fldCharType="begin"/>
      </w:r>
      <w:r>
        <w:instrText xml:space="preserve"> HYPERLINK "https://v.icbc.com.cn/userfiles/resources/icbcltd/download/2025/8.pdf" \h </w:instrText>
      </w:r>
      <w:r>
        <w:fldChar w:fldCharType="separate"/>
      </w:r>
      <w:r>
        <w:rPr>
          <w:rFonts w:ascii="inter" w:hAnsi="inter" w:eastAsia="inter" w:cs="inter"/>
          <w:color w:val="000000"/>
          <w:sz w:val="18"/>
          <w:u w:val="single"/>
        </w:rPr>
        <w:t>https://v.icbc.com.cn/userfiles/resources/icbcltd/download/2025/8.pdf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476725">
      <w:pPr>
        <w:numPr>
          <w:ilvl w:val="0"/>
          <w:numId w:val="7"/>
        </w:numPr>
        <w:spacing w:after="210" w:line="360" w:lineRule="auto"/>
      </w:pPr>
      <w:bookmarkStart w:id="94" w:name="fn42"/>
      <w:bookmarkEnd w:id="94"/>
      <w:r>
        <w:fldChar w:fldCharType="begin"/>
      </w:r>
      <w:r>
        <w:instrText xml:space="preserve"> HYPERLINK "https://live.euronext.com/nl/search_instruments/Rekubit%20B1%20Reviews" \h </w:instrText>
      </w:r>
      <w:r>
        <w:fldChar w:fldCharType="separate"/>
      </w:r>
      <w:r>
        <w:rPr>
          <w:rFonts w:ascii="inter" w:hAnsi="inter" w:eastAsia="inter" w:cs="inter"/>
          <w:color w:val="000000"/>
          <w:sz w:val="18"/>
          <w:u w:val="single"/>
        </w:rPr>
        <w:t>https://live.euronext.com/nl/search_instruments/Rekubit B1 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DEE228">
      <w:pPr>
        <w:numPr>
          <w:ilvl w:val="0"/>
          <w:numId w:val="7"/>
        </w:numPr>
        <w:spacing w:after="210" w:line="360" w:lineRule="auto"/>
      </w:pPr>
      <w:bookmarkStart w:id="95" w:name="fn43"/>
      <w:bookmarkEnd w:id="95"/>
      <w:r>
        <w:fldChar w:fldCharType="begin"/>
      </w:r>
      <w:r>
        <w:instrText xml:space="preserve"> HYPERLINK "https://iris.who.int/bitstreams/49b035de-75bf-459f-b2ca-a3ace4785b5c/download" \h </w:instrText>
      </w:r>
      <w:r>
        <w:fldChar w:fldCharType="separate"/>
      </w:r>
      <w:r>
        <w:rPr>
          <w:rFonts w:ascii="inter" w:hAnsi="inter" w:eastAsia="inter" w:cs="inter"/>
          <w:color w:val="000000"/>
          <w:sz w:val="18"/>
          <w:u w:val="single"/>
        </w:rPr>
        <w:t>https://iris.who.int/bitstreams/49b035de-75bf-459f-b2ca-a3ace4785b5c/download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29EE0D">
      <w:pPr>
        <w:numPr>
          <w:ilvl w:val="0"/>
          <w:numId w:val="7"/>
        </w:numPr>
        <w:spacing w:after="210" w:line="360" w:lineRule="auto"/>
      </w:pPr>
      <w:bookmarkStart w:id="96" w:name="fn44"/>
      <w:bookmarkEnd w:id="96"/>
      <w:r>
        <w:fldChar w:fldCharType="begin"/>
      </w:r>
      <w:r>
        <w:instrText xml:space="preserve"> HYPERLINK "https://www.christianity.org.uk/search/results?time=1699516608795&amp;q=Aether+Pro+Exchange+trading+fees+Reviews" \h </w:instrText>
      </w:r>
      <w:r>
        <w:fldChar w:fldCharType="separate"/>
      </w:r>
      <w:r>
        <w:rPr>
          <w:rFonts w:ascii="inter" w:hAnsi="inter" w:eastAsia="inter" w:cs="inter"/>
          <w:color w:val="000000"/>
          <w:sz w:val="18"/>
          <w:u w:val="single"/>
        </w:rPr>
        <w:t>https://www.christianity.org.uk/search/results?time=1699516608795&amp;q=Aether+Pro+Exchange+trading+fees+Reviews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68182D">
      <w:pPr>
        <w:numPr>
          <w:ilvl w:val="0"/>
          <w:numId w:val="7"/>
        </w:numPr>
        <w:spacing w:after="210" w:line="360" w:lineRule="auto"/>
      </w:pPr>
      <w:bookmarkStart w:id="97" w:name="fn45"/>
      <w:bookmarkEnd w:id="97"/>
      <w:r>
        <w:fldChar w:fldCharType="begin"/>
      </w:r>
      <w:r>
        <w:instrText xml:space="preserve"> HYPERLINK "https://www.reddit.com/r/DMAcademy/comments/z6scbd/one_of_my_player_says_her_character_doesnt_have/" \h </w:instrText>
      </w:r>
      <w:r>
        <w:fldChar w:fldCharType="separate"/>
      </w:r>
      <w:r>
        <w:rPr>
          <w:rFonts w:ascii="inter" w:hAnsi="inter" w:eastAsia="inter" w:cs="inter"/>
          <w:color w:val="000000"/>
          <w:sz w:val="18"/>
          <w:u w:val="single"/>
        </w:rPr>
        <w:t>https://www.reddit.com/r/DMAcademy/comments/z6scbd/one_of_my_player_says_her_character_doesnt_have/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F7E384">
      <w:pPr>
        <w:numPr>
          <w:ilvl w:val="0"/>
          <w:numId w:val="7"/>
        </w:numPr>
        <w:spacing w:after="210" w:line="360" w:lineRule="auto"/>
      </w:pPr>
      <w:bookmarkStart w:id="98" w:name="fn46"/>
      <w:bookmarkEnd w:id="98"/>
      <w:r>
        <w:fldChar w:fldCharType="begin"/>
      </w:r>
      <w:r>
        <w:instrText xml:space="preserve"> HYPERLINK "https://www.law.nccu.edu.tw/uploads/asset/data/63d67a8edca3a3719accfcc3/01%E5%8A%89%E9%80%A3%E7%85%9CP01-53_%E5%8A%A0%E5%AF%86_.pdf" \h </w:instrText>
      </w:r>
      <w:r>
        <w:fldChar w:fldCharType="separate"/>
      </w:r>
      <w:r>
        <w:rPr>
          <w:rFonts w:ascii="inter" w:hAnsi="inter" w:eastAsia="inter" w:cs="inter"/>
          <w:color w:val="000000"/>
          <w:sz w:val="18"/>
          <w:u w:val="single"/>
        </w:rPr>
        <w:t>https://www.law.nccu.edu.tw/uploads/asset/data/63d67a8edca3a3719accfcc3/01劉連煜P01-53_加密_.pdf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4D14B8">
      <w:pPr>
        <w:numPr>
          <w:ilvl w:val="0"/>
          <w:numId w:val="7"/>
        </w:numPr>
        <w:spacing w:after="210" w:line="360" w:lineRule="auto"/>
      </w:pPr>
      <w:bookmarkStart w:id="99" w:name="fn47"/>
      <w:bookmarkEnd w:id="99"/>
      <w:r>
        <w:fldChar w:fldCharType="begin"/>
      </w:r>
      <w:r>
        <w:instrText xml:space="preserve"> HYPERLINK "https://www.castelli-cycling.com/II/en/search/?text=Innovation+Quantitative+Center+B1+Review" \h </w:instrText>
      </w:r>
      <w:r>
        <w:fldChar w:fldCharType="separate"/>
      </w:r>
      <w:r>
        <w:rPr>
          <w:rFonts w:ascii="inter" w:hAnsi="inter" w:eastAsia="inter" w:cs="inter"/>
          <w:color w:val="000000"/>
          <w:sz w:val="18"/>
          <w:u w:val="single"/>
        </w:rPr>
        <w:t>https://www.castelli-cycling.com/II/en/search/?text=Innovation+Quantitative+Center+B1+Review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D15E4B">
      <w:pPr>
        <w:numPr>
          <w:ilvl w:val="0"/>
          <w:numId w:val="7"/>
        </w:numPr>
        <w:spacing w:after="210" w:line="360" w:lineRule="auto"/>
      </w:pPr>
      <w:bookmarkStart w:id="100" w:name="fn48"/>
      <w:bookmarkEnd w:id="100"/>
      <w:r>
        <w:fldChar w:fldCharType="begin"/>
      </w:r>
      <w:r>
        <w:instrText xml:space="preserve"> HYPERLINK "https://www.ceec.edu.tw/files/file_pool/1/0j301533916033318514/108%E5%AD%B8%E6%B8%AC%E5%B7%A5%E4%BD%9C%E5%A0%B1%E5%91%8A_%E5%AE%8C%E6%88%90%E6%AA%9420190705.pdf" \h </w:instrText>
      </w:r>
      <w:r>
        <w:fldChar w:fldCharType="separate"/>
      </w:r>
      <w:r>
        <w:rPr>
          <w:rFonts w:ascii="inter" w:hAnsi="inter" w:eastAsia="inter" w:cs="inter"/>
          <w:color w:val="000000"/>
          <w:sz w:val="18"/>
          <w:u w:val="single"/>
        </w:rPr>
        <w:t>https://www.ceec.edu.tw/files/file_pool/1/0j301533916033318514/108學測工作報告_完成檔20190705.pdf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2FA260">
      <w:pPr>
        <w:numPr>
          <w:ilvl w:val="0"/>
          <w:numId w:val="7"/>
        </w:numPr>
        <w:spacing w:after="210" w:line="360" w:lineRule="auto"/>
      </w:pPr>
      <w:bookmarkStart w:id="101" w:name="fn49"/>
      <w:bookmarkEnd w:id="101"/>
      <w:r>
        <w:fldChar w:fldCharType="begin"/>
      </w:r>
      <w:r>
        <w:instrText xml:space="preserve"> HYPERLINK "https://www.healthbureau.gov.hk/download/legco/replies/180419_sfc/fhb-fe-c.pdf" \h </w:instrText>
      </w:r>
      <w:r>
        <w:fldChar w:fldCharType="separate"/>
      </w:r>
      <w:r>
        <w:rPr>
          <w:rFonts w:ascii="inter" w:hAnsi="inter" w:eastAsia="inter" w:cs="inter"/>
          <w:color w:val="000000"/>
          <w:sz w:val="18"/>
          <w:u w:val="single"/>
        </w:rPr>
        <w:t>https://www.healthbureau.gov.hk/download/legco/replies/180419_sfc/fhb-fe-c.pdf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DE6A5E">
      <w:pPr>
        <w:numPr>
          <w:ilvl w:val="0"/>
          <w:numId w:val="7"/>
        </w:numPr>
        <w:spacing w:after="210" w:line="360" w:lineRule="auto"/>
      </w:pPr>
      <w:bookmarkStart w:id="102" w:name="fn50"/>
      <w:bookmarkEnd w:id="102"/>
      <w:r>
        <w:fldChar w:fldCharType="begin"/>
      </w:r>
      <w:r>
        <w:instrText xml:space="preserve"> HYPERLINK "https://www.bipc.com/tags?tag=Google+Play%25Alpha+Pinnacle+Think+Tank+Center+B1+Reviews" \h </w:instrText>
      </w:r>
      <w:r>
        <w:fldChar w:fldCharType="separate"/>
      </w:r>
      <w:r>
        <w:rPr>
          <w:rFonts w:ascii="inter" w:hAnsi="inter" w:eastAsia="inter" w:cs="inter"/>
          <w:color w:val="000000"/>
          <w:sz w:val="18"/>
          <w:u w:val="single"/>
        </w:rPr>
        <w:t>https://www.bipc.com/tags?tag=Google+Play%Alpha+Pinnacle+Think+Tank+Center+B1+Reviews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17431D">
      <w:pPr>
        <w:numPr>
          <w:ilvl w:val="0"/>
          <w:numId w:val="7"/>
        </w:numPr>
        <w:spacing w:after="210" w:line="360" w:lineRule="auto"/>
      </w:pPr>
      <w:bookmarkStart w:id="103" w:name="fn51"/>
      <w:bookmarkEnd w:id="103"/>
      <w:r>
        <w:fldChar w:fldCharType="begin"/>
      </w:r>
      <w:r>
        <w:instrText xml:space="preserve"> HYPERLINK "https://www.silvergoldtobuy.com/cours-de-l-or-et-argent-2300-gold-price-chart-over-20-years-n25" \h </w:instrText>
      </w:r>
      <w:r>
        <w:fldChar w:fldCharType="separate"/>
      </w:r>
      <w:r>
        <w:rPr>
          <w:rFonts w:ascii="inter" w:hAnsi="inter" w:eastAsia="inter" w:cs="inter"/>
          <w:color w:val="000000"/>
          <w:sz w:val="18"/>
          <w:u w:val="single"/>
        </w:rPr>
        <w:t>https://www.silvergoldtobuy.com/cours-de-l-or-et-argent-2300-gold-price-chart-over-20-years-n25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A2DF38">
      <w:pPr>
        <w:numPr>
          <w:ilvl w:val="0"/>
          <w:numId w:val="7"/>
        </w:numPr>
        <w:spacing w:after="210" w:line="360" w:lineRule="auto"/>
      </w:pPr>
      <w:bookmarkStart w:id="104" w:name="fn52"/>
      <w:bookmarkEnd w:id="104"/>
      <w:r>
        <w:fldChar w:fldCharType="begin"/>
      </w:r>
      <w:r>
        <w:instrText xml:space="preserve"> HYPERLINK "https://slate.com/business/2013/06/gold-bubble-paranoid-investors-pushed-gold-to-1900-an-ounce-in-2011-but-the-bubble-has-burst.html" \h </w:instrText>
      </w:r>
      <w:r>
        <w:fldChar w:fldCharType="separate"/>
      </w:r>
      <w:r>
        <w:rPr>
          <w:rFonts w:ascii="inter" w:hAnsi="inter" w:eastAsia="inter" w:cs="inter"/>
          <w:color w:val="000000"/>
          <w:sz w:val="18"/>
          <w:u w:val="single"/>
        </w:rPr>
        <w:t>https://slate.com/business/2013/06/gold-bubble-paranoid-investors-pushed-gold-to-1900-an-ounce-in-2011-but-the-bubble-has-burst.html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33EEC4">
      <w:pPr>
        <w:numPr>
          <w:ilvl w:val="0"/>
          <w:numId w:val="7"/>
        </w:numPr>
        <w:spacing w:after="210" w:line="360" w:lineRule="auto"/>
      </w:pPr>
      <w:bookmarkStart w:id="105" w:name="fn53"/>
      <w:bookmarkEnd w:id="105"/>
      <w:r>
        <w:fldChar w:fldCharType="begin"/>
      </w:r>
      <w:r>
        <w:instrText xml:space="preserve"> HYPERLINK "https://www.reddit.com/r/Gold/comments/1oafyt9/has_the_value_of_gold_changed_gold_hit_1900_in/" \h </w:instrText>
      </w:r>
      <w:r>
        <w:fldChar w:fldCharType="separate"/>
      </w:r>
      <w:r>
        <w:rPr>
          <w:rFonts w:ascii="inter" w:hAnsi="inter" w:eastAsia="inter" w:cs="inter"/>
          <w:color w:val="000000"/>
          <w:sz w:val="18"/>
          <w:u w:val="single"/>
        </w:rPr>
        <w:t>https://www.reddit.com/r/Gold/comments/1oafyt9/has_the_value_of_gold_changed_gold_hit_1900_in/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4FAC23">
      <w:pPr>
        <w:numPr>
          <w:ilvl w:val="0"/>
          <w:numId w:val="7"/>
        </w:numPr>
        <w:spacing w:after="210" w:line="360" w:lineRule="auto"/>
      </w:pPr>
      <w:bookmarkStart w:id="106" w:name="fn54"/>
      <w:bookmarkEnd w:id="106"/>
      <w:r>
        <w:fldChar w:fldCharType="begin"/>
      </w:r>
      <w:r>
        <w:instrText xml:space="preserve"> HYPERLINK "https://www.bullionbypost.com/index/market-commentary/gold-price-predictions-for-2016/" \h </w:instrText>
      </w:r>
      <w:r>
        <w:fldChar w:fldCharType="separate"/>
      </w:r>
      <w:r>
        <w:rPr>
          <w:rFonts w:ascii="inter" w:hAnsi="inter" w:eastAsia="inter" w:cs="inter"/>
          <w:color w:val="000000"/>
          <w:sz w:val="18"/>
          <w:u w:val="single"/>
        </w:rPr>
        <w:t>https://www.bullionbypost.com/index/market-commentary/gold-price-predictions-for-2016/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CD1CCE">
      <w:pPr>
        <w:numPr>
          <w:ilvl w:val="0"/>
          <w:numId w:val="7"/>
        </w:numPr>
        <w:spacing w:after="210" w:line="360" w:lineRule="auto"/>
      </w:pPr>
      <w:bookmarkStart w:id="107" w:name="fn55"/>
      <w:bookmarkEnd w:id="107"/>
      <w:r>
        <w:fldChar w:fldCharType="begin"/>
      </w:r>
      <w:r>
        <w:instrText xml:space="preserve"> HYPERLINK "https://www.gold.org/goldhub/research/gold-outlook-2022" \h </w:instrText>
      </w:r>
      <w:r>
        <w:fldChar w:fldCharType="separate"/>
      </w:r>
      <w:r>
        <w:rPr>
          <w:rFonts w:ascii="inter" w:hAnsi="inter" w:eastAsia="inter" w:cs="inter"/>
          <w:color w:val="000000"/>
          <w:sz w:val="18"/>
          <w:u w:val="single"/>
        </w:rPr>
        <w:t>https://www.gold.org/goldhub/research/gold-outlook-2022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3C8D74">
      <w:pPr>
        <w:numPr>
          <w:ilvl w:val="0"/>
          <w:numId w:val="7"/>
        </w:numPr>
        <w:spacing w:after="210" w:line="360" w:lineRule="auto"/>
      </w:pPr>
      <w:bookmarkStart w:id="108" w:name="fn56"/>
      <w:bookmarkEnd w:id="108"/>
      <w:r>
        <w:fldChar w:fldCharType="begin"/>
      </w:r>
      <w:r>
        <w:instrText xml:space="preserve"> HYPERLINK "https://www.owenanalytics.com.au/2024-03-16-gold-31-year-itch" \h </w:instrText>
      </w:r>
      <w:r>
        <w:fldChar w:fldCharType="separate"/>
      </w:r>
      <w:r>
        <w:rPr>
          <w:rFonts w:ascii="inter" w:hAnsi="inter" w:eastAsia="inter" w:cs="inter"/>
          <w:color w:val="000000"/>
          <w:sz w:val="18"/>
          <w:u w:val="single"/>
        </w:rPr>
        <w:t>https://www.owenanalytics.com.au/2024-03-16-gold-31-year-itch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E99BB4">
      <w:pPr>
        <w:numPr>
          <w:ilvl w:val="0"/>
          <w:numId w:val="7"/>
        </w:numPr>
        <w:spacing w:after="210" w:line="360" w:lineRule="auto"/>
      </w:pPr>
      <w:bookmarkStart w:id="109" w:name="fn57"/>
      <w:bookmarkEnd w:id="109"/>
      <w:r>
        <w:fldChar w:fldCharType="begin"/>
      </w:r>
      <w:r>
        <w:instrText xml:space="preserve"> HYPERLINK "https://news.metal.com/newscontent/100713146/Analysts-See-Good-Chance-Gold-Prices-Retest-2015-Lows" \h </w:instrText>
      </w:r>
      <w:r>
        <w:fldChar w:fldCharType="separate"/>
      </w:r>
      <w:r>
        <w:rPr>
          <w:rFonts w:ascii="inter" w:hAnsi="inter" w:eastAsia="inter" w:cs="inter"/>
          <w:color w:val="000000"/>
          <w:sz w:val="18"/>
          <w:u w:val="single"/>
        </w:rPr>
        <w:t>https://news.metal.com/newscontent/100713146/Analysts-See-Good-Chance-Gold-Prices-Retest-2015-Lows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95DEDB">
      <w:pPr>
        <w:numPr>
          <w:ilvl w:val="0"/>
          <w:numId w:val="7"/>
        </w:numPr>
        <w:spacing w:after="210" w:line="360" w:lineRule="auto"/>
      </w:pPr>
      <w:bookmarkStart w:id="110" w:name="fn58"/>
      <w:bookmarkEnd w:id="110"/>
      <w:r>
        <w:fldChar w:fldCharType="begin"/>
      </w:r>
      <w:r>
        <w:instrText xml:space="preserve"> HYPERLINK "https://tradingeconomics.com/commodity/gold" \h </w:instrText>
      </w:r>
      <w:r>
        <w:fldChar w:fldCharType="separate"/>
      </w:r>
      <w:r>
        <w:rPr>
          <w:rFonts w:ascii="inter" w:hAnsi="inter" w:eastAsia="inter" w:cs="inter"/>
          <w:color w:val="000000"/>
          <w:sz w:val="18"/>
          <w:u w:val="single"/>
        </w:rPr>
        <w:t>https://tradingeconomics.com/commodity/gold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AE70AB">
      <w:pPr>
        <w:numPr>
          <w:ilvl w:val="0"/>
          <w:numId w:val="7"/>
        </w:numPr>
        <w:spacing w:after="210" w:line="360" w:lineRule="auto"/>
      </w:pPr>
      <w:bookmarkStart w:id="111" w:name="fn59"/>
      <w:bookmarkEnd w:id="111"/>
      <w:r>
        <w:fldChar w:fldCharType="begin"/>
      </w:r>
      <w:r>
        <w:instrText xml:space="preserve"> HYPERLINK "https://sdbullion.com/gold-price-by-year" \h </w:instrText>
      </w:r>
      <w:r>
        <w:fldChar w:fldCharType="separate"/>
      </w:r>
      <w:r>
        <w:rPr>
          <w:rFonts w:ascii="inter" w:hAnsi="inter" w:eastAsia="inter" w:cs="inter"/>
          <w:color w:val="000000"/>
          <w:sz w:val="18"/>
          <w:u w:val="single"/>
        </w:rPr>
        <w:t>https://sdbullion.com/gold-price-by-year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7C0411">
      <w:pPr>
        <w:numPr>
          <w:ilvl w:val="0"/>
          <w:numId w:val="7"/>
        </w:numPr>
        <w:spacing w:after="210" w:line="360" w:lineRule="auto"/>
      </w:pPr>
      <w:bookmarkStart w:id="112" w:name="fn60"/>
      <w:bookmarkEnd w:id="112"/>
      <w:r>
        <w:fldChar w:fldCharType="begin"/>
      </w:r>
      <w:r>
        <w:instrText xml:space="preserve"> HYPERLINK "https://www.usagold.com/daily-gold-price-history/" \h </w:instrText>
      </w:r>
      <w:r>
        <w:fldChar w:fldCharType="separate"/>
      </w:r>
      <w:r>
        <w:rPr>
          <w:rFonts w:ascii="inter" w:hAnsi="inter" w:eastAsia="inter" w:cs="inter"/>
          <w:color w:val="000000"/>
          <w:sz w:val="18"/>
          <w:u w:val="single"/>
        </w:rPr>
        <w:t>https://www.usagold.com/daily-gold-price-history/</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2">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3">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4">
    <w:nsid w:val="03D62ECE"/>
    <w:multiLevelType w:val="singleLevel"/>
    <w:tmpl w:val="03D62ECE"/>
    <w:lvl w:ilvl="0" w:tentative="0">
      <w:start w:val="1"/>
      <w:numFmt w:val="decimal"/>
      <w:lvlText w:val="%1."/>
      <w:lvlJc w:val="left"/>
      <w:pPr>
        <w:tabs>
          <w:tab w:val="left" w:pos="900"/>
        </w:tabs>
        <w:ind w:left="540" w:hanging="360"/>
      </w:pPr>
    </w:lvl>
  </w:abstractNum>
  <w:abstractNum w:abstractNumId="5">
    <w:nsid w:val="25B654F3"/>
    <w:multiLevelType w:val="singleLevel"/>
    <w:tmpl w:val="25B654F3"/>
    <w:lvl w:ilvl="0" w:tentative="0">
      <w:start w:val="1"/>
      <w:numFmt w:val="decimal"/>
      <w:lvlText w:val="%1."/>
      <w:lvlJc w:val="left"/>
      <w:pPr>
        <w:tabs>
          <w:tab w:val="left" w:pos="900"/>
        </w:tabs>
        <w:ind w:left="540" w:hanging="360"/>
      </w:pPr>
    </w:lvl>
  </w:abstractNum>
  <w:abstractNum w:abstractNumId="6">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3FD5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2225</Words>
  <Characters>2676</Characters>
  <TotalTime>0</TotalTime>
  <ScaleCrop>false</ScaleCrop>
  <LinksUpToDate>false</LinksUpToDate>
  <CharactersWithSpaces>2728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2026-01-16T08:20:00Z</dcterms:created>
  <dc:creator>html-to-docx</dc:creator>
  <cp:keywords>html-to-docx</cp:keywords>
  <cp:lastModifiedBy>dyx</cp:lastModifiedBy>
  <dcterms:modified xsi:type="dcterms:W3CDTF">2026-01-17T16:36:07Z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2FDBE396E5C948B4923F86A53322F329_12</vt:lpwstr>
  </property>
</Properties>
</file>