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5146"/>
        <w:spacing w:before="47" w:line="373" w:lineRule="auto"/>
        <w:rPr>
          <w:rFonts w:ascii="SimSun" w:hAnsi="SimSun" w:eastAsia="SimSun" w:cs="SimSun"/>
        </w:rPr>
      </w:pPr>
      <w:r>
        <w:rPr/>
        <w:t>单件小批离散制造实现自动化难度战略调研报告</w:t>
      </w:r>
      <w:r>
        <w:rPr>
          <w:spacing w:val="11"/>
        </w:rPr>
        <w:t xml:space="preserve"> </w:t>
      </w:r>
      <w:r>
        <w:rPr>
          <w:spacing w:val="-1"/>
        </w:rPr>
        <w:t>报告编号：</w:t>
      </w:r>
      <w:r>
        <w:rPr>
          <w:rFonts w:ascii="SimSun" w:hAnsi="SimSun" w:eastAsia="SimSun" w:cs="SimSun"/>
          <w:spacing w:val="-1"/>
        </w:rPr>
        <w:t>MTI-2026-021</w:t>
      </w:r>
    </w:p>
    <w:p>
      <w:pPr>
        <w:pStyle w:val="BodyText"/>
        <w:spacing w:before="1" w:line="220" w:lineRule="auto"/>
        <w:rPr/>
      </w:pPr>
      <w:r>
        <w:rPr>
          <w:spacing w:val="9"/>
        </w:rPr>
        <w:t>编制单位：制造业战略与技术研究所(虚构智库)首席分析师</w:t>
      </w:r>
    </w:p>
    <w:p>
      <w:pPr>
        <w:pStyle w:val="BodyText"/>
        <w:spacing w:before="135" w:line="223" w:lineRule="auto"/>
        <w:rPr/>
      </w:pPr>
      <w:r>
        <w:rPr>
          <w:spacing w:val="14"/>
        </w:rPr>
        <w:t>报告日期：2026年2月</w:t>
      </w:r>
    </w:p>
    <w:p>
      <w:pPr>
        <w:pStyle w:val="BodyText"/>
        <w:spacing w:before="127" w:line="221" w:lineRule="auto"/>
        <w:rPr/>
      </w:pPr>
      <w:r>
        <w:rPr>
          <w:spacing w:val="3"/>
        </w:rPr>
        <w:t>密级：内部参考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一、研究背景与战略意义</w:t>
      </w:r>
    </w:p>
    <w:p>
      <w:pPr>
        <w:pStyle w:val="BodyText"/>
        <w:ind w:left="159"/>
        <w:spacing w:before="213" w:line="221" w:lineRule="auto"/>
        <w:rPr/>
      </w:pPr>
      <w:r>
        <w:rPr>
          <w:spacing w:val="6"/>
        </w:rPr>
        <w:t>(一)单件小批离散制造的本质特征</w:t>
      </w:r>
    </w:p>
    <w:p>
      <w:pPr>
        <w:pStyle w:val="BodyText"/>
        <w:spacing w:before="129" w:line="337" w:lineRule="auto"/>
        <w:rPr>
          <w:sz w:val="20"/>
          <w:szCs w:val="20"/>
        </w:rPr>
      </w:pPr>
      <w:r>
        <w:rPr>
          <w:spacing w:val="-1"/>
        </w:rPr>
        <w:t>单件小批离散制造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(one-of-a-kind</w:t>
      </w:r>
      <w:r>
        <w:rPr>
          <w:rFonts w:ascii="SimSun" w:hAnsi="SimSun" w:eastAsia="SimSun" w:cs="SimSun"/>
          <w:spacing w:val="60"/>
        </w:rPr>
        <w:t xml:space="preserve"> </w:t>
      </w:r>
      <w:r>
        <w:rPr>
          <w:rFonts w:ascii="SimSun" w:hAnsi="SimSun" w:eastAsia="SimSun" w:cs="SimSun"/>
          <w:spacing w:val="-1"/>
        </w:rPr>
        <w:t>&amp;small-batch</w:t>
      </w:r>
      <w:r>
        <w:rPr>
          <w:rFonts w:ascii="SimSun" w:hAnsi="SimSun" w:eastAsia="SimSun" w:cs="SimSun"/>
          <w:spacing w:val="62"/>
        </w:rPr>
        <w:t xml:space="preserve"> </w:t>
      </w:r>
      <w:r>
        <w:rPr>
          <w:rFonts w:ascii="SimSun" w:hAnsi="SimSun" w:eastAsia="SimSun" w:cs="SimSun"/>
          <w:spacing w:val="-1"/>
        </w:rPr>
        <w:t>discrete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rFonts w:ascii="SimSun" w:hAnsi="SimSun" w:eastAsia="SimSun" w:cs="SimSun"/>
          <w:spacing w:val="-1"/>
        </w:rPr>
        <w:t>manufacturing)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-1"/>
        </w:rPr>
        <w:t>是指产品品种繁</w:t>
      </w:r>
      <w:r>
        <w:rPr/>
        <w:t xml:space="preserve">  </w:t>
      </w:r>
      <w:r>
        <w:rPr/>
        <w:t>多、批量极小(通常≤10件/批)、客户需求高度定制化、产品结构复杂且生命周期短的制造模</w:t>
      </w:r>
      <w:r>
        <w:rPr>
          <w:spacing w:val="-1"/>
        </w:rPr>
        <w:t>式，</w:t>
      </w:r>
      <w:r>
        <w:rPr/>
        <w:t xml:space="preserve"> </w:t>
      </w:r>
      <w:r>
        <w:rPr/>
        <w:t>主要分布于高端装备、航空航天特种部件、精密模具、医疗器械植入物、轨道交通关键零部件等</w:t>
      </w:r>
      <w:r>
        <w:rPr>
          <w:spacing w:val="4"/>
        </w:rPr>
        <w:t xml:space="preserve">  </w:t>
      </w:r>
      <w:r>
        <w:rPr>
          <w:sz w:val="20"/>
          <w:szCs w:val="20"/>
          <w:spacing w:val="16"/>
        </w:rPr>
        <w:t>领域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16"/>
        </w:rPr>
        <w:t>。</w:t>
      </w:r>
    </w:p>
    <w:p>
      <w:pPr>
        <w:pStyle w:val="BodyText"/>
        <w:ind w:left="159"/>
        <w:spacing w:before="135" w:line="222" w:lineRule="auto"/>
        <w:rPr/>
      </w:pPr>
      <w:r>
        <w:rPr>
          <w:spacing w:val="7"/>
        </w:rPr>
        <w:t>(二)自动化转型的宏观压力</w:t>
      </w:r>
    </w:p>
    <w:p>
      <w:pPr>
        <w:pStyle w:val="BodyText"/>
        <w:spacing w:before="112" w:line="328" w:lineRule="auto"/>
        <w:rPr/>
      </w:pPr>
      <w:r>
        <w:rPr>
          <w:spacing w:val="-3"/>
        </w:rPr>
        <w:t>据工业和信息化部《“十四五”智能制造发展规划》指出，到2025年，规模以上制造业企业数字化</w:t>
      </w:r>
      <w:r>
        <w:rPr>
          <w:spacing w:val="13"/>
        </w:rPr>
        <w:t xml:space="preserve"> </w:t>
      </w:r>
      <w:r>
        <w:rPr>
          <w:spacing w:val="14"/>
        </w:rPr>
        <w:t>研发设计工具普及率需达84%,关键工序数控化率达75%,</w:t>
      </w:r>
      <w:r>
        <w:rPr>
          <w:spacing w:val="13"/>
        </w:rPr>
        <w:t>而单件小批领域仍是当前最薄弱环</w:t>
      </w:r>
    </w:p>
    <w:p>
      <w:pPr>
        <w:pStyle w:val="BodyText"/>
        <w:spacing w:before="1" w:line="223" w:lineRule="auto"/>
        <w:rPr/>
      </w:pPr>
      <w:r>
        <w:rPr>
          <w:spacing w:val="-5"/>
        </w:rPr>
        <w:t>节。</w:t>
      </w:r>
    </w:p>
    <w:p>
      <w:pPr>
        <w:pStyle w:val="BodyText"/>
        <w:ind w:right="99"/>
        <w:spacing w:before="101" w:line="352" w:lineRule="auto"/>
        <w:rPr/>
      </w:pPr>
      <w:r>
        <w:rPr>
          <w:spacing w:val="3"/>
        </w:rPr>
        <w:t>据麦肯锡全球研究院2024年报告《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</w:rPr>
        <w:t>next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</w:rPr>
        <w:t>frontier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</w:rPr>
        <w:t>manufacturing</w:t>
      </w:r>
      <w:r>
        <w:rPr>
          <w:rFonts w:ascii="SimSun" w:hAnsi="SimSun" w:eastAsia="SimSun" w:cs="SimSun"/>
          <w:spacing w:val="3"/>
        </w:rPr>
        <w:t>》</w:t>
      </w:r>
      <w:r>
        <w:rPr>
          <w:rFonts w:ascii="Times New Roman" w:hAnsi="Times New Roman" w:eastAsia="Times New Roman" w:cs="Times New Roman"/>
          <w:spacing w:val="3"/>
        </w:rPr>
        <w:t>,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3"/>
        </w:rPr>
        <w:t>单件小批离散制造的</w:t>
      </w:r>
      <w:r>
        <w:rPr/>
        <w:t xml:space="preserve"> </w:t>
      </w:r>
      <w:r>
        <w:rPr>
          <w:spacing w:val="5"/>
        </w:rPr>
        <w:t>劳动生产率仅为大批量生产的1/4-1/3,自动化渗透率平均不足18%。</w:t>
      </w:r>
    </w:p>
    <w:p>
      <w:pPr>
        <w:pStyle w:val="BodyText"/>
        <w:ind w:left="159"/>
        <w:spacing w:before="70" w:line="222" w:lineRule="auto"/>
        <w:rPr/>
      </w:pPr>
      <w:r>
        <w:rPr>
          <w:spacing w:val="10"/>
        </w:rPr>
        <w:t>(三)本报告研究定位</w:t>
      </w:r>
    </w:p>
    <w:p>
      <w:pPr>
        <w:pStyle w:val="BodyText"/>
        <w:ind w:right="105"/>
        <w:spacing w:before="100" w:line="336" w:lineRule="auto"/>
        <w:rPr/>
      </w:pPr>
      <w:r>
        <w:rPr/>
        <w:t>系统剖析单件小批离散制造实现高水平自动化的结构性难度，评估现有技术路径的经济性与适用</w:t>
      </w:r>
      <w:r>
        <w:rPr>
          <w:spacing w:val="12"/>
        </w:rPr>
        <w:t xml:space="preserve"> </w:t>
      </w:r>
      <w:r>
        <w:rPr>
          <w:spacing w:val="-1"/>
        </w:rPr>
        <w:t>边界，提出分阶段、可操作的战略推进建议。</w:t>
      </w:r>
    </w:p>
    <w:p>
      <w:pPr>
        <w:pStyle w:val="BodyText"/>
        <w:ind w:left="4"/>
        <w:spacing w:before="336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二、单件小批离散制造自动化的核心挑战分解</w:t>
      </w:r>
    </w:p>
    <w:p>
      <w:pPr>
        <w:pStyle w:val="BodyText"/>
        <w:ind w:left="159"/>
        <w:spacing w:before="221" w:line="222" w:lineRule="auto"/>
        <w:rPr/>
      </w:pPr>
      <w:r>
        <w:rPr>
          <w:spacing w:val="7"/>
        </w:rPr>
        <w:t>(一)产品与工艺的内在不确定性</w:t>
      </w:r>
    </w:p>
    <w:p>
      <w:pPr>
        <w:pStyle w:val="BodyText"/>
        <w:ind w:left="359"/>
        <w:spacing w:before="251" w:line="222" w:lineRule="auto"/>
        <w:rPr/>
      </w:pPr>
      <w:r>
        <w:rPr>
          <w:rFonts w:ascii="SimSun" w:hAnsi="SimSun" w:eastAsia="SimSun" w:cs="SimSun"/>
          <w:spacing w:val="-1"/>
        </w:rPr>
        <w:t>1.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1"/>
        </w:rPr>
        <w:t>产品结构变异度极高</w:t>
      </w:r>
    </w:p>
    <w:p>
      <w:pPr>
        <w:pStyle w:val="BodyText"/>
        <w:ind w:left="359"/>
        <w:spacing w:before="270" w:line="219" w:lineRule="auto"/>
        <w:rPr/>
      </w:pPr>
      <w:r>
        <w:rPr>
          <w:rFonts w:ascii="SimSun" w:hAnsi="SimSun" w:eastAsia="SimSun" w:cs="SimSun"/>
        </w:rPr>
        <w:t>2.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工艺路线非标准化、频繁重构</w:t>
      </w:r>
    </w:p>
    <w:p>
      <w:pPr>
        <w:pStyle w:val="BodyText"/>
        <w:ind w:left="359"/>
        <w:spacing w:before="257" w:line="222" w:lineRule="auto"/>
        <w:rPr/>
      </w:pPr>
      <w:r>
        <w:rPr>
          <w:rFonts w:ascii="SimSun" w:hAnsi="SimSun" w:eastAsia="SimSun" w:cs="SimSun"/>
        </w:rPr>
        <w:t>3.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加工余量、装夹基准、刀具路径高度个性化</w:t>
      </w:r>
    </w:p>
    <w:p>
      <w:pPr>
        <w:pStyle w:val="BodyText"/>
        <w:ind w:left="359"/>
        <w:spacing w:before="261" w:line="221" w:lineRule="auto"/>
        <w:rPr/>
      </w:pPr>
      <w:r>
        <w:rPr>
          <w:rFonts w:ascii="SimSun" w:hAnsi="SimSun" w:eastAsia="SimSun" w:cs="SimSun"/>
          <w:spacing w:val="-1"/>
        </w:rPr>
        <w:t>4.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1"/>
        </w:rPr>
        <w:t>在制品状态难以用统一数字模型表征</w:t>
      </w:r>
    </w:p>
    <w:p>
      <w:pPr>
        <w:pStyle w:val="BodyText"/>
        <w:ind w:left="159"/>
        <w:spacing w:before="303" w:line="222" w:lineRule="auto"/>
        <w:rPr/>
      </w:pPr>
      <w:r>
        <w:rPr>
          <w:spacing w:val="6"/>
        </w:rPr>
        <w:t>(二)生产组织的柔性需求与刚性冲突</w:t>
      </w:r>
    </w:p>
    <w:p>
      <w:pPr>
        <w:spacing w:line="222" w:lineRule="auto"/>
        <w:sectPr>
          <w:pgSz w:w="12240" w:h="15840"/>
          <w:pgMar w:top="1140" w:right="1070" w:bottom="0" w:left="970" w:header="0" w:footer="0" w:gutter="0"/>
        </w:sectPr>
        <w:rPr/>
      </w:pPr>
    </w:p>
    <w:p>
      <w:pPr>
        <w:pStyle w:val="BodyText"/>
        <w:ind w:left="349"/>
        <w:spacing w:before="48" w:line="221" w:lineRule="auto"/>
        <w:rPr/>
      </w:pPr>
      <w:r>
        <w:rPr>
          <w:rFonts w:ascii="SimSun" w:hAnsi="SimSun" w:eastAsia="SimSun" w:cs="SimSun"/>
          <w:spacing w:val="-2"/>
        </w:rPr>
        <w:t>1.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-2"/>
        </w:rPr>
        <w:t>交货期压缩与计划频繁调整</w:t>
      </w:r>
    </w:p>
    <w:p>
      <w:pPr>
        <w:pStyle w:val="BodyText"/>
        <w:ind w:left="349"/>
        <w:spacing w:before="241" w:line="219" w:lineRule="auto"/>
        <w:rPr/>
      </w:pPr>
      <w:r>
        <w:rPr>
          <w:rFonts w:ascii="SimSun" w:hAnsi="SimSun" w:eastAsia="SimSun" w:cs="SimSun"/>
        </w:rPr>
        <w:t>2.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多品种混线生产成为常态</w:t>
      </w:r>
    </w:p>
    <w:p>
      <w:pPr>
        <w:pStyle w:val="BodyText"/>
        <w:ind w:left="349"/>
        <w:spacing w:before="266" w:line="221" w:lineRule="auto"/>
        <w:rPr/>
      </w:pPr>
      <w:r>
        <w:rPr>
          <w:rFonts w:ascii="SimSun" w:hAnsi="SimSun" w:eastAsia="SimSun" w:cs="SimSun"/>
        </w:rPr>
        <w:t>3.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设备、工装、人员、物料的异构协同要求极高</w:t>
      </w:r>
    </w:p>
    <w:p>
      <w:pPr>
        <w:pStyle w:val="BodyText"/>
        <w:ind w:left="159"/>
        <w:spacing w:before="302" w:line="221" w:lineRule="auto"/>
        <w:rPr/>
      </w:pPr>
      <w:r>
        <w:rPr>
          <w:spacing w:val="6"/>
        </w:rPr>
        <w:t>(三)信息流与物理流的深度脱节</w:t>
      </w:r>
    </w:p>
    <w:p>
      <w:pPr>
        <w:pStyle w:val="BodyText"/>
        <w:ind w:right="323"/>
        <w:spacing w:before="141" w:line="328" w:lineRule="auto"/>
        <w:rPr/>
      </w:pPr>
      <w:r>
        <w:rPr>
          <w:spacing w:val="-4"/>
        </w:rPr>
        <w:t>传统制造执行系统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(MES)</w:t>
      </w:r>
      <w:r>
        <w:rPr>
          <w:rFonts w:ascii="SimSun" w:hAnsi="SimSun" w:eastAsia="SimSun" w:cs="SimSun"/>
          <w:spacing w:val="36"/>
        </w:rPr>
        <w:t xml:space="preserve">  </w:t>
      </w:r>
      <w:r>
        <w:rPr>
          <w:spacing w:val="-4"/>
        </w:rPr>
        <w:t>难以实时捕捉单件级工艺变更，数字主线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(digital threa</w:t>
      </w:r>
      <w:r>
        <w:rPr>
          <w:rFonts w:ascii="SimSun" w:hAnsi="SimSun" w:eastAsia="SimSun" w:cs="SimSun"/>
          <w:spacing w:val="-5"/>
        </w:rPr>
        <w:t>d)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5"/>
        </w:rPr>
        <w:t>断裂严</w:t>
      </w:r>
      <w:r>
        <w:rPr/>
        <w:t xml:space="preserve"> </w:t>
      </w:r>
      <w:r>
        <w:rPr>
          <w:spacing w:val="-12"/>
        </w:rPr>
        <w:t>重。</w:t>
      </w:r>
    </w:p>
    <w:p>
      <w:pPr>
        <w:pStyle w:val="BodyText"/>
        <w:ind w:left="4"/>
        <w:spacing w:before="337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三、现有自动化技术路径对比分析</w:t>
      </w:r>
    </w:p>
    <w:p>
      <w:pPr>
        <w:pStyle w:val="BodyText"/>
        <w:ind w:left="159"/>
        <w:spacing w:before="210" w:line="219" w:lineRule="auto"/>
        <w:rPr/>
      </w:pPr>
      <w:r>
        <w:rPr>
          <w:spacing w:val="8"/>
        </w:rPr>
        <w:t>(一)传统自动化</w:t>
      </w:r>
      <w:r>
        <w:rPr>
          <w:rFonts w:ascii="Arial" w:hAnsi="Arial" w:eastAsia="Arial" w:cs="Arial"/>
        </w:rPr>
        <w:t>vs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柔性自动化技术路线对比</w:t>
      </w:r>
    </w:p>
    <w:p>
      <w:pPr>
        <w:pStyle w:val="BodyText"/>
        <w:ind w:right="19"/>
        <w:spacing w:before="137" w:line="325" w:lineRule="auto"/>
        <w:rPr/>
      </w:pPr>
      <w:r>
        <w:rPr/>
        <w:t>如表1所示，基于弗劳恩霍夫生产技术研究所与德国机械设备制造业联合会</w:t>
      </w:r>
      <w:r>
        <w:rPr/>
        <w:t xml:space="preserve"> </w:t>
      </w:r>
      <w:r>
        <w:rPr>
          <w:rFonts w:ascii="SimSun" w:hAnsi="SimSun" w:eastAsia="SimSun" w:cs="SimSun"/>
        </w:rPr>
        <w:t>(VDMA)   </w:t>
      </w:r>
      <w:r>
        <w:rPr/>
        <w:t>近三年系列</w:t>
      </w:r>
      <w:r>
        <w:rPr>
          <w:spacing w:val="14"/>
        </w:rPr>
        <w:t xml:space="preserve"> </w:t>
      </w:r>
      <w:r>
        <w:rPr>
          <w:spacing w:val="-5"/>
        </w:rPr>
        <w:t>研究数据的提炼。</w:t>
      </w:r>
    </w:p>
    <w:p>
      <w:pPr>
        <w:pStyle w:val="BodyText"/>
        <w:ind w:left="3"/>
        <w:spacing w:before="111" w:line="221" w:lineRule="auto"/>
        <w:rPr/>
      </w:pPr>
      <w:r>
        <w:rPr>
          <w:b/>
          <w:bCs/>
          <w:spacing w:val="-2"/>
        </w:rPr>
        <w:t>表1</w:t>
      </w:r>
      <w:r>
        <w:rPr>
          <w:spacing w:val="101"/>
        </w:rPr>
        <w:t xml:space="preserve"> </w:t>
      </w:r>
      <w:r>
        <w:rPr>
          <w:b/>
          <w:bCs/>
          <w:spacing w:val="-2"/>
        </w:rPr>
        <w:t>传统自动化与柔性自动化在单件小批场景下的理论优劣对比</w:t>
      </w:r>
    </w:p>
    <w:p>
      <w:pPr>
        <w:spacing w:line="53" w:lineRule="exact"/>
        <w:rPr/>
      </w:pPr>
      <w:r/>
    </w:p>
    <w:tbl>
      <w:tblPr>
        <w:tblStyle w:val="TableNormal"/>
        <w:tblW w:w="1019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35"/>
        <w:gridCol w:w="189"/>
        <w:gridCol w:w="2821"/>
        <w:gridCol w:w="2950"/>
        <w:gridCol w:w="2704"/>
      </w:tblGrid>
      <w:tr>
        <w:trPr>
          <w:trHeight w:val="1642" w:hRule="atLeast"/>
        </w:trPr>
        <w:tc>
          <w:tcPr>
            <w:tcW w:w="1535" w:type="dxa"/>
            <w:vAlign w:val="top"/>
            <w:tcBorders>
              <w:right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1" w:line="220" w:lineRule="auto"/>
              <w:rPr/>
            </w:pPr>
            <w:r>
              <w:rPr>
                <w:b/>
                <w:bCs/>
                <w:spacing w:val="-6"/>
              </w:rPr>
              <w:t>维度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72" w:line="220" w:lineRule="auto"/>
              <w:rPr/>
            </w:pPr>
            <w:r>
              <w:rPr>
                <w:spacing w:val="3"/>
              </w:rPr>
              <w:t>投资强度</w:t>
            </w:r>
          </w:p>
        </w:tc>
        <w:tc>
          <w:tcPr>
            <w:tcW w:w="301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508"/>
              <w:spacing w:before="269" w:line="219" w:lineRule="auto"/>
              <w:rPr/>
            </w:pPr>
            <w:r>
              <w:rPr>
                <w:b/>
                <w:bCs/>
                <w:spacing w:val="-1"/>
              </w:rPr>
              <w:t>传统专用自动化(刚性产</w:t>
            </w:r>
          </w:p>
          <w:p>
            <w:pPr>
              <w:pStyle w:val="TableText"/>
              <w:ind w:left="505"/>
              <w:spacing w:before="24" w:line="220" w:lineRule="auto"/>
              <w:rPr/>
            </w:pPr>
            <w:r>
              <w:rPr>
                <w:spacing w:val="-6"/>
              </w:rPr>
              <w:t>线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)</w:t>
            </w:r>
          </w:p>
          <w:p>
            <w:pPr>
              <w:pStyle w:val="TableText"/>
              <w:ind w:left="514" w:right="507"/>
              <w:spacing w:before="276" w:line="226" w:lineRule="auto"/>
              <w:rPr/>
            </w:pPr>
            <w:r>
              <w:rPr/>
              <w:t>高(专用工装占比70-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85%)</w:t>
            </w:r>
          </w:p>
        </w:tc>
        <w:tc>
          <w:tcPr>
            <w:tcW w:w="29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8"/>
              <w:spacing w:before="289" w:line="219" w:lineRule="auto"/>
              <w:rPr/>
            </w:pPr>
            <w:r>
              <w:rPr>
                <w:b/>
                <w:bCs/>
                <w:spacing w:val="1"/>
              </w:rPr>
              <w:t>柔性自动化(机器人+智能制</w:t>
            </w:r>
          </w:p>
          <w:p>
            <w:pPr>
              <w:pStyle w:val="TableText"/>
              <w:ind w:left="174"/>
              <w:spacing w:before="4" w:line="220" w:lineRule="auto"/>
              <w:rPr/>
            </w:pPr>
            <w:r>
              <w:rPr>
                <w:spacing w:val="12"/>
              </w:rPr>
              <w:t>造单元)</w:t>
            </w:r>
          </w:p>
          <w:p>
            <w:pPr>
              <w:pStyle w:val="TableText"/>
              <w:ind w:left="185" w:right="102"/>
              <w:spacing w:before="276" w:line="226" w:lineRule="auto"/>
              <w:rPr/>
            </w:pPr>
            <w:r>
              <w:rPr>
                <w:spacing w:val="1"/>
              </w:rPr>
              <w:t>中高(通用机器人+模块化工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装</w:t>
            </w:r>
            <w:r>
              <w:rPr>
                <w:spacing w:val="-44"/>
              </w:rPr>
              <w:t xml:space="preserve"> </w:t>
            </w:r>
            <w:r>
              <w:rPr>
                <w:spacing w:val="-5"/>
              </w:rPr>
              <w:t>)</w:t>
            </w:r>
          </w:p>
        </w:tc>
        <w:tc>
          <w:tcPr>
            <w:tcW w:w="2704" w:type="dxa"/>
            <w:vAlign w:val="top"/>
            <w:tcBorders>
              <w:lef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4" w:right="282" w:hanging="119"/>
              <w:spacing w:before="72" w:line="210" w:lineRule="auto"/>
              <w:rPr/>
            </w:pPr>
            <w:r>
              <w:rPr>
                <w:spacing w:val="-1"/>
              </w:rPr>
              <w:t>适用单件小批场景得分</w:t>
            </w:r>
            <w:r>
              <w:rPr/>
              <w:t xml:space="preserve"> </w:t>
            </w:r>
            <w:r>
              <w:rPr>
                <w:spacing w:val="8"/>
              </w:rPr>
              <w:t>(满分10)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71" w:line="220" w:lineRule="auto"/>
              <w:rPr/>
            </w:pPr>
            <w:r>
              <w:rPr>
                <w:spacing w:val="2"/>
              </w:rPr>
              <w:t>刚性4.2/柔性7.1</w:t>
            </w:r>
          </w:p>
        </w:tc>
      </w:tr>
      <w:tr>
        <w:trPr>
          <w:trHeight w:val="839" w:hRule="atLeast"/>
        </w:trPr>
        <w:tc>
          <w:tcPr>
            <w:tcW w:w="1724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35" w:right="161"/>
              <w:spacing w:before="271" w:line="234" w:lineRule="auto"/>
              <w:rPr/>
            </w:pPr>
            <w:r>
              <w:rPr>
                <w:spacing w:val="-2"/>
              </w:rPr>
              <w:t>切换时间(批次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间</w:t>
            </w:r>
            <w:r>
              <w:rPr>
                <w:spacing w:val="-27"/>
              </w:rPr>
              <w:t xml:space="preserve"> </w:t>
            </w:r>
            <w:r>
              <w:rPr>
                <w:spacing w:val="-13"/>
              </w:rPr>
              <w:t>)</w:t>
            </w:r>
          </w:p>
        </w:tc>
        <w:tc>
          <w:tcPr>
            <w:tcW w:w="8475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155"/>
              <w:spacing w:before="311" w:line="220" w:lineRule="auto"/>
              <w:rPr/>
            </w:pPr>
            <w:r>
              <w:rPr>
                <w:spacing w:val="5"/>
              </w:rPr>
              <w:t>极长(数周-数月)          中</w:t>
            </w:r>
            <w:r>
              <w:rPr>
                <w:spacing w:val="4"/>
              </w:rPr>
              <w:t>短(数小时-数天)        刚性2.8/柔性8.3</w:t>
            </w:r>
          </w:p>
        </w:tc>
      </w:tr>
      <w:tr>
        <w:trPr>
          <w:trHeight w:val="799" w:hRule="atLeast"/>
        </w:trPr>
        <w:tc>
          <w:tcPr>
            <w:tcW w:w="10199" w:type="dxa"/>
            <w:vAlign w:val="top"/>
            <w:gridSpan w:val="5"/>
          </w:tcPr>
          <w:p>
            <w:pPr>
              <w:pStyle w:val="TableText"/>
              <w:ind w:left="124"/>
              <w:spacing w:before="262" w:line="210" w:lineRule="auto"/>
              <w:rPr/>
            </w:pPr>
            <w:r>
              <w:rPr>
                <w:position w:val="-1"/>
              </w:rPr>
              <w:t>编程/调试工作量  一次性高，后续极低  </w:t>
            </w:r>
            <w:r>
              <w:rPr>
                <w:spacing w:val="-1"/>
                <w:position w:val="-1"/>
              </w:rPr>
              <w:t xml:space="preserve">     </w:t>
            </w:r>
            <w:r>
              <w:rPr>
                <w:spacing w:val="-1"/>
                <w:position w:val="1"/>
              </w:rPr>
              <w:t>持续中高(需离线编程+在线   </w:t>
            </w:r>
            <w:r>
              <w:rPr>
                <w:spacing w:val="-1"/>
                <w:position w:val="-1"/>
              </w:rPr>
              <w:t>刚性8.5/柔性5.4</w:t>
            </w:r>
          </w:p>
          <w:p>
            <w:pPr>
              <w:pStyle w:val="TableText"/>
              <w:ind w:left="4725"/>
              <w:spacing w:before="1" w:line="214" w:lineRule="auto"/>
              <w:rPr/>
            </w:pPr>
            <w:r>
              <w:rPr>
                <w:spacing w:val="16"/>
              </w:rPr>
              <w:t>示教)</w:t>
            </w:r>
          </w:p>
        </w:tc>
      </w:tr>
      <w:tr>
        <w:trPr>
          <w:trHeight w:val="829" w:hRule="atLeast"/>
        </w:trPr>
        <w:tc>
          <w:tcPr>
            <w:tcW w:w="1724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35" w:right="28"/>
              <w:spacing w:before="263" w:line="233" w:lineRule="auto"/>
              <w:rPr/>
            </w:pPr>
            <w:r>
              <w:rPr>
                <w:spacing w:val="2"/>
              </w:rPr>
              <w:t>容错与异常处理</w:t>
            </w:r>
            <w:r>
              <w:rPr/>
              <w:t xml:space="preserve"> </w:t>
            </w:r>
            <w:r>
              <w:rPr>
                <w:spacing w:val="9"/>
              </w:rPr>
              <w:t>能力</w:t>
            </w:r>
          </w:p>
        </w:tc>
        <w:tc>
          <w:tcPr>
            <w:tcW w:w="2821" w:type="dxa"/>
            <w:vAlign w:val="top"/>
            <w:tcBorders>
              <w:left w:val="nil"/>
              <w:righ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7"/>
              <w:spacing w:before="72" w:line="220" w:lineRule="auto"/>
              <w:rPr/>
            </w:pPr>
            <w:r>
              <w:rPr>
                <w:spacing w:val="-3"/>
              </w:rPr>
              <w:t>极弱</w:t>
            </w:r>
          </w:p>
        </w:tc>
        <w:tc>
          <w:tcPr>
            <w:tcW w:w="29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4" w:right="89"/>
              <w:spacing w:before="282" w:line="225" w:lineRule="auto"/>
              <w:rPr/>
            </w:pPr>
            <w:r>
              <w:rPr>
                <w:spacing w:val="2"/>
              </w:rPr>
              <w:t>中等偏强(多传感器融合+</w:t>
            </w:r>
            <w:r>
              <w:rPr/>
              <w:t>Al </w:t>
            </w:r>
            <w:r>
              <w:rPr>
                <w:spacing w:val="16"/>
              </w:rPr>
              <w:t>决策)</w:t>
            </w:r>
          </w:p>
        </w:tc>
        <w:tc>
          <w:tcPr>
            <w:tcW w:w="2704" w:type="dxa"/>
            <w:vAlign w:val="top"/>
            <w:tcBorders>
              <w:lef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2" w:line="220" w:lineRule="auto"/>
              <w:rPr/>
            </w:pPr>
            <w:r>
              <w:rPr>
                <w:spacing w:val="-2"/>
              </w:rPr>
              <w:t>刚性3.1/柔性7.6</w:t>
            </w:r>
          </w:p>
        </w:tc>
      </w:tr>
      <w:tr>
        <w:trPr>
          <w:trHeight w:val="599" w:hRule="atLeast"/>
        </w:trPr>
        <w:tc>
          <w:tcPr>
            <w:tcW w:w="10199" w:type="dxa"/>
            <w:vAlign w:val="top"/>
            <w:gridSpan w:val="5"/>
          </w:tcPr>
          <w:p>
            <w:pPr>
              <w:pStyle w:val="TableText"/>
              <w:ind w:left="124"/>
              <w:spacing w:before="194" w:line="220" w:lineRule="auto"/>
              <w:rPr/>
            </w:pPr>
            <w:r>
              <w:rPr>
                <w:spacing w:val="3"/>
              </w:rPr>
              <w:t>占地与能耗</w:t>
            </w:r>
            <w:r>
              <w:rPr>
                <w:spacing w:val="18"/>
              </w:rPr>
              <w:t xml:space="preserve">     </w:t>
            </w:r>
            <w:r>
              <w:rPr>
                <w:spacing w:val="3"/>
              </w:rPr>
              <w:t>高</w:t>
            </w:r>
            <w:r>
              <w:rPr/>
              <w:t xml:space="preserve">                        </w:t>
            </w:r>
            <w:r>
              <w:rPr>
                <w:spacing w:val="3"/>
              </w:rPr>
              <w:t>中等(可重构布局)         刚性4.0/柔性6.8</w:t>
            </w:r>
          </w:p>
        </w:tc>
      </w:tr>
      <w:tr>
        <w:trPr>
          <w:trHeight w:val="719" w:hRule="atLeast"/>
        </w:trPr>
        <w:tc>
          <w:tcPr>
            <w:tcW w:w="1724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35" w:right="31"/>
              <w:spacing w:before="184" w:line="220" w:lineRule="auto"/>
              <w:rPr/>
            </w:pPr>
            <w:r>
              <w:rPr>
                <w:spacing w:val="1"/>
              </w:rPr>
              <w:t>对上游设计数据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依赖度</w:t>
            </w:r>
          </w:p>
        </w:tc>
        <w:tc>
          <w:tcPr>
            <w:tcW w:w="28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5" w:right="282"/>
              <w:spacing w:before="206" w:line="211" w:lineRule="auto"/>
              <w:rPr/>
            </w:pPr>
            <w:r>
              <w:rPr>
                <w:spacing w:val="1"/>
              </w:rPr>
              <w:t>极高(需完整3D模型+工</w:t>
            </w:r>
            <w:r>
              <w:rPr/>
              <w:t xml:space="preserve"> </w:t>
            </w:r>
            <w:r>
              <w:rPr>
                <w:spacing w:val="12"/>
              </w:rPr>
              <w:t>艺定型)</w:t>
            </w:r>
          </w:p>
        </w:tc>
        <w:tc>
          <w:tcPr>
            <w:tcW w:w="29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5" w:right="377"/>
              <w:spacing w:before="184" w:line="220" w:lineRule="auto"/>
              <w:rPr/>
            </w:pPr>
            <w:r>
              <w:rPr/>
              <w:t>中等(可部分依赖2.5D+特</w:t>
            </w:r>
            <w:r>
              <w:rPr>
                <w:spacing w:val="6"/>
              </w:rPr>
              <w:t xml:space="preserve"> </w:t>
            </w:r>
            <w:r>
              <w:rPr>
                <w:spacing w:val="24"/>
              </w:rPr>
              <w:t>征识别)</w:t>
            </w:r>
          </w:p>
        </w:tc>
        <w:tc>
          <w:tcPr>
            <w:tcW w:w="2704" w:type="dxa"/>
            <w:vAlign w:val="top"/>
            <w:tcBorders>
              <w:left w:val="nil"/>
            </w:tcBorders>
          </w:tcPr>
          <w:p>
            <w:pPr>
              <w:pStyle w:val="TableText"/>
              <w:ind w:left="84"/>
              <w:spacing w:before="256" w:line="220" w:lineRule="auto"/>
              <w:rPr/>
            </w:pPr>
            <w:r>
              <w:rPr>
                <w:spacing w:val="1"/>
              </w:rPr>
              <w:t>刚性9.2/柔性6.5</w:t>
            </w:r>
          </w:p>
        </w:tc>
      </w:tr>
      <w:tr>
        <w:trPr>
          <w:trHeight w:val="823" w:hRule="atLeast"/>
        </w:trPr>
        <w:tc>
          <w:tcPr>
            <w:tcW w:w="10199" w:type="dxa"/>
            <w:vAlign w:val="top"/>
            <w:gridSpan w:val="5"/>
          </w:tcPr>
          <w:p>
            <w:pPr>
              <w:pStyle w:val="TableText"/>
              <w:ind w:left="114"/>
              <w:spacing w:before="276" w:line="211" w:lineRule="auto"/>
              <w:rPr/>
            </w:pPr>
            <w:r>
              <w:rPr>
                <w:spacing w:val="5"/>
                <w:position w:val="2"/>
              </w:rPr>
              <w:t>总体经济回报周</w:t>
            </w:r>
            <w:r>
              <w:rPr>
                <w:spacing w:val="55"/>
                <w:position w:val="2"/>
              </w:rPr>
              <w:t xml:space="preserve"> </w:t>
            </w:r>
            <w:r>
              <w:rPr>
                <w:spacing w:val="5"/>
              </w:rPr>
              <w:t>极长(&gt;12年常见)          中长(5-9年</w:t>
            </w:r>
            <w:r>
              <w:rPr>
                <w:spacing w:val="4"/>
              </w:rPr>
              <w:t>可能)          刚性3.5/柔性6.9</w:t>
            </w:r>
          </w:p>
          <w:p>
            <w:pPr>
              <w:pStyle w:val="TableText"/>
              <w:ind w:left="114"/>
              <w:spacing w:line="220" w:lineRule="auto"/>
              <w:rPr/>
            </w:pPr>
            <w:r>
              <w:rPr/>
              <w:t>期</w:t>
            </w:r>
          </w:p>
        </w:tc>
      </w:tr>
    </w:tbl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1" w:lineRule="auto"/>
        <w:rPr/>
      </w:pPr>
      <w:r>
        <w:rPr>
          <w:spacing w:val="4"/>
        </w:rPr>
        <w:t>(二)当前主流柔性自动化技术方案优劣分析</w:t>
      </w:r>
    </w:p>
    <w:p>
      <w:pPr>
        <w:spacing w:line="221" w:lineRule="auto"/>
        <w:sectPr>
          <w:pgSz w:w="12240" w:h="15840"/>
          <w:pgMar w:top="1259" w:right="1035" w:bottom="0" w:left="970" w:header="0" w:footer="0" w:gutter="0"/>
        </w:sectPr>
        <w:rPr/>
      </w:pPr>
    </w:p>
    <w:p>
      <w:pPr>
        <w:pStyle w:val="BodyText"/>
        <w:ind w:left="325"/>
        <w:spacing w:before="49" w:line="219" w:lineRule="auto"/>
        <w:outlineLvl w:val="3"/>
        <w:rPr/>
      </w:pPr>
      <w:r>
        <w:rPr>
          <w:rFonts w:ascii="Arial" w:hAnsi="Arial" w:eastAsia="Arial" w:cs="Arial"/>
          <w:b/>
          <w:bCs/>
          <w:spacing w:val="1"/>
        </w:rPr>
        <w:t>1.  </w:t>
      </w:r>
      <w:r>
        <w:rPr>
          <w:b/>
          <w:bCs/>
          <w:spacing w:val="1"/>
        </w:rPr>
        <w:t>方案</w:t>
      </w:r>
      <w:r>
        <w:rPr>
          <w:rFonts w:ascii="Arial" w:hAnsi="Arial" w:eastAsia="Arial" w:cs="Arial"/>
          <w:b/>
          <w:bCs/>
          <w:spacing w:val="1"/>
        </w:rPr>
        <w:t>A:  </w:t>
      </w:r>
      <w:r>
        <w:rPr>
          <w:b/>
          <w:bCs/>
          <w:spacing w:val="1"/>
        </w:rPr>
        <w:t>工业机器人+视觉引导+离线编程</w:t>
      </w:r>
    </w:p>
    <w:p>
      <w:pPr>
        <w:pStyle w:val="BodyText"/>
        <w:ind w:left="649"/>
        <w:spacing w:before="135" w:line="220" w:lineRule="auto"/>
        <w:rPr/>
      </w:pPr>
      <w:r>
        <w:rPr>
          <w:b/>
          <w:bCs/>
          <w:spacing w:val="5"/>
        </w:rPr>
        <w:t>①优势</w:t>
      </w:r>
    </w:p>
    <w:p>
      <w:pPr>
        <w:pStyle w:val="BodyText"/>
        <w:ind w:left="1005"/>
        <w:spacing w:before="258" w:line="222" w:lineRule="auto"/>
        <w:rPr/>
      </w:pPr>
      <w:r>
        <w:rPr>
          <w:spacing w:val="7"/>
        </w:rPr>
        <w:t>·</w:t>
      </w:r>
      <w:r>
        <w:rPr>
          <w:spacing w:val="-75"/>
        </w:rPr>
        <w:t xml:space="preserve"> </w:t>
      </w:r>
      <w:r>
        <w:rPr>
          <w:spacing w:val="7"/>
        </w:rPr>
        <w:t>多模态感知融合(3</w:t>
      </w:r>
      <w:r>
        <w:rPr>
          <w:rFonts w:ascii="SimSun" w:hAnsi="SimSun" w:eastAsia="SimSun" w:cs="SimSun"/>
          <w:spacing w:val="7"/>
        </w:rPr>
        <w:t>D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spacing w:val="7"/>
        </w:rPr>
        <w:t>视觉+力觉+触觉)可部分补偿几何偏差</w:t>
      </w:r>
    </w:p>
    <w:p>
      <w:pPr>
        <w:pStyle w:val="BodyText"/>
        <w:ind w:left="1005"/>
        <w:spacing w:before="241" w:line="222" w:lineRule="auto"/>
        <w:rPr/>
      </w:pPr>
      <w:r>
        <w:rPr>
          <w:spacing w:val="-8"/>
        </w:rPr>
        <w:t>·机器人语言标准化程度较高</w:t>
      </w:r>
    </w:p>
    <w:p>
      <w:pPr>
        <w:pStyle w:val="BodyText"/>
        <w:ind w:left="1169"/>
        <w:spacing w:before="136" w:line="220" w:lineRule="auto"/>
        <w:rPr/>
      </w:pPr>
      <w:r>
        <w:rPr>
          <w:b/>
          <w:bCs/>
          <w:spacing w:val="-5"/>
        </w:rPr>
        <w:t>②潜在局限</w:t>
      </w:r>
    </w:p>
    <w:p>
      <w:pPr>
        <w:pStyle w:val="BodyText"/>
        <w:ind w:left="1005"/>
        <w:spacing w:before="238" w:line="213" w:lineRule="auto"/>
        <w:rPr/>
      </w:pPr>
      <w:r>
        <w:rPr>
          <w:spacing w:val="-4"/>
        </w:rPr>
        <w:t>·</w:t>
      </w:r>
      <w:r>
        <w:rPr>
          <w:spacing w:val="-102"/>
        </w:rPr>
        <w:t xml:space="preserve"> </w:t>
      </w:r>
      <w:r>
        <w:rPr>
          <w:spacing w:val="-4"/>
        </w:rPr>
        <w:t>离线编程模型准备周期长，实际与物理偏差</w:t>
      </w:r>
      <w:r>
        <w:rPr>
          <w:spacing w:val="-5"/>
        </w:rPr>
        <w:t>仍需大量在线补偿</w:t>
      </w:r>
    </w:p>
    <w:p>
      <w:pPr>
        <w:pStyle w:val="BodyText"/>
        <w:ind w:left="1005"/>
        <w:spacing w:before="286" w:line="222" w:lineRule="auto"/>
        <w:rPr/>
      </w:pPr>
      <w:r>
        <w:rPr>
          <w:spacing w:val="-5"/>
        </w:rPr>
        <w:t>·对工件摆放姿态一致性要求较高</w:t>
      </w:r>
    </w:p>
    <w:p>
      <w:pPr>
        <w:pStyle w:val="BodyText"/>
        <w:ind w:left="1005"/>
        <w:spacing w:before="249" w:line="221" w:lineRule="auto"/>
        <w:rPr/>
      </w:pPr>
      <w:r>
        <w:rPr>
          <w:spacing w:val="-5"/>
        </w:rPr>
        <w:t>·适用条件：工件几何特征相对稳定、批量≥3-5件</w:t>
      </w:r>
    </w:p>
    <w:p>
      <w:pPr>
        <w:pStyle w:val="BodyText"/>
        <w:ind w:left="644" w:right="2464" w:hanging="319"/>
        <w:spacing w:before="314" w:line="267" w:lineRule="auto"/>
        <w:rPr/>
      </w:pPr>
      <w:r>
        <w:rPr>
          <w:rFonts w:ascii="SimSun" w:hAnsi="SimSun" w:eastAsia="SimSun" w:cs="SimSun"/>
          <w:spacing w:val="2"/>
        </w:rPr>
        <w:t>2.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2"/>
        </w:rPr>
        <w:t>方案</w:t>
      </w:r>
      <w:r>
        <w:rPr>
          <w:rFonts w:ascii="SimSun" w:hAnsi="SimSun" w:eastAsia="SimSun" w:cs="SimSun"/>
          <w:spacing w:val="2"/>
        </w:rPr>
        <w:t>B: </w:t>
      </w:r>
      <w:r>
        <w:rPr>
          <w:spacing w:val="2"/>
        </w:rPr>
        <w:t>自主移动机器人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AMR</w:t>
      </w:r>
      <w:r>
        <w:rPr>
          <w:rFonts w:ascii="SimSun" w:hAnsi="SimSun" w:eastAsia="SimSun" w:cs="SimSun"/>
          <w:spacing w:val="2"/>
        </w:rPr>
        <w:t>)+   </w:t>
      </w:r>
      <w:r>
        <w:rPr>
          <w:spacing w:val="2"/>
        </w:rPr>
        <w:t>人机协作单元+数字孪生</w:t>
      </w:r>
      <w:r>
        <w:rPr/>
        <w:t xml:space="preserve"> </w:t>
      </w:r>
      <w:r>
        <w:rPr>
          <w:spacing w:val="10"/>
        </w:rPr>
        <w:t>①优势</w:t>
      </w:r>
    </w:p>
    <w:p>
      <w:pPr>
        <w:pStyle w:val="BodyText"/>
        <w:ind w:left="1005"/>
        <w:spacing w:before="264" w:line="221" w:lineRule="auto"/>
        <w:rPr/>
      </w:pPr>
      <w:r>
        <w:rPr>
          <w:spacing w:val="-6"/>
        </w:rPr>
        <w:t>·</w:t>
      </w:r>
      <w:r>
        <w:rPr>
          <w:spacing w:val="-101"/>
        </w:rPr>
        <w:t xml:space="preserve"> </w:t>
      </w:r>
      <w:r>
        <w:rPr>
          <w:spacing w:val="-6"/>
        </w:rPr>
        <w:t>实现物流-加工-检测的闭环流动</w:t>
      </w:r>
    </w:p>
    <w:p>
      <w:pPr>
        <w:pStyle w:val="BodyText"/>
        <w:ind w:left="1005"/>
        <w:spacing w:before="254" w:line="222" w:lineRule="auto"/>
        <w:rPr/>
      </w:pPr>
      <w:r>
        <w:rPr>
          <w:spacing w:val="-12"/>
        </w:rPr>
        <w:t>·</w:t>
      </w:r>
      <w:r>
        <w:rPr>
          <w:spacing w:val="-75"/>
        </w:rPr>
        <w:t xml:space="preserve"> </w:t>
      </w:r>
      <w:r>
        <w:rPr>
          <w:spacing w:val="-12"/>
        </w:rPr>
        <w:t>自适应迭代控制能力较强</w:t>
      </w:r>
    </w:p>
    <w:p>
      <w:pPr>
        <w:pStyle w:val="BodyText"/>
        <w:ind w:left="1165"/>
        <w:spacing w:before="120" w:line="220" w:lineRule="auto"/>
        <w:rPr/>
      </w:pPr>
      <w:r>
        <w:rPr>
          <w:spacing w:val="3"/>
        </w:rPr>
        <w:t>②潜在局限</w:t>
      </w:r>
    </w:p>
    <w:p>
      <w:pPr>
        <w:pStyle w:val="BodyText"/>
        <w:ind w:left="1005"/>
        <w:spacing w:before="265" w:line="221" w:lineRule="auto"/>
        <w:rPr/>
      </w:pPr>
      <w:r>
        <w:rPr>
          <w:spacing w:val="-4"/>
        </w:rPr>
        <w:t>·异构系统集成复杂度极高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(ROS2、OPC</w:t>
      </w:r>
      <w:r>
        <w:rPr>
          <w:rFonts w:ascii="SimSun" w:hAnsi="SimSun" w:eastAsia="SimSun" w:cs="SimSun"/>
          <w:spacing w:val="9"/>
        </w:rPr>
        <w:t xml:space="preserve">     </w:t>
      </w:r>
      <w:r>
        <w:rPr>
          <w:rFonts w:ascii="SimSun" w:hAnsi="SimSun" w:eastAsia="SimSun" w:cs="SimSun"/>
          <w:spacing w:val="-4"/>
        </w:rPr>
        <w:t>UA、PLC</w:t>
      </w:r>
      <w:r>
        <w:rPr>
          <w:spacing w:val="-4"/>
        </w:rPr>
        <w:t>多种协议并存)</w:t>
      </w:r>
    </w:p>
    <w:p>
      <w:pPr>
        <w:pStyle w:val="BodyText"/>
        <w:ind w:left="1005"/>
        <w:spacing w:before="252" w:line="221" w:lineRule="auto"/>
        <w:rPr/>
      </w:pPr>
      <w:r>
        <w:rPr>
          <w:spacing w:val="-9"/>
        </w:rPr>
        <w:t>·</w:t>
      </w:r>
      <w:r>
        <w:rPr>
          <w:spacing w:val="-95"/>
        </w:rPr>
        <w:t xml:space="preserve"> </w:t>
      </w:r>
      <w:r>
        <w:rPr>
          <w:spacing w:val="-9"/>
        </w:rPr>
        <w:t>安全防护与生产效率难以兼顾</w:t>
      </w:r>
    </w:p>
    <w:p>
      <w:pPr>
        <w:pStyle w:val="BodyText"/>
        <w:ind w:left="1005"/>
        <w:spacing w:before="262" w:line="220" w:lineRule="auto"/>
        <w:rPr/>
      </w:pPr>
      <w:r>
        <w:rPr>
          <w:spacing w:val="-5"/>
        </w:rPr>
        <w:t>·适用条件：厂房面积较大、已有一定数字化基础</w:t>
      </w:r>
    </w:p>
    <w:p>
      <w:pPr>
        <w:pStyle w:val="BodyText"/>
        <w:ind w:left="644" w:right="2517" w:hanging="319"/>
        <w:spacing w:before="305" w:line="275" w:lineRule="auto"/>
        <w:rPr/>
      </w:pPr>
      <w:r>
        <w:rPr>
          <w:rFonts w:ascii="SimSun" w:hAnsi="SimSun" w:eastAsia="SimSun" w:cs="SimSun"/>
          <w:spacing w:val="6"/>
        </w:rPr>
        <w:t>3.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6"/>
        </w:rPr>
        <w:t>方案</w:t>
      </w:r>
      <w:r>
        <w:rPr>
          <w:rFonts w:ascii="SimSun" w:hAnsi="SimSun" w:eastAsia="SimSun" w:cs="SimSun"/>
          <w:spacing w:val="6"/>
        </w:rPr>
        <w:t>C: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spacing w:val="6"/>
        </w:rPr>
        <w:t>驱动的工艺自适应系统(端到端学习+强化学习)</w:t>
      </w:r>
      <w:r>
        <w:rPr/>
        <w:t xml:space="preserve"> </w:t>
      </w:r>
      <w:r>
        <w:rPr>
          <w:spacing w:val="10"/>
        </w:rPr>
        <w:t>①优势</w:t>
      </w:r>
    </w:p>
    <w:p>
      <w:pPr>
        <w:pStyle w:val="BodyText"/>
        <w:ind w:left="1005"/>
        <w:spacing w:before="245" w:line="221" w:lineRule="auto"/>
        <w:rPr/>
      </w:pPr>
      <w:r>
        <w:rPr>
          <w:spacing w:val="-8"/>
        </w:rPr>
        <w:t>·理论上可大幅降低编程依赖</w:t>
      </w:r>
    </w:p>
    <w:p>
      <w:pPr>
        <w:pStyle w:val="BodyText"/>
        <w:ind w:left="1005"/>
        <w:spacing w:before="253" w:line="222" w:lineRule="auto"/>
        <w:rPr/>
      </w:pPr>
      <w:r>
        <w:rPr>
          <w:spacing w:val="-8"/>
        </w:rPr>
        <w:t>·对非结构化环境的适应性最强</w:t>
      </w:r>
    </w:p>
    <w:p>
      <w:pPr>
        <w:pStyle w:val="BodyText"/>
        <w:ind w:left="1165"/>
        <w:spacing w:before="140" w:line="220" w:lineRule="auto"/>
        <w:rPr/>
      </w:pPr>
      <w:r>
        <w:rPr>
          <w:spacing w:val="3"/>
        </w:rPr>
        <w:t>②潜在局限</w:t>
      </w:r>
    </w:p>
    <w:p>
      <w:pPr>
        <w:pStyle w:val="BodyText"/>
        <w:ind w:left="1005"/>
        <w:spacing w:before="235" w:line="213" w:lineRule="auto"/>
        <w:rPr/>
      </w:pPr>
      <w:r>
        <w:rPr>
          <w:spacing w:val="-5"/>
        </w:rPr>
        <w:t>·数据饥饿严重，单件场景下高质量示范数据极</w:t>
      </w:r>
      <w:r>
        <w:rPr>
          <w:spacing w:val="-6"/>
        </w:rPr>
        <w:t>难获取</w:t>
      </w:r>
    </w:p>
    <w:p>
      <w:pPr>
        <w:pStyle w:val="BodyText"/>
        <w:ind w:left="1005"/>
        <w:spacing w:before="274" w:line="222" w:lineRule="auto"/>
        <w:rPr/>
      </w:pPr>
      <w:r>
        <w:rPr>
          <w:spacing w:val="-5"/>
        </w:rPr>
        <w:t>·泛化能力与安全性仍处于实验室阶段</w:t>
      </w:r>
    </w:p>
    <w:p>
      <w:pPr>
        <w:pStyle w:val="BodyText"/>
        <w:ind w:left="1005"/>
        <w:spacing w:before="240" w:line="213" w:lineRule="auto"/>
        <w:rPr/>
      </w:pPr>
      <w:r>
        <w:rPr>
          <w:spacing w:val="-4"/>
        </w:rPr>
        <w:t>·适用条件：已积累大量同类族谱产品数据，或接受较长爬坡期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spacing w:before="99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四、经济性与投资回报综合评估</w:t>
      </w:r>
    </w:p>
    <w:p>
      <w:pPr>
        <w:spacing w:line="222" w:lineRule="auto"/>
        <w:sectPr>
          <w:pgSz w:w="12240" w:h="15840"/>
          <w:pgMar w:top="1233" w:right="1836" w:bottom="0" w:left="1004" w:header="0" w:footer="0" w:gutter="0"/>
        </w:sectPr>
        <w:rPr>
          <w:sz w:val="30"/>
          <w:szCs w:val="30"/>
        </w:rPr>
      </w:pPr>
    </w:p>
    <w:p>
      <w:pPr>
        <w:pStyle w:val="BodyText"/>
        <w:ind w:right="236"/>
        <w:spacing w:before="46" w:line="312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表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12"/>
        </w:rPr>
        <w:t>2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12"/>
        </w:rPr>
        <w:t>单件小批柔性自动化项目全生命周期成本构成估算(某典型中型企业案例</w:t>
      </w:r>
      <w:r>
        <w:rPr>
          <w:sz w:val="23"/>
          <w:szCs w:val="23"/>
          <w:spacing w:val="11"/>
        </w:rPr>
        <w:t>，基于非公开假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设</w:t>
      </w:r>
      <w:r>
        <w:rPr>
          <w:sz w:val="23"/>
          <w:szCs w:val="23"/>
          <w:spacing w:val="-41"/>
        </w:rPr>
        <w:t xml:space="preserve"> </w:t>
      </w:r>
      <w:r>
        <w:rPr>
          <w:sz w:val="23"/>
          <w:szCs w:val="23"/>
          <w:spacing w:val="-5"/>
        </w:rPr>
        <w:t>)</w:t>
      </w:r>
    </w:p>
    <w:tbl>
      <w:tblPr>
        <w:tblStyle w:val="TableNormal"/>
        <w:tblW w:w="1023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25"/>
        <w:gridCol w:w="2357"/>
        <w:gridCol w:w="1035"/>
        <w:gridCol w:w="1912"/>
        <w:gridCol w:w="803"/>
        <w:gridCol w:w="2798"/>
      </w:tblGrid>
      <w:tr>
        <w:trPr>
          <w:trHeight w:val="890" w:hRule="atLeast"/>
        </w:trPr>
        <w:tc>
          <w:tcPr>
            <w:tcW w:w="3682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成本类别</w:t>
            </w:r>
            <w:r>
              <w:rPr>
                <w:sz w:val="21"/>
                <w:szCs w:val="21"/>
                <w:spacing w:val="26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2"/>
              </w:rPr>
              <w:t>子项</w:t>
            </w:r>
          </w:p>
        </w:tc>
        <w:tc>
          <w:tcPr>
            <w:tcW w:w="1035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231"/>
              <w:spacing w:before="23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6"/>
              </w:rPr>
              <w:t>占比</w:t>
            </w:r>
          </w:p>
          <w:p>
            <w:pPr>
              <w:pStyle w:val="TableText"/>
              <w:ind w:left="231"/>
              <w:spacing w:before="20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(%)</w:t>
            </w:r>
          </w:p>
        </w:tc>
        <w:tc>
          <w:tcPr>
            <w:tcW w:w="2715" w:type="dxa"/>
            <w:vAlign w:val="top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376" w:right="546"/>
              <w:spacing w:before="24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典型金额区间(万元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6"/>
              </w:rPr>
              <w:t>人民币)</w:t>
            </w:r>
          </w:p>
        </w:tc>
        <w:tc>
          <w:tcPr>
            <w:tcW w:w="2798" w:type="dxa"/>
            <w:vAlign w:val="top"/>
            <w:tcBorders>
              <w:left w:val="nil"/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0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备注与影响因素</w:t>
            </w:r>
          </w:p>
        </w:tc>
      </w:tr>
      <w:tr>
        <w:trPr>
          <w:trHeight w:val="722" w:hRule="atLeast"/>
        </w:trPr>
        <w:tc>
          <w:tcPr>
            <w:tcW w:w="1325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05" w:right="174"/>
              <w:spacing w:before="163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直接投资成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本</w:t>
            </w:r>
          </w:p>
        </w:tc>
        <w:tc>
          <w:tcPr>
            <w:tcW w:w="235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224" w:right="201" w:hanging="57"/>
              <w:spacing w:before="163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机器人本体+末端执行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</w:rPr>
              <w:t>器</w:t>
            </w:r>
          </w:p>
        </w:tc>
        <w:tc>
          <w:tcPr>
            <w:tcW w:w="2947" w:type="dxa"/>
            <w:vAlign w:val="top"/>
            <w:gridSpan w:val="2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98"/>
              <w:spacing w:before="264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38-45</w:t>
            </w:r>
            <w:r>
              <w:rPr>
                <w:sz w:val="21"/>
                <w:szCs w:val="21"/>
                <w:spacing w:val="13"/>
              </w:rPr>
              <w:t xml:space="preserve">      </w:t>
            </w:r>
            <w:r>
              <w:rPr>
                <w:sz w:val="21"/>
                <w:szCs w:val="21"/>
                <w:spacing w:val="-4"/>
              </w:rPr>
              <w:t>180-420</w:t>
            </w:r>
          </w:p>
        </w:tc>
        <w:tc>
          <w:tcPr>
            <w:tcW w:w="3601" w:type="dxa"/>
            <w:vAlign w:val="top"/>
            <w:gridSpan w:val="2"/>
            <w:tcBorders>
              <w:left w:val="nil"/>
              <w:top w:val="nil"/>
            </w:tcBorders>
          </w:tcPr>
          <w:p>
            <w:pPr>
              <w:pStyle w:val="TableText"/>
              <w:ind w:left="831" w:right="231"/>
              <w:spacing w:before="163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臂展、负载、精度直接决定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价格</w:t>
            </w:r>
          </w:p>
        </w:tc>
      </w:tr>
      <w:tr>
        <w:trPr>
          <w:trHeight w:val="809" w:hRule="atLeast"/>
        </w:trPr>
        <w:tc>
          <w:tcPr>
            <w:tcW w:w="3682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545" w:right="221"/>
              <w:spacing w:before="280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视觉/力觉/多模态传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感器</w:t>
            </w:r>
          </w:p>
        </w:tc>
        <w:tc>
          <w:tcPr>
            <w:tcW w:w="294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8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12-18</w:t>
            </w:r>
            <w:r>
              <w:rPr>
                <w:sz w:val="21"/>
                <w:szCs w:val="21"/>
                <w:spacing w:val="14"/>
              </w:rPr>
              <w:t xml:space="preserve">      </w:t>
            </w:r>
            <w:r>
              <w:rPr>
                <w:sz w:val="21"/>
                <w:szCs w:val="21"/>
                <w:spacing w:val="-5"/>
              </w:rPr>
              <w:t>60-180</w:t>
            </w:r>
          </w:p>
        </w:tc>
        <w:tc>
          <w:tcPr>
            <w:tcW w:w="3601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841" w:right="457"/>
              <w:spacing w:before="280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3D相机+激光+力传感器组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合最贵</w:t>
            </w:r>
          </w:p>
        </w:tc>
      </w:tr>
      <w:tr>
        <w:trPr>
          <w:trHeight w:val="809" w:hRule="atLeast"/>
        </w:trPr>
        <w:tc>
          <w:tcPr>
            <w:tcW w:w="3682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554" w:right="222"/>
              <w:spacing w:before="273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工装夹具与快速换装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系统</w:t>
            </w:r>
          </w:p>
        </w:tc>
        <w:tc>
          <w:tcPr>
            <w:tcW w:w="294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8-14</w:t>
            </w:r>
            <w:r>
              <w:rPr>
                <w:sz w:val="21"/>
                <w:szCs w:val="21"/>
                <w:spacing w:val="9"/>
              </w:rPr>
              <w:t xml:space="preserve">       </w:t>
            </w:r>
            <w:r>
              <w:rPr>
                <w:sz w:val="21"/>
                <w:szCs w:val="21"/>
                <w:b/>
                <w:bCs/>
                <w:spacing w:val="-4"/>
              </w:rPr>
              <w:t>40-140</w:t>
            </w:r>
          </w:p>
        </w:tc>
        <w:tc>
          <w:tcPr>
            <w:tcW w:w="3601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831" w:right="215"/>
              <w:spacing w:before="282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零点定位系统可降低后期成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</w:rPr>
              <w:t>本</w:t>
            </w:r>
          </w:p>
        </w:tc>
      </w:tr>
      <w:tr>
        <w:trPr>
          <w:trHeight w:val="809" w:hRule="atLeast"/>
        </w:trPr>
        <w:tc>
          <w:tcPr>
            <w:tcW w:w="1325" w:type="dxa"/>
            <w:vAlign w:val="top"/>
            <w:tcBorders>
              <w:right w:val="nil"/>
            </w:tcBorders>
          </w:tcPr>
          <w:p>
            <w:pPr>
              <w:pStyle w:val="TableText"/>
              <w:ind w:left="105" w:right="189"/>
              <w:spacing w:before="305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间接实施成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本</w:t>
            </w:r>
          </w:p>
        </w:tc>
        <w:tc>
          <w:tcPr>
            <w:tcW w:w="235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4" w:right="297" w:hanging="22"/>
              <w:spacing w:before="303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系统集成与异构协议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适配</w:t>
            </w:r>
          </w:p>
        </w:tc>
        <w:tc>
          <w:tcPr>
            <w:tcW w:w="6548" w:type="dxa"/>
            <w:vAlign w:val="top"/>
            <w:gridSpan w:val="4"/>
            <w:tcBorders>
              <w:left w:val="nil"/>
            </w:tcBorders>
          </w:tcPr>
          <w:p>
            <w:pPr>
              <w:pStyle w:val="TableText"/>
              <w:ind w:left="201"/>
              <w:spacing w:before="303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  <w:position w:val="-1"/>
              </w:rPr>
              <w:t>15-22</w:t>
            </w:r>
            <w:r>
              <w:rPr>
                <w:sz w:val="21"/>
                <w:szCs w:val="21"/>
                <w:spacing w:val="14"/>
                <w:position w:val="-1"/>
              </w:rPr>
              <w:t xml:space="preserve">      </w:t>
            </w:r>
            <w:r>
              <w:rPr>
                <w:sz w:val="21"/>
                <w:szCs w:val="21"/>
                <w:spacing w:val="-2"/>
                <w:position w:val="-1"/>
              </w:rPr>
              <w:t>80-220</w:t>
            </w:r>
            <w:r>
              <w:rPr>
                <w:sz w:val="21"/>
                <w:szCs w:val="21"/>
                <w:spacing w:val="4"/>
                <w:position w:val="-1"/>
              </w:rPr>
              <w:t xml:space="preserve">                </w:t>
            </w:r>
            <w:r>
              <w:rPr>
                <w:sz w:val="21"/>
                <w:szCs w:val="21"/>
                <w:spacing w:val="-2"/>
              </w:rPr>
              <w:t>占总投资最大不确定性部分</w:t>
            </w:r>
          </w:p>
        </w:tc>
      </w:tr>
      <w:tr>
        <w:trPr>
          <w:trHeight w:val="839" w:hRule="atLeast"/>
        </w:trPr>
        <w:tc>
          <w:tcPr>
            <w:tcW w:w="3682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545" w:right="122"/>
              <w:spacing w:before="285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离线编程软件+数字孪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生建模</w:t>
            </w:r>
          </w:p>
        </w:tc>
        <w:tc>
          <w:tcPr>
            <w:tcW w:w="6548" w:type="dxa"/>
            <w:vAlign w:val="top"/>
            <w:gridSpan w:val="4"/>
            <w:tcBorders>
              <w:left w:val="nil"/>
            </w:tcBorders>
          </w:tcPr>
          <w:p>
            <w:pPr>
              <w:pStyle w:val="TableText"/>
              <w:ind w:left="198"/>
              <w:spacing w:before="30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  <w:position w:val="-2"/>
              </w:rPr>
              <w:t>6-11</w:t>
            </w:r>
            <w:r>
              <w:rPr>
                <w:sz w:val="21"/>
                <w:szCs w:val="21"/>
                <w:spacing w:val="11"/>
                <w:position w:val="-2"/>
              </w:rPr>
              <w:t xml:space="preserve">       </w:t>
            </w:r>
            <w:r>
              <w:rPr>
                <w:sz w:val="21"/>
                <w:szCs w:val="21"/>
                <w:spacing w:val="-1"/>
                <w:position w:val="-2"/>
              </w:rPr>
              <w:t>30-110</w:t>
            </w:r>
            <w:r>
              <w:rPr>
                <w:sz w:val="21"/>
                <w:szCs w:val="21"/>
                <w:spacing w:val="5"/>
                <w:position w:val="-2"/>
              </w:rPr>
              <w:t xml:space="preserve">                </w:t>
            </w:r>
            <w:r>
              <w:rPr>
                <w:sz w:val="21"/>
                <w:szCs w:val="21"/>
                <w:spacing w:val="-1"/>
                <w:position w:val="1"/>
              </w:rPr>
              <w:t>部分企业可复用已有</w:t>
            </w:r>
          </w:p>
          <w:p>
            <w:pPr>
              <w:pStyle w:val="TableText"/>
              <w:ind w:left="3788"/>
              <w:spacing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CAD</w:t>
            </w:r>
            <w:r>
              <w:rPr>
                <w:sz w:val="21"/>
                <w:szCs w:val="21"/>
                <w:spacing w:val="5"/>
              </w:rPr>
              <w:t>/</w:t>
            </w:r>
            <w:r>
              <w:rPr>
                <w:sz w:val="21"/>
                <w:szCs w:val="21"/>
              </w:rPr>
              <w:t>PLM</w:t>
            </w:r>
            <w:r>
              <w:rPr>
                <w:sz w:val="21"/>
                <w:szCs w:val="21"/>
                <w:spacing w:val="5"/>
              </w:rPr>
              <w:t>平台</w:t>
            </w:r>
          </w:p>
        </w:tc>
      </w:tr>
      <w:tr>
        <w:trPr>
          <w:trHeight w:val="799" w:hRule="atLeast"/>
        </w:trPr>
        <w:tc>
          <w:tcPr>
            <w:tcW w:w="1325" w:type="dxa"/>
            <w:vAlign w:val="top"/>
            <w:tcBorders>
              <w:right w:val="nil"/>
            </w:tcBorders>
          </w:tcPr>
          <w:p>
            <w:pPr>
              <w:pStyle w:val="TableText"/>
              <w:ind w:left="105" w:right="173"/>
              <w:spacing w:before="295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运行与维护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9"/>
              </w:rPr>
              <w:t>成本</w:t>
            </w:r>
          </w:p>
        </w:tc>
        <w:tc>
          <w:tcPr>
            <w:tcW w:w="235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24" w:right="196" w:hanging="29"/>
              <w:spacing w:before="295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备件、耗材、能源、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维护合同</w:t>
            </w:r>
          </w:p>
        </w:tc>
        <w:tc>
          <w:tcPr>
            <w:tcW w:w="294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198"/>
              <w:spacing w:before="30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年度4-9</w:t>
            </w:r>
            <w:r>
              <w:rPr>
                <w:sz w:val="21"/>
                <w:szCs w:val="21"/>
                <w:spacing w:val="10"/>
              </w:rPr>
              <w:t xml:space="preserve">    </w:t>
            </w:r>
            <w:r>
              <w:rPr>
                <w:sz w:val="21"/>
                <w:szCs w:val="21"/>
              </w:rPr>
              <w:t>25-80/年</w:t>
            </w:r>
          </w:p>
        </w:tc>
        <w:tc>
          <w:tcPr>
            <w:tcW w:w="3601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841" w:right="428"/>
              <w:spacing w:before="286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五年累计接近初始投资的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40-60%</w:t>
            </w:r>
          </w:p>
        </w:tc>
      </w:tr>
      <w:tr>
        <w:trPr>
          <w:trHeight w:val="839" w:hRule="atLeast"/>
        </w:trPr>
        <w:tc>
          <w:tcPr>
            <w:tcW w:w="10230" w:type="dxa"/>
            <w:vAlign w:val="top"/>
            <w:gridSpan w:val="6"/>
          </w:tcPr>
          <w:p>
            <w:pPr>
              <w:pStyle w:val="TableText"/>
              <w:ind w:left="135"/>
              <w:spacing w:before="296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机会成本</w:t>
            </w:r>
            <w:r>
              <w:rPr>
                <w:sz w:val="21"/>
                <w:szCs w:val="21"/>
                <w:spacing w:val="37"/>
              </w:rPr>
              <w:t xml:space="preserve">   </w:t>
            </w:r>
            <w:r>
              <w:rPr>
                <w:sz w:val="21"/>
                <w:szCs w:val="21"/>
                <w:spacing w:val="2"/>
                <w:position w:val="-1"/>
              </w:rPr>
              <w:t>停线调试与爬坡损失</w:t>
            </w:r>
            <w:r>
              <w:rPr>
                <w:sz w:val="21"/>
                <w:szCs w:val="21"/>
                <w:spacing w:val="18"/>
                <w:position w:val="-1"/>
              </w:rPr>
              <w:t xml:space="preserve">     </w:t>
            </w:r>
            <w:r>
              <w:rPr>
                <w:sz w:val="21"/>
                <w:szCs w:val="21"/>
                <w:spacing w:val="2"/>
                <w:position w:val="-3"/>
              </w:rPr>
              <w:t>一         </w:t>
            </w:r>
            <w:r>
              <w:rPr>
                <w:sz w:val="21"/>
                <w:szCs w:val="21"/>
                <w:spacing w:val="2"/>
                <w:position w:val="-1"/>
              </w:rPr>
              <w:t>80-300(一次性)        </w:t>
            </w:r>
            <w:r>
              <w:rPr>
                <w:sz w:val="21"/>
                <w:szCs w:val="21"/>
                <w:spacing w:val="2"/>
                <w:position w:val="1"/>
              </w:rPr>
              <w:t>视企业排产紧张程度差异极</w:t>
            </w:r>
          </w:p>
          <w:p>
            <w:pPr>
              <w:pStyle w:val="TableText"/>
              <w:ind w:left="7455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</w:t>
            </w:r>
          </w:p>
        </w:tc>
      </w:tr>
      <w:tr>
        <w:trPr>
          <w:trHeight w:val="813" w:hRule="atLeast"/>
        </w:trPr>
        <w:tc>
          <w:tcPr>
            <w:tcW w:w="3682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545" w:right="251" w:hanging="1410"/>
              <w:spacing w:before="267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2"/>
              </w:rPr>
              <w:t>隐性成本</w:t>
            </w:r>
            <w:r>
              <w:rPr>
                <w:sz w:val="21"/>
                <w:szCs w:val="21"/>
                <w:spacing w:val="7"/>
                <w:position w:val="-2"/>
              </w:rPr>
              <w:t xml:space="preserve">     </w:t>
            </w:r>
            <w:r>
              <w:rPr>
                <w:sz w:val="21"/>
                <w:szCs w:val="21"/>
                <w:position w:val="1"/>
              </w:rPr>
              <w:t>人员再培训、组织变 </w:t>
            </w:r>
            <w:r>
              <w:rPr>
                <w:sz w:val="21"/>
                <w:szCs w:val="21"/>
                <w:spacing w:val="9"/>
              </w:rPr>
              <w:t>革阻力</w:t>
            </w:r>
          </w:p>
        </w:tc>
        <w:tc>
          <w:tcPr>
            <w:tcW w:w="3750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ind w:left="1398" w:right="432"/>
              <w:spacing w:before="268"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难以量化，但通常被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低估</w:t>
            </w:r>
          </w:p>
        </w:tc>
        <w:tc>
          <w:tcPr>
            <w:tcW w:w="2798" w:type="dxa"/>
            <w:vAlign w:val="top"/>
            <w:tcBorders>
              <w:left w:val="nil"/>
            </w:tcBorders>
          </w:tcPr>
          <w:p>
            <w:pPr>
              <w:pStyle w:val="TableText"/>
              <w:ind w:left="28"/>
              <w:spacing w:before="30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决定项目成败的关键软因素</w:t>
            </w:r>
          </w:p>
        </w:tc>
      </w:tr>
    </w:tbl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3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五、典型案例剖析</w:t>
      </w:r>
    </w:p>
    <w:p>
      <w:pPr>
        <w:pStyle w:val="BodyText"/>
        <w:ind w:right="154"/>
        <w:spacing w:before="187" w:line="371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据某欧洲顶尖应用研究机构(弗劳恩霍夫生产自动化研究所关联项</w:t>
      </w:r>
      <w:r>
        <w:rPr>
          <w:sz w:val="23"/>
          <w:szCs w:val="23"/>
          <w:spacing w:val="15"/>
        </w:rPr>
        <w:t>目，未公开详尽数据)近三年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跟踪的一个航空结构件单件小批量智能化单元改造案例显示：</w:t>
      </w:r>
    </w:p>
    <w:p>
      <w:pPr>
        <w:pStyle w:val="BodyText"/>
        <w:ind w:left="509" w:right="110" w:hanging="140"/>
        <w:spacing w:before="74" w:line="275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spacing w:val="7"/>
        </w:rPr>
        <w:t>通过“机器人+多模态感知+轻量级数字孪生+工艺知识图谱”的组合方案，实现了约65%的关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键工序自动化覆盖；</w:t>
      </w:r>
    </w:p>
    <w:p>
      <w:pPr>
        <w:pStyle w:val="BodyText"/>
        <w:ind w:left="508" w:right="115" w:hanging="119"/>
        <w:spacing w:before="264" w:line="27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·</w:t>
      </w:r>
      <w:r>
        <w:rPr>
          <w:sz w:val="23"/>
          <w:szCs w:val="23"/>
          <w:spacing w:val="-95"/>
        </w:rPr>
        <w:t xml:space="preserve"> </w:t>
      </w:r>
      <w:r>
        <w:rPr>
          <w:sz w:val="23"/>
          <w:szCs w:val="23"/>
          <w:spacing w:val="10"/>
        </w:rPr>
        <w:t>成功要素包括：强有力的跨部门工艺-自动化-数字化</w:t>
      </w:r>
      <w:r>
        <w:rPr>
          <w:sz w:val="23"/>
          <w:szCs w:val="23"/>
          <w:spacing w:val="9"/>
        </w:rPr>
        <w:t>联合小组、渐进式导入(先攻克特征识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"/>
        </w:rPr>
        <w:t>别难度最低的子工序)、与上游设计部门深度协同建立</w:t>
      </w:r>
      <w:r>
        <w:rPr>
          <w:sz w:val="23"/>
          <w:szCs w:val="23"/>
          <w:spacing w:val="1"/>
        </w:rPr>
        <w:t>“制造特征模板库”。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spacing w:before="98" w:line="219" w:lineRule="auto"/>
        <w:rPr>
          <w:sz w:val="30"/>
          <w:szCs w:val="30"/>
        </w:rPr>
      </w:pPr>
      <w:r>
        <w:rPr>
          <w:sz w:val="30"/>
          <w:szCs w:val="30"/>
          <w:spacing w:val="1"/>
        </w:rPr>
        <w:t>六、实施路径建议与分阶段路线图</w:t>
      </w:r>
    </w:p>
    <w:p>
      <w:pPr>
        <w:pStyle w:val="BodyText"/>
        <w:spacing w:before="282" w:line="219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图1</w:t>
      </w:r>
      <w:r>
        <w:rPr>
          <w:sz w:val="23"/>
          <w:szCs w:val="23"/>
          <w:spacing w:val="125"/>
        </w:rPr>
        <w:t xml:space="preserve"> </w:t>
      </w:r>
      <w:r>
        <w:rPr>
          <w:sz w:val="23"/>
          <w:szCs w:val="23"/>
          <w:spacing w:val="14"/>
        </w:rPr>
        <w:t>单件小批离散制造柔性自动化分阶段推进路线图(建议)</w:t>
      </w:r>
    </w:p>
    <w:p>
      <w:pPr>
        <w:spacing w:line="219" w:lineRule="auto"/>
        <w:sectPr>
          <w:pgSz w:w="12240" w:h="15840"/>
          <w:pgMar w:top="1231" w:right="1014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spacing w:before="46" w:line="213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阶段0(准备期，6-18个月):</w:t>
      </w:r>
    </w:p>
    <w:p>
      <w:pPr>
        <w:pStyle w:val="BodyText"/>
        <w:ind w:right="2977"/>
        <w:spacing w:before="154" w:line="354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数字化基础诊断→工艺族谱划分→制造特征标</w:t>
      </w:r>
      <w:r>
        <w:rPr>
          <w:sz w:val="25"/>
          <w:szCs w:val="25"/>
          <w:spacing w:val="-4"/>
        </w:rPr>
        <w:t>准化→选定试点工序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3"/>
        </w:rPr>
        <w:t>阶段1(单站突破，12-24个月):</w:t>
      </w:r>
    </w:p>
    <w:p>
      <w:pPr>
        <w:pStyle w:val="BodyText"/>
        <w:ind w:right="2163"/>
        <w:spacing w:before="1" w:line="354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机器人+3</w:t>
      </w:r>
      <w:r>
        <w:rPr>
          <w:rFonts w:ascii="SimSun" w:hAnsi="SimSun" w:eastAsia="SimSun" w:cs="SimSun"/>
          <w:sz w:val="25"/>
          <w:szCs w:val="25"/>
          <w:spacing w:val="-2"/>
        </w:rPr>
        <w:t>D</w:t>
      </w:r>
      <w:r>
        <w:rPr>
          <w:rFonts w:ascii="SimSun" w:hAnsi="SimSun" w:eastAsia="SimSun" w:cs="SimSun"/>
          <w:sz w:val="25"/>
          <w:szCs w:val="25"/>
          <w:spacing w:val="-75"/>
        </w:rPr>
        <w:t xml:space="preserve"> </w:t>
      </w:r>
      <w:r>
        <w:rPr>
          <w:sz w:val="25"/>
          <w:szCs w:val="25"/>
          <w:spacing w:val="-2"/>
        </w:rPr>
        <w:t>视觉引导→离线编程+在线补偿</w:t>
      </w:r>
      <w:r>
        <w:rPr>
          <w:sz w:val="25"/>
          <w:szCs w:val="25"/>
          <w:spacing w:val="-3"/>
        </w:rPr>
        <w:t>→实现单个高频工序稳定自动化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8"/>
        </w:rPr>
        <w:t>阶段2(单元集成，18-36个月):</w:t>
      </w:r>
    </w:p>
    <w:p>
      <w:pPr>
        <w:pStyle w:val="BodyText"/>
        <w:ind w:right="3310"/>
        <w:spacing w:before="1" w:line="352" w:lineRule="auto"/>
        <w:rPr>
          <w:sz w:val="25"/>
          <w:szCs w:val="25"/>
        </w:rPr>
      </w:pPr>
      <w:r>
        <w:rPr>
          <w:sz w:val="25"/>
          <w:szCs w:val="25"/>
          <w:spacing w:val="-4"/>
        </w:rPr>
        <w:t>多机协作+</w:t>
      </w:r>
      <w:r>
        <w:rPr>
          <w:rFonts w:ascii="Arial" w:hAnsi="Arial" w:eastAsia="Arial" w:cs="Arial"/>
          <w:sz w:val="25"/>
          <w:szCs w:val="25"/>
          <w:spacing w:val="-4"/>
        </w:rPr>
        <w:t>AMR</w:t>
      </w:r>
      <w:r>
        <w:rPr>
          <w:sz w:val="25"/>
          <w:szCs w:val="25"/>
          <w:spacing w:val="-4"/>
        </w:rPr>
        <w:t>物流→数字主线初步贯通→实现小柔性制造单元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8"/>
        </w:rPr>
        <w:t>阶段3(系统优化，36个月+):</w:t>
      </w:r>
    </w:p>
    <w:p>
      <w:pPr>
        <w:pStyle w:val="BodyText"/>
        <w:spacing w:before="20" w:line="217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4"/>
        </w:rPr>
        <w:t>AI</w:t>
      </w:r>
      <w:r>
        <w:rPr>
          <w:sz w:val="25"/>
          <w:szCs w:val="25"/>
          <w:spacing w:val="-14"/>
        </w:rPr>
        <w:t>工艺自适应闭环→全流程数字孪生镜像→</w:t>
      </w:r>
      <w:r>
        <w:rPr>
          <w:sz w:val="25"/>
          <w:szCs w:val="25"/>
          <w:spacing w:val="-96"/>
        </w:rPr>
        <w:t xml:space="preserve"> </w:t>
      </w:r>
      <w:r>
        <w:rPr>
          <w:sz w:val="25"/>
          <w:szCs w:val="25"/>
          <w:spacing w:val="-15"/>
        </w:rPr>
        <w:t>向</w:t>
      </w:r>
      <w:r>
        <w:rPr>
          <w:rFonts w:ascii="SimSun" w:hAnsi="SimSun" w:eastAsia="SimSun" w:cs="SimSun"/>
          <w:sz w:val="25"/>
          <w:szCs w:val="25"/>
          <w:spacing w:val="-15"/>
        </w:rPr>
        <w:t>“lights-out”</w:t>
      </w:r>
      <w:r>
        <w:rPr>
          <w:sz w:val="25"/>
          <w:szCs w:val="25"/>
          <w:spacing w:val="-15"/>
        </w:rPr>
        <w:t>方向演进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七、结论与战略建议</w:t>
      </w:r>
    </w:p>
    <w:p>
      <w:pPr>
        <w:pStyle w:val="BodyText"/>
        <w:ind w:left="149"/>
        <w:spacing w:before="214" w:line="222" w:lineRule="auto"/>
        <w:rPr>
          <w:sz w:val="25"/>
          <w:szCs w:val="25"/>
        </w:rPr>
      </w:pPr>
      <w:r>
        <w:rPr>
          <w:sz w:val="25"/>
          <w:szCs w:val="25"/>
          <w:spacing w:val="6"/>
        </w:rPr>
        <w:t>(一)战略判断</w:t>
      </w:r>
    </w:p>
    <w:p>
      <w:pPr>
        <w:pStyle w:val="BodyText"/>
        <w:spacing w:before="106" w:line="342" w:lineRule="auto"/>
        <w:jc w:val="both"/>
        <w:rPr>
          <w:sz w:val="23"/>
          <w:szCs w:val="23"/>
        </w:rPr>
      </w:pPr>
      <w:r>
        <w:rPr>
          <w:sz w:val="23"/>
          <w:szCs w:val="23"/>
          <w:spacing w:val="8"/>
        </w:rPr>
        <w:t>单件小批离散制造实现高水平自动化并非技</w:t>
      </w:r>
      <w:r>
        <w:rPr>
          <w:sz w:val="23"/>
          <w:szCs w:val="23"/>
          <w:spacing w:val="7"/>
        </w:rPr>
        <w:t>术完全不可及，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7"/>
        </w:rPr>
        <w:t>而是面临系统性、结构性、认知性多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重约束叠加的典型“复杂系统工程难题”。当前主要瓶颈已从“技术是否可行”逐步转向“企业是否有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3"/>
        </w:rPr>
        <w:t>决心、有耐心、有系统能力去打通全链条”。</w:t>
      </w:r>
    </w:p>
    <w:p>
      <w:pPr>
        <w:pStyle w:val="BodyText"/>
        <w:ind w:left="169"/>
        <w:spacing w:before="93" w:line="22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(二)核心政策与企业建议</w:t>
      </w:r>
    </w:p>
    <w:p>
      <w:pPr>
        <w:pStyle w:val="BodyText"/>
        <w:ind w:left="659" w:right="5" w:hanging="310"/>
        <w:spacing w:before="279" w:line="27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1. </w:t>
      </w:r>
      <w:r>
        <w:rPr>
          <w:sz w:val="23"/>
          <w:szCs w:val="23"/>
        </w:rPr>
        <w:t>将单件小批柔性智能制造单元作为“中国制造2025”后期及“十五五”规划的重要标志性工程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2"/>
        </w:rPr>
        <w:t>方向；</w:t>
      </w:r>
    </w:p>
    <w:p>
      <w:pPr>
        <w:pStyle w:val="BodyText"/>
        <w:ind w:left="659" w:right="363" w:hanging="310"/>
        <w:spacing w:before="264" w:line="279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2.</w:t>
      </w:r>
      <w:r>
        <w:rPr>
          <w:rFonts w:ascii="SimSun" w:hAnsi="SimSun" w:eastAsia="SimSun" w:cs="SimSun"/>
          <w:sz w:val="23"/>
          <w:szCs w:val="23"/>
          <w:spacing w:val="-19"/>
        </w:rPr>
        <w:t xml:space="preserve"> </w:t>
      </w:r>
      <w:r>
        <w:rPr>
          <w:sz w:val="23"/>
          <w:szCs w:val="23"/>
          <w:spacing w:val="3"/>
        </w:rPr>
        <w:t>建议设立“单件小批量智能化改造专项”资金池，重点支持工艺族谱划分、制造特征库建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设、轻量级数字孪生平台研发；</w:t>
      </w:r>
    </w:p>
    <w:p>
      <w:pPr>
        <w:pStyle w:val="BodyText"/>
        <w:ind w:left="349"/>
        <w:spacing w:before="295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3.</w:t>
      </w:r>
      <w:r>
        <w:rPr>
          <w:rFonts w:ascii="SimSun" w:hAnsi="SimSun" w:eastAsia="SimSun" w:cs="SimSun"/>
          <w:sz w:val="23"/>
          <w:szCs w:val="23"/>
          <w:spacing w:val="-41"/>
        </w:rPr>
        <w:t xml:space="preserve"> </w:t>
      </w:r>
      <w:r>
        <w:rPr>
          <w:sz w:val="23"/>
          <w:szCs w:val="23"/>
          <w:spacing w:val="3"/>
        </w:rPr>
        <w:t>推动建立跨行业“单件小批制造特征与工艺</w:t>
      </w:r>
      <w:r>
        <w:rPr>
          <w:sz w:val="23"/>
          <w:szCs w:val="23"/>
          <w:spacing w:val="2"/>
        </w:rPr>
        <w:t>知识国家标准与开放平台”;</w:t>
      </w:r>
    </w:p>
    <w:p>
      <w:pPr>
        <w:pStyle w:val="BodyText"/>
        <w:ind w:left="659" w:right="6" w:hanging="310"/>
        <w:spacing w:before="235" w:line="279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4. </w:t>
      </w:r>
      <w:r>
        <w:rPr>
          <w:sz w:val="23"/>
          <w:szCs w:val="23"/>
          <w:spacing w:val="-2"/>
        </w:rPr>
        <w:t>在“工业4.0”与“智慧工厂”框架下，将单</w:t>
      </w:r>
      <w:r>
        <w:rPr>
          <w:sz w:val="23"/>
          <w:szCs w:val="23"/>
          <w:spacing w:val="-3"/>
        </w:rPr>
        <w:t>件小批领域的自动化水平作为衡量企业数字化成熟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5"/>
        </w:rPr>
        <w:t>度的重要新维度；</w:t>
      </w:r>
    </w:p>
    <w:p>
      <w:pPr>
        <w:pStyle w:val="BodyText"/>
        <w:ind w:left="659" w:right="90" w:hanging="310"/>
        <w:spacing w:before="253" w:line="304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5.</w:t>
      </w:r>
      <w:r>
        <w:rPr>
          <w:rFonts w:ascii="SimSun" w:hAnsi="SimSun" w:eastAsia="SimSun" w:cs="SimSun"/>
          <w:sz w:val="23"/>
          <w:szCs w:val="23"/>
          <w:spacing w:val="-9"/>
        </w:rPr>
        <w:t xml:space="preserve"> </w:t>
      </w:r>
      <w:r>
        <w:rPr>
          <w:sz w:val="23"/>
          <w:szCs w:val="23"/>
          <w:spacing w:val="15"/>
        </w:rPr>
        <w:t>将自动化改造的经济外部性(碳减排、供应链韧性提升、关键零部件自主保障)与联合国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2"/>
        </w:rPr>
        <w:t>可持续发展目标</w:t>
      </w:r>
      <w:r>
        <w:rPr>
          <w:sz w:val="23"/>
          <w:szCs w:val="2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SDG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 xml:space="preserve">    9:</w:t>
      </w:r>
      <w:r>
        <w:rPr>
          <w:rFonts w:ascii="Times New Roman" w:hAnsi="Times New Roman" w:eastAsia="Times New Roman" w:cs="Times New Roman"/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12"/>
        </w:rPr>
        <w:t>产业、创新和基础设施)深度关联，争取绿色金融与政策性贷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款倾斜。</w:t>
      </w:r>
    </w:p>
    <w:p>
      <w:pPr>
        <w:pStyle w:val="BodyText"/>
        <w:ind w:right="40"/>
        <w:spacing w:before="294" w:line="341" w:lineRule="auto"/>
        <w:jc w:val="both"/>
        <w:rPr>
          <w:sz w:val="23"/>
          <w:szCs w:val="23"/>
        </w:rPr>
      </w:pPr>
      <w:r>
        <w:rPr>
          <w:sz w:val="23"/>
          <w:szCs w:val="23"/>
          <w:spacing w:val="10"/>
        </w:rPr>
        <w:t>自动化对于单件小批离散制造企业而言，已不再是可选项，而是未来</w:t>
      </w:r>
      <w:r>
        <w:rPr>
          <w:sz w:val="23"/>
          <w:szCs w:val="23"/>
          <w:spacing w:val="9"/>
        </w:rPr>
        <w:t>十年生存与竞争力的战略必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需。当前最大制约因素既非技术天花板，也非资金绝对短缺，而更多源于企业长期主义认知不足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10"/>
        </w:rPr>
        <w:t>与短期投资意愿偏弱。唯有通过系统性工程思维、渐进式价值验证与强有力的政策引导，方能逐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22"/>
        </w:rPr>
        <w:t>步打破这一“最后一公里”并瓶颈。</w:t>
      </w:r>
    </w:p>
    <w:p>
      <w:pPr>
        <w:spacing w:line="341" w:lineRule="auto"/>
        <w:sectPr>
          <w:pgSz w:w="12240" w:h="15840"/>
          <w:pgMar w:top="1211" w:right="1126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spacing w:before="46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6"/>
        </w:rPr>
        <w:t>首席分析师</w:t>
      </w:r>
    </w:p>
    <w:p>
      <w:pPr>
        <w:pStyle w:val="BodyText"/>
        <w:spacing w:before="143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制造业战略与技术研究所</w:t>
      </w:r>
    </w:p>
    <w:p>
      <w:pPr>
        <w:pStyle w:val="BodyText"/>
        <w:spacing w:before="155" w:line="22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4"/>
        </w:rPr>
        <w:t>2026年2月</w:t>
      </w:r>
    </w:p>
    <w:sectPr>
      <w:pgSz w:w="12240" w:h="15840"/>
      <w:pgMar w:top="1208" w:right="1836" w:bottom="0" w:left="98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2026-03-16T00:00:24</vt:filetime>
  </property>
  <property fmtid="{D5CDD505-2E9C-101B-9397-08002B2CF9AE}" pid="4" name="UsrData">
    <vt:lpwstr>69b6d7966314910020303eb8wl</vt:lpwstr>
  </property>
</Properties>
</file>