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B246DF">
      <w:pPr>
        <w:spacing w:before="210" w:after="0" w:line="360" w:lineRule="auto"/>
      </w:pPr>
      <w:r>
        <w:pict>
          <v:rect id="_x0000_s1026" o:spid="_x0000_s1026" o:spt="1" style="height:0.05pt;width:475.5pt;" coordsize="21600,21600">
            <v:path/>
            <v:fill focussize="0,0"/>
            <v:stroke weight="1pt" color="#000000" opacity="0f"/>
            <v:imagedata o:title=""/>
            <o:lock v:ext="edit"/>
            <w10:wrap type="none"/>
            <w10:anchorlock/>
          </v:rect>
        </w:pict>
      </w:r>
      <w:bookmarkStart w:id="0" w:name="单件小批离散制造实现自动化难度的战略级调研报告"/>
      <w:r>
        <w:rPr>
          <w:rFonts w:ascii="inter" w:hAnsi="inter" w:eastAsia="inter" w:cs="inter"/>
          <w:b/>
          <w:color w:val="000000"/>
          <w:sz w:val="39"/>
        </w:rPr>
        <w:t>单件小批离散制造实现自动化难度的战略级调研报告</w:t>
      </w:r>
      <w:bookmarkEnd w:id="0"/>
    </w:p>
    <w:p w14:paraId="6AB7D5A1">
      <w:pPr>
        <w:spacing w:before="315" w:after="105" w:line="360" w:lineRule="auto"/>
        <w:ind w:left="-30"/>
        <w:jc w:val="left"/>
      </w:pPr>
      <w:bookmarkStart w:id="1" w:name="摘要"/>
      <w:r>
        <w:rPr>
          <w:rFonts w:ascii="inter" w:hAnsi="inter" w:eastAsia="inter" w:cs="inter"/>
          <w:b/>
          <w:color w:val="000000"/>
          <w:sz w:val="24"/>
        </w:rPr>
        <w:t>摘要</w:t>
      </w:r>
      <w:bookmarkEnd w:id="1"/>
    </w:p>
    <w:p w14:paraId="507592BA">
      <w:pPr>
        <w:spacing w:after="210" w:line="360" w:lineRule="auto"/>
      </w:pPr>
      <w:r>
        <w:rPr>
          <w:rFonts w:ascii="inter" w:hAnsi="inter" w:eastAsia="inter" w:cs="inter"/>
          <w:color w:val="000000"/>
        </w:rPr>
        <w:t>在单件小批离散制造场景中，实现高水平自动化通常而言面临工艺路径多样化、产</w:t>
      </w:r>
      <w:bookmarkStart w:id="76" w:name="_GoBack"/>
      <w:bookmarkEnd w:id="76"/>
      <w:r>
        <w:rPr>
          <w:rFonts w:ascii="inter" w:hAnsi="inter" w:eastAsia="inter" w:cs="inter"/>
          <w:color w:val="000000"/>
        </w:rPr>
        <w:t>品结构高度非标准化与运营决策高度不确定等多重耦合挑战，在某种程度上显著高于传统批量生产自动化难度。据世界银行有关制造业生产率与技术采用研究指出，中小批量、高定制度行业在数字化和自动化深度方面往往明显滞后于大批量流程工业。 据联合国“可持续发展目标9（产业、创新和基础设施）”相关材料，面向韧性基础设施和可持续工业化的智能制造转型已成为各国制造业升级的重要方向。 在中国背景下，据“工业和信息化部”历年智能制造试点示范相关报告，离散制造尤其是单件小批领域的示范项目占比在某种程度上呈上升趋势，但整体自动化成熟度与“智慧工厂”目标仍存在阶段性差距。</w:t>
      </w:r>
      <w:r>
        <w:rPr>
          <w:rFonts w:ascii="inter" w:hAnsi="inter" w:eastAsia="inter" w:cs="inter"/>
          <w:i/>
          <w:color w:val="000000"/>
        </w:rPr>
        <w:t>[注：工信部公开材料总体表述]</w:t>
      </w:r>
      <w:bookmarkStart w:id="2" w:name="fnref1"/>
      <w:bookmarkEnd w:id="2"/>
      <w:r>
        <w:fldChar w:fldCharType="begin"/>
      </w:r>
      <w:r>
        <w:instrText xml:space="preserve"> HYPERLINK \l "fn1" \h </w:instrText>
      </w:r>
      <w:r>
        <w:fldChar w:fldCharType="separate"/>
      </w:r>
      <w:r>
        <w:rPr>
          <w:rFonts w:ascii="inter" w:hAnsi="inter" w:eastAsia="inter" w:cs="inter"/>
          <w:color w:val="000000"/>
          <w:u w:val="single"/>
          <w:vertAlign w:val="superscript"/>
        </w:rPr>
        <w:t>[1]</w:t>
      </w:r>
      <w:r>
        <w:rPr>
          <w:rFonts w:ascii="inter" w:hAnsi="inter" w:eastAsia="inter" w:cs="inter"/>
          <w:color w:val="000000"/>
          <w:u w:val="single"/>
          <w:vertAlign w:val="superscript"/>
        </w:rPr>
        <w:fldChar w:fldCharType="end"/>
      </w:r>
      <w:bookmarkStart w:id="3" w:name="fnref2"/>
      <w:bookmarkEnd w:id="3"/>
      <w:r>
        <w:fldChar w:fldCharType="begin"/>
      </w:r>
      <w:r>
        <w:instrText xml:space="preserve"> HYPERLINK \l "fn2" \h </w:instrText>
      </w:r>
      <w:r>
        <w:fldChar w:fldCharType="separate"/>
      </w:r>
      <w:r>
        <w:rPr>
          <w:rFonts w:ascii="inter" w:hAnsi="inter" w:eastAsia="inter" w:cs="inter"/>
          <w:color w:val="000000"/>
          <w:u w:val="single"/>
          <w:vertAlign w:val="superscript"/>
        </w:rPr>
        <w:t>[2]</w:t>
      </w:r>
      <w:r>
        <w:rPr>
          <w:rFonts w:ascii="inter" w:hAnsi="inter" w:eastAsia="inter" w:cs="inter"/>
          <w:color w:val="000000"/>
          <w:u w:val="single"/>
          <w:vertAlign w:val="superscript"/>
        </w:rPr>
        <w:fldChar w:fldCharType="end"/>
      </w:r>
      <w:bookmarkStart w:id="4" w:name="fnref3"/>
      <w:bookmarkEnd w:id="4"/>
      <w:r>
        <w:fldChar w:fldCharType="begin"/>
      </w:r>
      <w:r>
        <w:instrText xml:space="preserve"> HYPERLINK \l "fn3" \h </w:instrText>
      </w:r>
      <w:r>
        <w:fldChar w:fldCharType="separate"/>
      </w:r>
      <w:r>
        <w:rPr>
          <w:rFonts w:ascii="inter" w:hAnsi="inter" w:eastAsia="inter" w:cs="inter"/>
          <w:color w:val="000000"/>
          <w:u w:val="single"/>
          <w:vertAlign w:val="superscript"/>
        </w:rPr>
        <w:t>[3]</w:t>
      </w:r>
      <w:r>
        <w:rPr>
          <w:rFonts w:ascii="inter" w:hAnsi="inter" w:eastAsia="inter" w:cs="inter"/>
          <w:color w:val="000000"/>
          <w:u w:val="single"/>
          <w:vertAlign w:val="superscript"/>
        </w:rPr>
        <w:fldChar w:fldCharType="end"/>
      </w:r>
      <w:bookmarkStart w:id="5" w:name="fnref4"/>
      <w:bookmarkEnd w:id="5"/>
      <w:r>
        <w:fldChar w:fldCharType="begin"/>
      </w:r>
      <w:r>
        <w:instrText xml:space="preserve"> HYPERLINK \l "fn4" \h </w:instrText>
      </w:r>
      <w:r>
        <w:fldChar w:fldCharType="separate"/>
      </w:r>
      <w:r>
        <w:rPr>
          <w:rFonts w:ascii="inter" w:hAnsi="inter" w:eastAsia="inter" w:cs="inter"/>
          <w:color w:val="000000"/>
          <w:u w:val="single"/>
          <w:vertAlign w:val="superscript"/>
        </w:rPr>
        <w:t>[4]</w:t>
      </w:r>
      <w:r>
        <w:rPr>
          <w:rFonts w:ascii="inter" w:hAnsi="inter" w:eastAsia="inter" w:cs="inter"/>
          <w:color w:val="000000"/>
          <w:u w:val="single"/>
          <w:vertAlign w:val="superscript"/>
        </w:rPr>
        <w:fldChar w:fldCharType="end"/>
      </w:r>
    </w:p>
    <w:p w14:paraId="173DE582">
      <w:pPr>
        <w:spacing w:before="210" w:after="0" w:line="360" w:lineRule="auto"/>
      </w:pPr>
      <w:r>
        <w:pict>
          <v:rect id="_x0000_s1027" o:spid="_x0000_s1027" o:spt="1" style="height:0.05pt;width:475.5pt;" coordsize="21600,21600">
            <v:path/>
            <v:fill focussize="0,0"/>
            <v:stroke weight="1pt" color="#000000" opacity="0f"/>
            <v:imagedata o:title=""/>
            <o:lock v:ext="edit"/>
            <w10:wrap type="none"/>
            <w10:anchorlock/>
          </v:rect>
        </w:pict>
      </w:r>
    </w:p>
    <w:p w14:paraId="32F40535">
      <w:pPr>
        <w:spacing w:before="315" w:after="105" w:line="360" w:lineRule="auto"/>
        <w:ind w:left="-30"/>
        <w:jc w:val="left"/>
      </w:pPr>
      <w:bookmarkStart w:id="6" w:name="一_研究背景与问题界定"/>
      <w:r>
        <w:rPr>
          <w:rFonts w:ascii="inter" w:hAnsi="inter" w:eastAsia="inter" w:cs="inter"/>
          <w:b/>
          <w:color w:val="000000"/>
          <w:sz w:val="24"/>
        </w:rPr>
        <w:t>一、研究背景与问题界定</w:t>
      </w:r>
      <w:bookmarkEnd w:id="6"/>
    </w:p>
    <w:p w14:paraId="6D7F4790">
      <w:pPr>
        <w:spacing w:before="315" w:after="105" w:line="360" w:lineRule="auto"/>
        <w:ind w:left="-30"/>
        <w:jc w:val="left"/>
      </w:pPr>
      <w:bookmarkStart w:id="7" w:name="一_单件小批离散制造的特征"/>
      <w:r>
        <w:rPr>
          <w:rFonts w:ascii="inter" w:hAnsi="inter" w:eastAsia="inter" w:cs="inter"/>
          <w:b/>
          <w:color w:val="000000"/>
          <w:sz w:val="24"/>
        </w:rPr>
        <w:t>(一) 单件小批离散制造的特征</w:t>
      </w:r>
      <w:bookmarkEnd w:id="7"/>
    </w:p>
    <w:p w14:paraId="0EEBB75C">
      <w:pPr>
        <w:numPr>
          <w:ilvl w:val="0"/>
          <w:numId w:val="1"/>
        </w:numPr>
        <w:spacing w:before="105" w:after="105" w:line="360" w:lineRule="auto"/>
      </w:pPr>
      <w:r>
        <w:rPr>
          <w:rFonts w:ascii="inter" w:hAnsi="inter" w:eastAsia="inter" w:cs="inter"/>
          <w:color w:val="000000"/>
          <w:sz w:val="21"/>
        </w:rPr>
        <w:t>概念界定</w:t>
      </w:r>
    </w:p>
    <w:p w14:paraId="24873C16">
      <w:pPr>
        <w:spacing w:after="210" w:line="360" w:lineRule="auto"/>
      </w:pPr>
      <w:r>
        <w:rPr>
          <w:rFonts w:ascii="inter" w:hAnsi="inter" w:eastAsia="inter" w:cs="inter"/>
          <w:color w:val="000000"/>
        </w:rPr>
        <w:t>(1) 单件小批离散制造</w:t>
      </w:r>
      <w:r>
        <w:rPr>
          <w:rFonts w:ascii="inter" w:hAnsi="inter" w:eastAsia="inter" w:cs="inter"/>
          <w:color w:val="000000"/>
        </w:rPr>
        <w:br w:type="textWrapping"/>
      </w:r>
      <w:r>
        <w:rPr>
          <w:rFonts w:ascii="inter" w:hAnsi="inter" w:eastAsia="inter" w:cs="inter"/>
          <w:color w:val="000000"/>
        </w:rPr>
        <w:t xml:space="preserve">① </w:t>
      </w:r>
      <w:r>
        <w:rPr>
          <w:rFonts w:ascii="inter" w:hAnsi="inter" w:eastAsia="inter" w:cs="inter"/>
          <w:b/>
          <w:color w:val="000000"/>
        </w:rPr>
        <w:t>单件小批离散制造</w:t>
      </w:r>
      <w:r>
        <w:rPr>
          <w:rFonts w:ascii="inter" w:hAnsi="inter" w:eastAsia="inter" w:cs="inter"/>
          <w:color w:val="000000"/>
        </w:rPr>
        <w:t>通常而言是指在单位时间内订单批量较小、产品结构差异显著、工艺路线频繁变更、物料与资源配置高度动态的离散型生产模式，典型行业包括高端装备、工程机械、定制化机械部件、个性化医疗器械等。</w:t>
      </w:r>
      <w:r>
        <w:rPr>
          <w:rFonts w:ascii="inter" w:hAnsi="inter" w:eastAsia="inter" w:cs="inter"/>
          <w:color w:val="000000"/>
        </w:rPr>
        <w:br w:type="textWrapping"/>
      </w:r>
      <w:r>
        <w:rPr>
          <w:rFonts w:ascii="inter" w:hAnsi="inter" w:eastAsia="inter" w:cs="inter"/>
          <w:color w:val="000000"/>
        </w:rPr>
        <w:t>② 与大批量装配线相比，该模式在工艺时间、工步序列与资源占用方面具有显著随机性与异质性，从而在某种程度上削弱传统刚性自动化技术方案的适配度。</w:t>
      </w:r>
    </w:p>
    <w:p w14:paraId="5D3CA5D4">
      <w:pPr>
        <w:spacing w:after="210" w:line="360" w:lineRule="auto"/>
      </w:pPr>
      <w:r>
        <w:rPr>
          <w:rFonts w:ascii="inter" w:hAnsi="inter" w:eastAsia="inter" w:cs="inter"/>
          <w:color w:val="000000"/>
        </w:rPr>
        <w:t>(2) 自动化难度的内涵</w:t>
      </w:r>
      <w:r>
        <w:rPr>
          <w:rFonts w:ascii="inter" w:hAnsi="inter" w:eastAsia="inter" w:cs="inter"/>
          <w:color w:val="000000"/>
        </w:rPr>
        <w:br w:type="textWrapping"/>
      </w:r>
      <w:r>
        <w:rPr>
          <w:rFonts w:ascii="inter" w:hAnsi="inter" w:eastAsia="inter" w:cs="inter"/>
          <w:color w:val="000000"/>
        </w:rPr>
        <w:t>① 自动化难度在本研究中建议考虑从“技术可行性”“经济合理性”“组织变革复杂度”“供应链与生态协同难度”四个维度进行综合表征，而不仅限于设备自动化率这一单一指标。</w:t>
      </w:r>
      <w:r>
        <w:rPr>
          <w:rFonts w:ascii="inter" w:hAnsi="inter" w:eastAsia="inter" w:cs="inter"/>
          <w:color w:val="000000"/>
        </w:rPr>
        <w:br w:type="textWrapping"/>
      </w:r>
      <w:r>
        <w:rPr>
          <w:rFonts w:ascii="inter" w:hAnsi="inter" w:eastAsia="inter" w:cs="inter"/>
          <w:color w:val="000000"/>
        </w:rPr>
        <w:t>② 参考ISO/IEC关于系统工程与复杂系统生命周期的相关指南，可将单件小批自动化视为一种“复杂系统的系统（SoS）”工程问题，其本质在于异构系统集成和多主体协同控制的可实施性。</w:t>
      </w:r>
      <w:r>
        <w:rPr>
          <w:rFonts w:ascii="inter" w:hAnsi="inter" w:eastAsia="inter" w:cs="inter"/>
          <w:i/>
          <w:color w:val="000000"/>
        </w:rPr>
        <w:t>[参考 ISO/IEC/IEEE 15288 及 21840 框架描述]</w:t>
      </w:r>
      <w:bookmarkStart w:id="8" w:name="fnref5"/>
      <w:bookmarkEnd w:id="8"/>
      <w:r>
        <w:fldChar w:fldCharType="begin"/>
      </w:r>
      <w:r>
        <w:instrText xml:space="preserve"> HYPERLINK \l "fn5" \h </w:instrText>
      </w:r>
      <w:r>
        <w:fldChar w:fldCharType="separate"/>
      </w:r>
      <w:r>
        <w:rPr>
          <w:rFonts w:ascii="inter" w:hAnsi="inter" w:eastAsia="inter" w:cs="inter"/>
          <w:color w:val="000000"/>
          <w:u w:val="single"/>
          <w:vertAlign w:val="superscript"/>
        </w:rPr>
        <w:t>[5]</w:t>
      </w:r>
      <w:r>
        <w:rPr>
          <w:rFonts w:ascii="inter" w:hAnsi="inter" w:eastAsia="inter" w:cs="inter"/>
          <w:color w:val="000000"/>
          <w:u w:val="single"/>
          <w:vertAlign w:val="superscript"/>
        </w:rPr>
        <w:fldChar w:fldCharType="end"/>
      </w:r>
    </w:p>
    <w:p w14:paraId="15AE4B4C">
      <w:pPr>
        <w:numPr>
          <w:ilvl w:val="0"/>
          <w:numId w:val="2"/>
        </w:numPr>
        <w:spacing w:before="105" w:after="105" w:line="360" w:lineRule="auto"/>
      </w:pPr>
      <w:r>
        <w:rPr>
          <w:rFonts w:ascii="inter" w:hAnsi="inter" w:eastAsia="inter" w:cs="inter"/>
          <w:color w:val="000000"/>
          <w:sz w:val="21"/>
        </w:rPr>
        <w:t>研究问题</w:t>
      </w:r>
    </w:p>
    <w:p w14:paraId="7A18F9F2">
      <w:pPr>
        <w:spacing w:after="210" w:line="360" w:lineRule="auto"/>
      </w:pPr>
      <w:r>
        <w:rPr>
          <w:rFonts w:ascii="inter" w:hAnsi="inter" w:eastAsia="inter" w:cs="inter"/>
          <w:color w:val="000000"/>
        </w:rPr>
        <w:t>(1) 本报告重点回答以下问题：</w:t>
      </w:r>
    </w:p>
    <w:p w14:paraId="5EBA714B">
      <w:pPr>
        <w:numPr>
          <w:ilvl w:val="0"/>
          <w:numId w:val="3"/>
        </w:numPr>
        <w:spacing w:before="105" w:after="105" w:line="360" w:lineRule="auto"/>
      </w:pPr>
      <w:r>
        <w:rPr>
          <w:rFonts w:ascii="inter" w:hAnsi="inter" w:eastAsia="inter" w:cs="inter"/>
          <w:color w:val="000000"/>
          <w:sz w:val="21"/>
        </w:rPr>
        <w:t>单件小批离散制造在技术、经济与管理三个层面上实现自动化的关键难点是什么。</w:t>
      </w:r>
    </w:p>
    <w:p w14:paraId="4E34B4DA">
      <w:pPr>
        <w:numPr>
          <w:ilvl w:val="0"/>
          <w:numId w:val="3"/>
        </w:numPr>
        <w:spacing w:before="105" w:after="105" w:line="360" w:lineRule="auto"/>
      </w:pPr>
      <w:r>
        <w:rPr>
          <w:rFonts w:ascii="inter" w:hAnsi="inter" w:eastAsia="inter" w:cs="inter"/>
          <w:color w:val="000000"/>
          <w:sz w:val="21"/>
        </w:rPr>
        <w:t>对比传统自动化与柔性自动化，在该类场景下的适用性有何系统性差异（如表1所示）。</w:t>
      </w:r>
    </w:p>
    <w:p w14:paraId="05ADA3FF">
      <w:pPr>
        <w:numPr>
          <w:ilvl w:val="0"/>
          <w:numId w:val="3"/>
        </w:numPr>
        <w:spacing w:before="105" w:after="105" w:line="360" w:lineRule="auto"/>
      </w:pPr>
      <w:r>
        <w:rPr>
          <w:rFonts w:ascii="inter" w:hAnsi="inter" w:eastAsia="inter" w:cs="inter"/>
          <w:color w:val="000000"/>
          <w:sz w:val="21"/>
        </w:rPr>
        <w:t>在中国制造业转型升级背景下，有哪些具有代表性的实施路径与战略选择，如何在某种程度上对接“中国制造2025”“工业4.0”与联合国SDGs目标9。</w:t>
      </w:r>
    </w:p>
    <w:p w14:paraId="08EE53C8">
      <w:pPr>
        <w:spacing w:after="210" w:line="360" w:lineRule="auto"/>
      </w:pPr>
      <w:r>
        <w:rPr>
          <w:rFonts w:ascii="inter" w:hAnsi="inter" w:eastAsia="inter" w:cs="inter"/>
          <w:color w:val="000000"/>
        </w:rPr>
        <w:t>(2) 研究范围界定</w:t>
      </w:r>
      <w:r>
        <w:rPr>
          <w:rFonts w:ascii="inter" w:hAnsi="inter" w:eastAsia="inter" w:cs="inter"/>
          <w:color w:val="000000"/>
        </w:rPr>
        <w:br w:type="textWrapping"/>
      </w:r>
      <w:r>
        <w:rPr>
          <w:rFonts w:ascii="inter" w:hAnsi="inter" w:eastAsia="inter" w:cs="inter"/>
          <w:color w:val="000000"/>
        </w:rPr>
        <w:t>① 行业范围：以装备制造、机械加工、定制化零部件与复杂工装制造为主，适度参考汽车、高端电子装配中的柔性单元实践。</w:t>
      </w:r>
      <w:r>
        <w:rPr>
          <w:rFonts w:ascii="inter" w:hAnsi="inter" w:eastAsia="inter" w:cs="inter"/>
          <w:color w:val="000000"/>
        </w:rPr>
        <w:br w:type="textWrapping"/>
      </w:r>
      <w:r>
        <w:rPr>
          <w:rFonts w:ascii="inter" w:hAnsi="inter" w:eastAsia="inter" w:cs="inter"/>
          <w:color w:val="000000"/>
        </w:rPr>
        <w:t>② 技术范围：聚焦生产现场层的自动化与信息化技术，包括机器人柔性单元、CPS（信息物理系统）、多模态感知融合、数字主线、数字孪生、MES/APS、边缘计算等。</w:t>
      </w:r>
    </w:p>
    <w:p w14:paraId="0EFCDF66">
      <w:pPr>
        <w:spacing w:before="210" w:after="0" w:line="360" w:lineRule="auto"/>
      </w:pPr>
      <w:r>
        <w:pict>
          <v:rect id="_x0000_s1028" o:spid="_x0000_s1028" o:spt="1" style="height:0.05pt;width:475.5pt;" coordsize="21600,21600">
            <v:path/>
            <v:fill focussize="0,0"/>
            <v:stroke weight="1pt" color="#000000" opacity="0f"/>
            <v:imagedata o:title=""/>
            <o:lock v:ext="edit"/>
            <w10:wrap type="none"/>
            <w10:anchorlock/>
          </v:rect>
        </w:pict>
      </w:r>
    </w:p>
    <w:p w14:paraId="300E6854">
      <w:pPr>
        <w:spacing w:before="315" w:after="105" w:line="360" w:lineRule="auto"/>
        <w:ind w:left="-30"/>
        <w:jc w:val="left"/>
      </w:pPr>
      <w:bookmarkStart w:id="9" w:name="二_关键术语与概念框架"/>
      <w:r>
        <w:rPr>
          <w:rFonts w:ascii="inter" w:hAnsi="inter" w:eastAsia="inter" w:cs="inter"/>
          <w:b/>
          <w:color w:val="000000"/>
          <w:sz w:val="24"/>
        </w:rPr>
        <w:t>二、关键术语与概念框架</w:t>
      </w:r>
      <w:bookmarkEnd w:id="9"/>
    </w:p>
    <w:p w14:paraId="1463CDA1">
      <w:pPr>
        <w:spacing w:before="315" w:after="105" w:line="360" w:lineRule="auto"/>
        <w:ind w:left="-30"/>
        <w:jc w:val="left"/>
      </w:pPr>
      <w:bookmarkStart w:id="10" w:name="一_核心术语定义"/>
      <w:r>
        <w:rPr>
          <w:rFonts w:ascii="inter" w:hAnsi="inter" w:eastAsia="inter" w:cs="inter"/>
          <w:b/>
          <w:color w:val="000000"/>
          <w:sz w:val="24"/>
        </w:rPr>
        <w:t>(一) 核心术语定义</w:t>
      </w:r>
      <w:bookmarkEnd w:id="10"/>
    </w:p>
    <w:p w14:paraId="4EF91032">
      <w:pPr>
        <w:numPr>
          <w:ilvl w:val="0"/>
          <w:numId w:val="4"/>
        </w:numPr>
        <w:spacing w:before="105" w:after="105" w:line="360" w:lineRule="auto"/>
      </w:pPr>
      <w:r>
        <w:rPr>
          <w:rFonts w:ascii="inter" w:hAnsi="inter" w:eastAsia="inter" w:cs="inter"/>
          <w:color w:val="000000"/>
          <w:sz w:val="21"/>
        </w:rPr>
        <w:t>多模态感知融合</w:t>
      </w:r>
    </w:p>
    <w:p w14:paraId="09DB286A">
      <w:pPr>
        <w:spacing w:after="210" w:line="360" w:lineRule="auto"/>
      </w:pPr>
      <w:r>
        <w:rPr>
          <w:rFonts w:ascii="inter" w:hAnsi="inter" w:eastAsia="inter" w:cs="inter"/>
          <w:color w:val="000000"/>
        </w:rPr>
        <w:t>(1) 定义</w:t>
      </w:r>
      <w:r>
        <w:rPr>
          <w:rFonts w:ascii="inter" w:hAnsi="inter" w:eastAsia="inter" w:cs="inter"/>
          <w:color w:val="000000"/>
        </w:rPr>
        <w:br w:type="textWrapping"/>
      </w:r>
      <w:r>
        <w:rPr>
          <w:rFonts w:ascii="inter" w:hAnsi="inter" w:eastAsia="inter" w:cs="inter"/>
          <w:color w:val="000000"/>
        </w:rPr>
        <w:t xml:space="preserve">① </w:t>
      </w:r>
      <w:r>
        <w:rPr>
          <w:rFonts w:ascii="inter" w:hAnsi="inter" w:eastAsia="inter" w:cs="inter"/>
          <w:b/>
          <w:color w:val="000000"/>
        </w:rPr>
        <w:t>多模态感知融合</w:t>
      </w:r>
      <w:r>
        <w:rPr>
          <w:rFonts w:ascii="inter" w:hAnsi="inter" w:eastAsia="inter" w:cs="inter"/>
          <w:color w:val="000000"/>
        </w:rPr>
        <w:t>通常而言是指在生产现场综合利用视觉、力觉、位置、RFID/条码、环境传感等多种感知手段，通过传感器数据融合算法形成更加鲁棒的环境感知与状态识别能力，用于支撑柔性装配、在线质量检测与自适应控制。</w:t>
      </w:r>
      <w:r>
        <w:rPr>
          <w:rFonts w:ascii="inter" w:hAnsi="inter" w:eastAsia="inter" w:cs="inter"/>
          <w:color w:val="000000"/>
        </w:rPr>
        <w:br w:type="textWrapping"/>
      </w:r>
      <w:r>
        <w:rPr>
          <w:rFonts w:ascii="inter" w:hAnsi="inter" w:eastAsia="inter" w:cs="inter"/>
          <w:color w:val="000000"/>
        </w:rPr>
        <w:t>② 该概念与工业4.0框架中“横向与纵向互联”的数据采集层高度相关，是构建自适应单元级自动化的基础。</w:t>
      </w:r>
    </w:p>
    <w:p w14:paraId="39B30E81">
      <w:pPr>
        <w:numPr>
          <w:ilvl w:val="0"/>
          <w:numId w:val="5"/>
        </w:numPr>
        <w:spacing w:before="105" w:after="105" w:line="360" w:lineRule="auto"/>
      </w:pPr>
      <w:r>
        <w:rPr>
          <w:rFonts w:ascii="inter" w:hAnsi="inter" w:eastAsia="inter" w:cs="inter"/>
          <w:color w:val="000000"/>
          <w:sz w:val="21"/>
        </w:rPr>
        <w:t>数字主线</w:t>
      </w:r>
    </w:p>
    <w:p w14:paraId="3D6712EB">
      <w:pPr>
        <w:spacing w:after="210" w:line="360" w:lineRule="auto"/>
      </w:pPr>
      <w:r>
        <w:rPr>
          <w:rFonts w:ascii="inter" w:hAnsi="inter" w:eastAsia="inter" w:cs="inter"/>
          <w:color w:val="000000"/>
        </w:rPr>
        <w:t>(1) 定义</w:t>
      </w:r>
      <w:r>
        <w:rPr>
          <w:rFonts w:ascii="inter" w:hAnsi="inter" w:eastAsia="inter" w:cs="inter"/>
          <w:color w:val="000000"/>
        </w:rPr>
        <w:br w:type="textWrapping"/>
      </w:r>
      <w:r>
        <w:rPr>
          <w:rFonts w:ascii="inter" w:hAnsi="inter" w:eastAsia="inter" w:cs="inter"/>
          <w:color w:val="000000"/>
        </w:rPr>
        <w:t xml:space="preserve">① </w:t>
      </w:r>
      <w:r>
        <w:rPr>
          <w:rFonts w:ascii="inter" w:hAnsi="inter" w:eastAsia="inter" w:cs="inter"/>
          <w:b/>
          <w:color w:val="000000"/>
        </w:rPr>
        <w:t>数字主线</w:t>
      </w:r>
      <w:r>
        <w:rPr>
          <w:rFonts w:ascii="inter" w:hAnsi="inter" w:eastAsia="inter" w:cs="inter"/>
          <w:color w:val="000000"/>
        </w:rPr>
        <w:t>是指贯穿产品全生命周期（研发、工艺、制造、服务）的统一数据链路与语义模型，通常通过PLM、工艺规划系统与MES等系统串联，实现从设计BOM到工艺BOP再到制造BOM的关联。</w:t>
      </w:r>
      <w:r>
        <w:rPr>
          <w:rFonts w:ascii="inter" w:hAnsi="inter" w:eastAsia="inter" w:cs="inter"/>
          <w:color w:val="000000"/>
        </w:rPr>
        <w:br w:type="textWrapping"/>
      </w:r>
      <w:r>
        <w:rPr>
          <w:rFonts w:ascii="inter" w:hAnsi="inter" w:eastAsia="inter" w:cs="inter"/>
          <w:color w:val="000000"/>
        </w:rPr>
        <w:t>② 德国工业4.0相关文件与Fraunhofer研究多次强调，数字主线是智慧工厂中打通工程链与价值链的关键机制之一。</w:t>
      </w:r>
      <w:r>
        <w:rPr>
          <w:rFonts w:ascii="inter" w:hAnsi="inter" w:eastAsia="inter" w:cs="inter"/>
          <w:i/>
          <w:color w:val="000000"/>
        </w:rPr>
        <w:t>[参考 Fraunhofer 与工业4.0相关出版物]</w:t>
      </w:r>
      <w:bookmarkStart w:id="11" w:name="fnref6"/>
      <w:bookmarkEnd w:id="11"/>
      <w:r>
        <w:fldChar w:fldCharType="begin"/>
      </w:r>
      <w:r>
        <w:instrText xml:space="preserve"> HYPERLINK \l "fn6" \h </w:instrText>
      </w:r>
      <w:r>
        <w:fldChar w:fldCharType="separate"/>
      </w:r>
      <w:r>
        <w:rPr>
          <w:rFonts w:ascii="inter" w:hAnsi="inter" w:eastAsia="inter" w:cs="inter"/>
          <w:color w:val="000000"/>
          <w:u w:val="single"/>
          <w:vertAlign w:val="superscript"/>
        </w:rPr>
        <w:t>[6]</w:t>
      </w:r>
      <w:r>
        <w:rPr>
          <w:rFonts w:ascii="inter" w:hAnsi="inter" w:eastAsia="inter" w:cs="inter"/>
          <w:color w:val="000000"/>
          <w:u w:val="single"/>
          <w:vertAlign w:val="superscript"/>
        </w:rPr>
        <w:fldChar w:fldCharType="end"/>
      </w:r>
      <w:bookmarkStart w:id="12" w:name="fnref7"/>
      <w:bookmarkEnd w:id="12"/>
      <w:r>
        <w:fldChar w:fldCharType="begin"/>
      </w:r>
      <w:r>
        <w:instrText xml:space="preserve"> HYPERLINK \l "fn7" \h </w:instrText>
      </w:r>
      <w:r>
        <w:fldChar w:fldCharType="separate"/>
      </w:r>
      <w:r>
        <w:rPr>
          <w:rFonts w:ascii="inter" w:hAnsi="inter" w:eastAsia="inter" w:cs="inter"/>
          <w:color w:val="000000"/>
          <w:u w:val="single"/>
          <w:vertAlign w:val="superscript"/>
        </w:rPr>
        <w:t>[7]</w:t>
      </w:r>
      <w:r>
        <w:rPr>
          <w:rFonts w:ascii="inter" w:hAnsi="inter" w:eastAsia="inter" w:cs="inter"/>
          <w:color w:val="000000"/>
          <w:u w:val="single"/>
          <w:vertAlign w:val="superscript"/>
        </w:rPr>
        <w:fldChar w:fldCharType="end"/>
      </w:r>
    </w:p>
    <w:p w14:paraId="74180457">
      <w:pPr>
        <w:numPr>
          <w:ilvl w:val="0"/>
          <w:numId w:val="6"/>
        </w:numPr>
        <w:spacing w:before="105" w:after="105" w:line="360" w:lineRule="auto"/>
      </w:pPr>
      <w:r>
        <w:rPr>
          <w:rFonts w:ascii="inter" w:hAnsi="inter" w:eastAsia="inter" w:cs="inter"/>
          <w:color w:val="000000"/>
          <w:sz w:val="21"/>
        </w:rPr>
        <w:t>自适应迭代控制</w:t>
      </w:r>
    </w:p>
    <w:p w14:paraId="742A1169">
      <w:pPr>
        <w:spacing w:after="210" w:line="360" w:lineRule="auto"/>
      </w:pPr>
      <w:r>
        <w:rPr>
          <w:rFonts w:ascii="inter" w:hAnsi="inter" w:eastAsia="inter" w:cs="inter"/>
          <w:color w:val="000000"/>
        </w:rPr>
        <w:t>(1) 定义</w:t>
      </w:r>
      <w:r>
        <w:rPr>
          <w:rFonts w:ascii="inter" w:hAnsi="inter" w:eastAsia="inter" w:cs="inter"/>
          <w:color w:val="000000"/>
        </w:rPr>
        <w:br w:type="textWrapping"/>
      </w:r>
      <w:r>
        <w:rPr>
          <w:rFonts w:ascii="inter" w:hAnsi="inter" w:eastAsia="inter" w:cs="inter"/>
          <w:color w:val="000000"/>
        </w:rPr>
        <w:t xml:space="preserve">① </w:t>
      </w:r>
      <w:r>
        <w:rPr>
          <w:rFonts w:ascii="inter" w:hAnsi="inter" w:eastAsia="inter" w:cs="inter"/>
          <w:b/>
          <w:color w:val="000000"/>
        </w:rPr>
        <w:t>自适应迭代控制</w:t>
      </w:r>
      <w:r>
        <w:rPr>
          <w:rFonts w:ascii="inter" w:hAnsi="inter" w:eastAsia="inter" w:cs="inter"/>
          <w:color w:val="000000"/>
        </w:rPr>
        <w:t>在制造现场通常是指基于历史执行数据和在线反馈信息，持续调整运动轨迹、工艺参数与任务分配策略的控制方法，以适应单件差异与工序扰动。</w:t>
      </w:r>
      <w:r>
        <w:rPr>
          <w:rFonts w:ascii="inter" w:hAnsi="inter" w:eastAsia="inter" w:cs="inter"/>
          <w:color w:val="000000"/>
        </w:rPr>
        <w:br w:type="textWrapping"/>
      </w:r>
      <w:r>
        <w:rPr>
          <w:rFonts w:ascii="inter" w:hAnsi="inter" w:eastAsia="inter" w:cs="inter"/>
          <w:color w:val="000000"/>
        </w:rPr>
        <w:t>② 该方法可与强化学习、模型预测控制（MPC）相结合，用于在某种程度上实现“边生产、边学习”的柔性自动化单元。</w:t>
      </w:r>
    </w:p>
    <w:p w14:paraId="0EE4ABAB">
      <w:pPr>
        <w:numPr>
          <w:ilvl w:val="0"/>
          <w:numId w:val="7"/>
        </w:numPr>
        <w:spacing w:before="105" w:after="105" w:line="360" w:lineRule="auto"/>
      </w:pPr>
      <w:r>
        <w:rPr>
          <w:rFonts w:ascii="inter" w:hAnsi="inter" w:eastAsia="inter" w:cs="inter"/>
          <w:color w:val="000000"/>
          <w:sz w:val="21"/>
        </w:rPr>
        <w:t>异构系统集成</w:t>
      </w:r>
    </w:p>
    <w:p w14:paraId="492651F4">
      <w:pPr>
        <w:spacing w:after="210" w:line="360" w:lineRule="auto"/>
      </w:pPr>
      <w:r>
        <w:rPr>
          <w:rFonts w:ascii="inter" w:hAnsi="inter" w:eastAsia="inter" w:cs="inter"/>
          <w:color w:val="000000"/>
        </w:rPr>
        <w:t>(1) 定义</w:t>
      </w:r>
      <w:r>
        <w:rPr>
          <w:rFonts w:ascii="inter" w:hAnsi="inter" w:eastAsia="inter" w:cs="inter"/>
          <w:color w:val="000000"/>
        </w:rPr>
        <w:br w:type="textWrapping"/>
      </w:r>
      <w:r>
        <w:rPr>
          <w:rFonts w:ascii="inter" w:hAnsi="inter" w:eastAsia="inter" w:cs="inter"/>
          <w:color w:val="000000"/>
        </w:rPr>
        <w:t xml:space="preserve">① </w:t>
      </w:r>
      <w:r>
        <w:rPr>
          <w:rFonts w:ascii="inter" w:hAnsi="inter" w:eastAsia="inter" w:cs="inter"/>
          <w:b/>
          <w:color w:val="000000"/>
        </w:rPr>
        <w:t>异构系统集成</w:t>
      </w:r>
      <w:r>
        <w:rPr>
          <w:rFonts w:ascii="inter" w:hAnsi="inter" w:eastAsia="inter" w:cs="inter"/>
          <w:color w:val="000000"/>
        </w:rPr>
        <w:t>是指在企业内部对不同品牌、不同代际、不同通信协议和不同软硬件架构的设备、控制系统和信息系统进行互联互通与协同编排。</w:t>
      </w:r>
      <w:r>
        <w:rPr>
          <w:rFonts w:ascii="inter" w:hAnsi="inter" w:eastAsia="inter" w:cs="inter"/>
          <w:color w:val="000000"/>
        </w:rPr>
        <w:br w:type="textWrapping"/>
      </w:r>
      <w:r>
        <w:rPr>
          <w:rFonts w:ascii="inter" w:hAnsi="inter" w:eastAsia="inter" w:cs="inter"/>
          <w:color w:val="000000"/>
        </w:rPr>
        <w:t>② IEEE/ISO/IEC关于复杂系统工程的标准指出，面向复杂系统集成需要采用模块化架构、生命周期过程统一和多视图建模等方法，以降低系统演化过程中的耦合度。</w:t>
      </w:r>
      <w:bookmarkStart w:id="13" w:name="fnref5_1"/>
      <w:bookmarkEnd w:id="13"/>
      <w:r>
        <w:fldChar w:fldCharType="begin"/>
      </w:r>
      <w:r>
        <w:instrText xml:space="preserve"> HYPERLINK \l "fn5" \h </w:instrText>
      </w:r>
      <w:r>
        <w:fldChar w:fldCharType="separate"/>
      </w:r>
      <w:r>
        <w:rPr>
          <w:rFonts w:ascii="inter" w:hAnsi="inter" w:eastAsia="inter" w:cs="inter"/>
          <w:color w:val="000000"/>
          <w:u w:val="single"/>
          <w:vertAlign w:val="superscript"/>
        </w:rPr>
        <w:t>[5]</w:t>
      </w:r>
      <w:r>
        <w:rPr>
          <w:rFonts w:ascii="inter" w:hAnsi="inter" w:eastAsia="inter" w:cs="inter"/>
          <w:color w:val="000000"/>
          <w:u w:val="single"/>
          <w:vertAlign w:val="superscript"/>
        </w:rPr>
        <w:fldChar w:fldCharType="end"/>
      </w:r>
    </w:p>
    <w:p w14:paraId="0A2D583F">
      <w:pPr>
        <w:numPr>
          <w:ilvl w:val="0"/>
          <w:numId w:val="8"/>
        </w:numPr>
        <w:spacing w:before="105" w:after="105" w:line="360" w:lineRule="auto"/>
      </w:pPr>
      <w:r>
        <w:rPr>
          <w:rFonts w:ascii="inter" w:hAnsi="inter" w:eastAsia="inter" w:cs="inter"/>
          <w:color w:val="000000"/>
          <w:sz w:val="21"/>
        </w:rPr>
        <w:t>数字孪生</w:t>
      </w:r>
    </w:p>
    <w:p w14:paraId="3EE8C083">
      <w:pPr>
        <w:spacing w:after="210" w:line="360" w:lineRule="auto"/>
      </w:pPr>
      <w:r>
        <w:rPr>
          <w:rFonts w:ascii="inter" w:hAnsi="inter" w:eastAsia="inter" w:cs="inter"/>
          <w:color w:val="000000"/>
        </w:rPr>
        <w:t>(1) 定义</w:t>
      </w:r>
      <w:r>
        <w:rPr>
          <w:rFonts w:ascii="inter" w:hAnsi="inter" w:eastAsia="inter" w:cs="inter"/>
          <w:color w:val="000000"/>
        </w:rPr>
        <w:br w:type="textWrapping"/>
      </w:r>
      <w:r>
        <w:rPr>
          <w:rFonts w:ascii="inter" w:hAnsi="inter" w:eastAsia="inter" w:cs="inter"/>
          <w:color w:val="000000"/>
        </w:rPr>
        <w:t xml:space="preserve">① </w:t>
      </w:r>
      <w:r>
        <w:rPr>
          <w:rFonts w:ascii="inter" w:hAnsi="inter" w:eastAsia="inter" w:cs="inter"/>
          <w:b/>
          <w:color w:val="000000"/>
        </w:rPr>
        <w:t>数字孪生</w:t>
      </w:r>
      <w:r>
        <w:rPr>
          <w:rFonts w:ascii="inter" w:hAnsi="inter" w:eastAsia="inter" w:cs="inter"/>
          <w:color w:val="000000"/>
        </w:rPr>
        <w:t>通常而言是指在虚拟空间构建与物理生产单元一一映射的高保真模型，通过实时数据驱动，实现对设备状态、工艺流程和资源配置的仿真、监测与优化。</w:t>
      </w:r>
      <w:r>
        <w:rPr>
          <w:rFonts w:ascii="inter" w:hAnsi="inter" w:eastAsia="inter" w:cs="inter"/>
          <w:color w:val="000000"/>
        </w:rPr>
        <w:br w:type="textWrapping"/>
      </w:r>
      <w:r>
        <w:rPr>
          <w:rFonts w:ascii="inter" w:hAnsi="inter" w:eastAsia="inter" w:cs="inter"/>
          <w:color w:val="000000"/>
        </w:rPr>
        <w:t>② 联合国及多方机构在SDG 9的背景下强调先进数字技术（包括数字孪生）对提高工业系统韧性和资源效率的重要作用。</w:t>
      </w:r>
      <w:bookmarkStart w:id="14" w:name="fnref2_1"/>
      <w:bookmarkEnd w:id="14"/>
      <w:r>
        <w:fldChar w:fldCharType="begin"/>
      </w:r>
      <w:r>
        <w:instrText xml:space="preserve"> HYPERLINK \l "fn2" \h </w:instrText>
      </w:r>
      <w:r>
        <w:fldChar w:fldCharType="separate"/>
      </w:r>
      <w:r>
        <w:rPr>
          <w:rFonts w:ascii="inter" w:hAnsi="inter" w:eastAsia="inter" w:cs="inter"/>
          <w:color w:val="000000"/>
          <w:u w:val="single"/>
          <w:vertAlign w:val="superscript"/>
        </w:rPr>
        <w:t>[2]</w:t>
      </w:r>
      <w:r>
        <w:rPr>
          <w:rFonts w:ascii="inter" w:hAnsi="inter" w:eastAsia="inter" w:cs="inter"/>
          <w:color w:val="000000"/>
          <w:u w:val="single"/>
          <w:vertAlign w:val="superscript"/>
        </w:rPr>
        <w:fldChar w:fldCharType="end"/>
      </w:r>
      <w:bookmarkStart w:id="15" w:name="fnref1_1"/>
      <w:bookmarkEnd w:id="15"/>
      <w:r>
        <w:fldChar w:fldCharType="begin"/>
      </w:r>
      <w:r>
        <w:instrText xml:space="preserve"> HYPERLINK \l "fn1" \h </w:instrText>
      </w:r>
      <w:r>
        <w:fldChar w:fldCharType="separate"/>
      </w:r>
      <w:r>
        <w:rPr>
          <w:rFonts w:ascii="inter" w:hAnsi="inter" w:eastAsia="inter" w:cs="inter"/>
          <w:color w:val="000000"/>
          <w:u w:val="single"/>
          <w:vertAlign w:val="superscript"/>
        </w:rPr>
        <w:t>[1]</w:t>
      </w:r>
      <w:r>
        <w:rPr>
          <w:rFonts w:ascii="inter" w:hAnsi="inter" w:eastAsia="inter" w:cs="inter"/>
          <w:color w:val="000000"/>
          <w:u w:val="single"/>
          <w:vertAlign w:val="superscript"/>
        </w:rPr>
        <w:fldChar w:fldCharType="end"/>
      </w:r>
    </w:p>
    <w:p w14:paraId="1AC9DA22">
      <w:pPr>
        <w:numPr>
          <w:ilvl w:val="0"/>
          <w:numId w:val="9"/>
        </w:numPr>
        <w:spacing w:before="105" w:after="105" w:line="360" w:lineRule="auto"/>
      </w:pPr>
      <w:r>
        <w:rPr>
          <w:rFonts w:ascii="inter" w:hAnsi="inter" w:eastAsia="inter" w:cs="inter"/>
          <w:color w:val="000000"/>
          <w:sz w:val="21"/>
        </w:rPr>
        <w:t>智慧工厂</w:t>
      </w:r>
    </w:p>
    <w:p w14:paraId="0EE007DE">
      <w:pPr>
        <w:spacing w:after="210" w:line="360" w:lineRule="auto"/>
      </w:pPr>
      <w:r>
        <w:rPr>
          <w:rFonts w:ascii="inter" w:hAnsi="inter" w:eastAsia="inter" w:cs="inter"/>
          <w:color w:val="000000"/>
        </w:rPr>
        <w:t>(1) 定义</w:t>
      </w:r>
      <w:r>
        <w:rPr>
          <w:rFonts w:ascii="inter" w:hAnsi="inter" w:eastAsia="inter" w:cs="inter"/>
          <w:color w:val="000000"/>
        </w:rPr>
        <w:br w:type="textWrapping"/>
      </w:r>
      <w:r>
        <w:rPr>
          <w:rFonts w:ascii="inter" w:hAnsi="inter" w:eastAsia="inter" w:cs="inter"/>
          <w:color w:val="000000"/>
        </w:rPr>
        <w:t xml:space="preserve">① </w:t>
      </w:r>
      <w:r>
        <w:rPr>
          <w:rFonts w:ascii="inter" w:hAnsi="inter" w:eastAsia="inter" w:cs="inter"/>
          <w:b/>
          <w:color w:val="000000"/>
        </w:rPr>
        <w:t>智慧工厂</w:t>
      </w:r>
      <w:r>
        <w:rPr>
          <w:rFonts w:ascii="inter" w:hAnsi="inter" w:eastAsia="inter" w:cs="inter"/>
          <w:color w:val="000000"/>
        </w:rPr>
        <w:t>是在工业4.0框架下提出的目标工厂形态，通常包含高度互联的生产资源、端到端数字主线、云边协同数据平台和自优化的生产控制系统。</w:t>
      </w:r>
      <w:r>
        <w:rPr>
          <w:rFonts w:ascii="inter" w:hAnsi="inter" w:eastAsia="inter" w:cs="inter"/>
          <w:color w:val="000000"/>
        </w:rPr>
        <w:br w:type="textWrapping"/>
      </w:r>
      <w:r>
        <w:rPr>
          <w:rFonts w:ascii="inter" w:hAnsi="inter" w:eastAsia="inter" w:cs="inter"/>
          <w:color w:val="000000"/>
        </w:rPr>
        <w:t>② Fraunhofer等研究机构在一系列试验台架（如Smart Factory Web）中验证了自组织生产、柔性产能市场等智慧工厂关键概念。</w:t>
      </w:r>
      <w:bookmarkStart w:id="16" w:name="fnref7_1"/>
      <w:bookmarkEnd w:id="16"/>
      <w:r>
        <w:fldChar w:fldCharType="begin"/>
      </w:r>
      <w:r>
        <w:instrText xml:space="preserve"> HYPERLINK \l "fn7" \h </w:instrText>
      </w:r>
      <w:r>
        <w:fldChar w:fldCharType="separate"/>
      </w:r>
      <w:r>
        <w:rPr>
          <w:rFonts w:ascii="inter" w:hAnsi="inter" w:eastAsia="inter" w:cs="inter"/>
          <w:color w:val="000000"/>
          <w:u w:val="single"/>
          <w:vertAlign w:val="superscript"/>
        </w:rPr>
        <w:t>[7]</w:t>
      </w:r>
      <w:r>
        <w:rPr>
          <w:rFonts w:ascii="inter" w:hAnsi="inter" w:eastAsia="inter" w:cs="inter"/>
          <w:color w:val="000000"/>
          <w:u w:val="single"/>
          <w:vertAlign w:val="superscript"/>
        </w:rPr>
        <w:fldChar w:fldCharType="end"/>
      </w:r>
      <w:bookmarkStart w:id="17" w:name="fnref8"/>
      <w:bookmarkEnd w:id="17"/>
      <w:r>
        <w:fldChar w:fldCharType="begin"/>
      </w:r>
      <w:r>
        <w:instrText xml:space="preserve"> HYPERLINK \l "fn8" \h </w:instrText>
      </w:r>
      <w:r>
        <w:fldChar w:fldCharType="separate"/>
      </w:r>
      <w:r>
        <w:rPr>
          <w:rFonts w:ascii="inter" w:hAnsi="inter" w:eastAsia="inter" w:cs="inter"/>
          <w:color w:val="000000"/>
          <w:u w:val="single"/>
          <w:vertAlign w:val="superscript"/>
        </w:rPr>
        <w:t>[8]</w:t>
      </w:r>
      <w:r>
        <w:rPr>
          <w:rFonts w:ascii="inter" w:hAnsi="inter" w:eastAsia="inter" w:cs="inter"/>
          <w:color w:val="000000"/>
          <w:u w:val="single"/>
          <w:vertAlign w:val="superscript"/>
        </w:rPr>
        <w:fldChar w:fldCharType="end"/>
      </w:r>
    </w:p>
    <w:p w14:paraId="63C5733B">
      <w:pPr>
        <w:numPr>
          <w:ilvl w:val="0"/>
          <w:numId w:val="10"/>
        </w:numPr>
        <w:spacing w:before="105" w:after="105" w:line="360" w:lineRule="auto"/>
      </w:pPr>
      <w:r>
        <w:rPr>
          <w:rFonts w:ascii="inter" w:hAnsi="inter" w:eastAsia="inter" w:cs="inter"/>
          <w:color w:val="000000"/>
          <w:sz w:val="21"/>
        </w:rPr>
        <w:t>可重构制造系统（RMS）</w:t>
      </w:r>
    </w:p>
    <w:p w14:paraId="688C3138">
      <w:pPr>
        <w:spacing w:after="210" w:line="360" w:lineRule="auto"/>
      </w:pPr>
      <w:r>
        <w:rPr>
          <w:rFonts w:ascii="inter" w:hAnsi="inter" w:eastAsia="inter" w:cs="inter"/>
          <w:color w:val="000000"/>
        </w:rPr>
        <w:t>(1) 定义</w:t>
      </w:r>
      <w:r>
        <w:rPr>
          <w:rFonts w:ascii="inter" w:hAnsi="inter" w:eastAsia="inter" w:cs="inter"/>
          <w:color w:val="000000"/>
        </w:rPr>
        <w:br w:type="textWrapping"/>
      </w:r>
      <w:r>
        <w:rPr>
          <w:rFonts w:ascii="inter" w:hAnsi="inter" w:eastAsia="inter" w:cs="inter"/>
          <w:color w:val="000000"/>
        </w:rPr>
        <w:t xml:space="preserve">① </w:t>
      </w:r>
      <w:r>
        <w:rPr>
          <w:rFonts w:ascii="inter" w:hAnsi="inter" w:eastAsia="inter" w:cs="inter"/>
          <w:b/>
          <w:color w:val="000000"/>
        </w:rPr>
        <w:t>可重构制造系统</w:t>
      </w:r>
      <w:r>
        <w:rPr>
          <w:rFonts w:ascii="inter" w:hAnsi="inter" w:eastAsia="inter" w:cs="inter"/>
          <w:color w:val="000000"/>
        </w:rPr>
        <w:t>是面向市场需求变化而设计的模块化生产系统，其硬件和软件结构可以在某种程度上快速调整，以适应产品品种和产量的波动。</w:t>
      </w:r>
      <w:r>
        <w:rPr>
          <w:rFonts w:ascii="inter" w:hAnsi="inter" w:eastAsia="inter" w:cs="inter"/>
          <w:color w:val="000000"/>
        </w:rPr>
        <w:br w:type="textWrapping"/>
      </w:r>
      <w:r>
        <w:rPr>
          <w:rFonts w:ascii="inter" w:hAnsi="inter" w:eastAsia="inter" w:cs="inter"/>
          <w:color w:val="000000"/>
        </w:rPr>
        <w:t>② 典型特征包括模块化机床、可插拔工艺单元和可配置控制逻辑，适合单件小批等需求不稳定场景。</w:t>
      </w:r>
    </w:p>
    <w:p w14:paraId="523735B1">
      <w:pPr>
        <w:numPr>
          <w:ilvl w:val="0"/>
          <w:numId w:val="11"/>
        </w:numPr>
        <w:spacing w:before="105" w:after="105" w:line="360" w:lineRule="auto"/>
      </w:pPr>
      <w:r>
        <w:rPr>
          <w:rFonts w:ascii="inter" w:hAnsi="inter" w:eastAsia="inter" w:cs="inter"/>
          <w:color w:val="000000"/>
          <w:sz w:val="21"/>
        </w:rPr>
        <w:t>柔性自动化</w:t>
      </w:r>
    </w:p>
    <w:p w14:paraId="7C6899AA">
      <w:pPr>
        <w:spacing w:after="210" w:line="360" w:lineRule="auto"/>
      </w:pPr>
      <w:r>
        <w:rPr>
          <w:rFonts w:ascii="inter" w:hAnsi="inter" w:eastAsia="inter" w:cs="inter"/>
          <w:color w:val="000000"/>
        </w:rPr>
        <w:t>(1) 定义</w:t>
      </w:r>
      <w:r>
        <w:rPr>
          <w:rFonts w:ascii="inter" w:hAnsi="inter" w:eastAsia="inter" w:cs="inter"/>
          <w:color w:val="000000"/>
        </w:rPr>
        <w:br w:type="textWrapping"/>
      </w:r>
      <w:r>
        <w:rPr>
          <w:rFonts w:ascii="inter" w:hAnsi="inter" w:eastAsia="inter" w:cs="inter"/>
          <w:color w:val="000000"/>
        </w:rPr>
        <w:t xml:space="preserve">① </w:t>
      </w:r>
      <w:r>
        <w:rPr>
          <w:rFonts w:ascii="inter" w:hAnsi="inter" w:eastAsia="inter" w:cs="inter"/>
          <w:b/>
          <w:color w:val="000000"/>
        </w:rPr>
        <w:t>柔性自动化</w:t>
      </w:r>
      <w:r>
        <w:rPr>
          <w:rFonts w:ascii="inter" w:hAnsi="inter" w:eastAsia="inter" w:cs="inter"/>
          <w:color w:val="000000"/>
        </w:rPr>
        <w:t>通常指基于标准接口、可编程控制与智能感知技术，能够在有限人工干预下快速更换产品、工装与工艺的自动化形式，与传统刚性自动化形成对照。</w:t>
      </w:r>
      <w:r>
        <w:rPr>
          <w:rFonts w:ascii="inter" w:hAnsi="inter" w:eastAsia="inter" w:cs="inter"/>
          <w:color w:val="000000"/>
        </w:rPr>
        <w:br w:type="textWrapping"/>
      </w:r>
      <w:r>
        <w:rPr>
          <w:rFonts w:ascii="inter" w:hAnsi="inter" w:eastAsia="inter" w:cs="inter"/>
          <w:color w:val="000000"/>
        </w:rPr>
        <w:t>② 麦肯锡与多家咨询机构在智能制造实践研究中指出，柔性自动化是中等批量与定制化行业实现经济可行自动化的关键方向。</w:t>
      </w:r>
      <w:r>
        <w:rPr>
          <w:rFonts w:ascii="inter" w:hAnsi="inter" w:eastAsia="inter" w:cs="inter"/>
          <w:i/>
          <w:color w:val="000000"/>
        </w:rPr>
        <w:t>[参考麦肯锡关于“未来生产系统”研究]</w:t>
      </w:r>
    </w:p>
    <w:p w14:paraId="1F79E516">
      <w:pPr>
        <w:spacing w:before="210" w:after="0" w:line="360" w:lineRule="auto"/>
      </w:pPr>
      <w:r>
        <w:pict>
          <v:rect id="_x0000_s1029" o:spid="_x0000_s1029" o:spt="1" style="height:0.05pt;width:475.5pt;" coordsize="21600,21600">
            <v:path/>
            <v:fill focussize="0,0"/>
            <v:stroke weight="1pt" color="#000000" opacity="0f"/>
            <v:imagedata o:title=""/>
            <o:lock v:ext="edit"/>
            <w10:wrap type="none"/>
            <w10:anchorlock/>
          </v:rect>
        </w:pict>
      </w:r>
    </w:p>
    <w:p w14:paraId="44878109">
      <w:pPr>
        <w:spacing w:before="315" w:after="105" w:line="360" w:lineRule="auto"/>
        <w:ind w:left="-30"/>
        <w:jc w:val="left"/>
      </w:pPr>
      <w:bookmarkStart w:id="18" w:name="三_技术挑战分析"/>
      <w:r>
        <w:rPr>
          <w:rFonts w:ascii="inter" w:hAnsi="inter" w:eastAsia="inter" w:cs="inter"/>
          <w:b/>
          <w:color w:val="000000"/>
          <w:sz w:val="24"/>
        </w:rPr>
        <w:t>三、技术挑战分析</w:t>
      </w:r>
      <w:bookmarkEnd w:id="18"/>
    </w:p>
    <w:p w14:paraId="162E4918">
      <w:pPr>
        <w:spacing w:before="315" w:after="105" w:line="360" w:lineRule="auto"/>
        <w:ind w:left="-30"/>
        <w:jc w:val="left"/>
      </w:pPr>
      <w:bookmarkStart w:id="19" w:name="一_传统自动化_vs_柔性自动化理论比较_如表1所示"/>
      <w:r>
        <w:rPr>
          <w:rFonts w:ascii="inter" w:hAnsi="inter" w:eastAsia="inter" w:cs="inter"/>
          <w:b/>
          <w:color w:val="000000"/>
          <w:sz w:val="24"/>
        </w:rPr>
        <w:t>(一) 传统自动化 vs 柔性自动化理论比较（如表1所示）</w:t>
      </w:r>
      <w:bookmarkEnd w:id="19"/>
    </w:p>
    <w:p w14:paraId="393D5FB9">
      <w:pPr>
        <w:numPr>
          <w:ilvl w:val="0"/>
          <w:numId w:val="12"/>
        </w:numPr>
        <w:spacing w:before="105" w:after="105" w:line="360" w:lineRule="auto"/>
      </w:pPr>
      <w:r>
        <w:rPr>
          <w:rFonts w:ascii="inter" w:hAnsi="inter" w:eastAsia="inter" w:cs="inter"/>
          <w:color w:val="000000"/>
          <w:sz w:val="21"/>
        </w:rPr>
        <w:t>技术对比表（表1：传统自动化与柔性自动化在单件小批场景下的理论特征）</w:t>
      </w:r>
    </w:p>
    <w:p w14:paraId="52672646">
      <w:pPr>
        <w:spacing w:after="210" w:line="360" w:lineRule="auto"/>
        <w:ind w:left="630"/>
      </w:pPr>
      <w:r>
        <w:rPr>
          <w:rFonts w:ascii="inter" w:hAnsi="inter" w:eastAsia="inter" w:cs="inter"/>
          <w:color w:val="000000"/>
        </w:rPr>
        <w:t>表1 传统自动化与柔性自动化理论特征对比（基于某国际研究及行业访谈的综合判断）</w:t>
      </w:r>
    </w:p>
    <w:tbl>
      <w:tblPr>
        <w:tblStyle w:val="5"/>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1715"/>
        <w:gridCol w:w="3450"/>
        <w:gridCol w:w="4675"/>
      </w:tblGrid>
      <w:tr w14:paraId="1D30CE6F">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620511B5">
            <w:pPr>
              <w:spacing w:after="0" w:line="360" w:lineRule="auto"/>
            </w:pPr>
            <w:r>
              <w:rPr>
                <w:rFonts w:ascii="inter" w:hAnsi="inter" w:eastAsia="inter" w:cs="inter"/>
                <w:color w:val="000000"/>
                <w:sz w:val="17"/>
              </w:rPr>
              <w:t>维度</w:t>
            </w:r>
          </w:p>
        </w:tc>
        <w:tc>
          <w:tcPr>
            <w:tcBorders>
              <w:top w:val="single" w:color="000000" w:sz="0" w:space="0"/>
              <w:bottom w:val="single" w:color="000000" w:sz="0" w:space="0"/>
              <w:right w:val="single" w:color="000000" w:sz="0" w:space="0"/>
            </w:tcBorders>
          </w:tcPr>
          <w:p w14:paraId="3991471C">
            <w:pPr>
              <w:spacing w:after="0" w:line="360" w:lineRule="auto"/>
            </w:pPr>
            <w:r>
              <w:rPr>
                <w:rFonts w:ascii="inter" w:hAnsi="inter" w:eastAsia="inter" w:cs="inter"/>
                <w:color w:val="000000"/>
                <w:sz w:val="17"/>
              </w:rPr>
              <w:t>传统自动化（刚性自动线）</w:t>
            </w:r>
          </w:p>
        </w:tc>
        <w:tc>
          <w:tcPr>
            <w:tcBorders>
              <w:top w:val="single" w:color="000000" w:sz="0" w:space="0"/>
              <w:bottom w:val="single" w:color="000000" w:sz="0" w:space="0"/>
            </w:tcBorders>
          </w:tcPr>
          <w:p w14:paraId="76718824">
            <w:pPr>
              <w:spacing w:after="0" w:line="360" w:lineRule="auto"/>
            </w:pPr>
            <w:r>
              <w:rPr>
                <w:rFonts w:ascii="inter" w:hAnsi="inter" w:eastAsia="inter" w:cs="inter"/>
                <w:color w:val="000000"/>
                <w:sz w:val="17"/>
              </w:rPr>
              <w:t>柔性自动化（模块化+智能）</w:t>
            </w:r>
          </w:p>
        </w:tc>
      </w:tr>
      <w:tr w14:paraId="52F3A2F4">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21EC47AB">
            <w:pPr>
              <w:spacing w:after="0" w:line="360" w:lineRule="auto"/>
            </w:pPr>
            <w:r>
              <w:rPr>
                <w:rFonts w:ascii="inter" w:hAnsi="inter" w:eastAsia="inter" w:cs="inter"/>
                <w:color w:val="000000"/>
                <w:sz w:val="17"/>
              </w:rPr>
              <w:t>结构特征</w:t>
            </w:r>
          </w:p>
        </w:tc>
        <w:tc>
          <w:tcPr>
            <w:tcBorders>
              <w:top w:val="single" w:color="000000" w:sz="0" w:space="0"/>
              <w:bottom w:val="single" w:color="000000" w:sz="0" w:space="0"/>
              <w:right w:val="single" w:color="000000" w:sz="0" w:space="0"/>
            </w:tcBorders>
          </w:tcPr>
          <w:p w14:paraId="7EC4269A">
            <w:pPr>
              <w:spacing w:after="0" w:line="360" w:lineRule="auto"/>
            </w:pPr>
            <w:r>
              <w:rPr>
                <w:rFonts w:ascii="inter" w:hAnsi="inter" w:eastAsia="inter" w:cs="inter"/>
                <w:color w:val="000000"/>
                <w:sz w:val="17"/>
              </w:rPr>
              <w:t>单一产品或少数变型对应的固定工艺路线和布局</w:t>
            </w:r>
          </w:p>
        </w:tc>
        <w:tc>
          <w:tcPr>
            <w:tcBorders>
              <w:top w:val="single" w:color="000000" w:sz="0" w:space="0"/>
              <w:bottom w:val="single" w:color="000000" w:sz="0" w:space="0"/>
            </w:tcBorders>
          </w:tcPr>
          <w:p w14:paraId="4E4196AA">
            <w:pPr>
              <w:spacing w:after="0" w:line="360" w:lineRule="auto"/>
            </w:pPr>
            <w:r>
              <w:rPr>
                <w:rFonts w:ascii="inter" w:hAnsi="inter" w:eastAsia="inter" w:cs="inter"/>
                <w:color w:val="000000"/>
                <w:sz w:val="17"/>
              </w:rPr>
              <w:t>模块化工位、可重构布局与可插拔工艺单元</w:t>
            </w:r>
          </w:p>
        </w:tc>
      </w:tr>
      <w:tr w14:paraId="5C48666D">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7FF132B5">
            <w:pPr>
              <w:spacing w:after="0" w:line="360" w:lineRule="auto"/>
            </w:pPr>
            <w:r>
              <w:rPr>
                <w:rFonts w:ascii="inter" w:hAnsi="inter" w:eastAsia="inter" w:cs="inter"/>
                <w:color w:val="000000"/>
                <w:sz w:val="17"/>
              </w:rPr>
              <w:t>工艺切换能力</w:t>
            </w:r>
          </w:p>
        </w:tc>
        <w:tc>
          <w:tcPr>
            <w:tcBorders>
              <w:top w:val="single" w:color="000000" w:sz="0" w:space="0"/>
              <w:bottom w:val="single" w:color="000000" w:sz="0" w:space="0"/>
              <w:right w:val="single" w:color="000000" w:sz="0" w:space="0"/>
            </w:tcBorders>
          </w:tcPr>
          <w:p w14:paraId="51DB3806">
            <w:pPr>
              <w:spacing w:after="0" w:line="360" w:lineRule="auto"/>
            </w:pPr>
            <w:r>
              <w:rPr>
                <w:rFonts w:ascii="inter" w:hAnsi="inter" w:eastAsia="inter" w:cs="inter"/>
                <w:color w:val="000000"/>
                <w:sz w:val="17"/>
              </w:rPr>
              <w:t>工艺变更周期长，通常需停线改造</w:t>
            </w:r>
          </w:p>
        </w:tc>
        <w:tc>
          <w:tcPr>
            <w:tcBorders>
              <w:top w:val="single" w:color="000000" w:sz="0" w:space="0"/>
              <w:bottom w:val="single" w:color="000000" w:sz="0" w:space="0"/>
            </w:tcBorders>
          </w:tcPr>
          <w:p w14:paraId="2A7D7C3F">
            <w:pPr>
              <w:spacing w:after="0" w:line="360" w:lineRule="auto"/>
            </w:pPr>
            <w:r>
              <w:rPr>
                <w:rFonts w:ascii="inter" w:hAnsi="inter" w:eastAsia="inter" w:cs="inter"/>
                <w:color w:val="000000"/>
                <w:sz w:val="17"/>
              </w:rPr>
              <w:t>通过程序与工装快速切换，支持多品种并行或顺序生产</w:t>
            </w:r>
          </w:p>
        </w:tc>
      </w:tr>
      <w:tr w14:paraId="6A729EE3">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669B81B5">
            <w:pPr>
              <w:spacing w:after="0" w:line="360" w:lineRule="auto"/>
            </w:pPr>
            <w:r>
              <w:rPr>
                <w:rFonts w:ascii="inter" w:hAnsi="inter" w:eastAsia="inter" w:cs="inter"/>
                <w:color w:val="000000"/>
                <w:sz w:val="17"/>
              </w:rPr>
              <w:t>感知能力</w:t>
            </w:r>
          </w:p>
        </w:tc>
        <w:tc>
          <w:tcPr>
            <w:tcBorders>
              <w:top w:val="single" w:color="000000" w:sz="0" w:space="0"/>
              <w:bottom w:val="single" w:color="000000" w:sz="0" w:space="0"/>
              <w:right w:val="single" w:color="000000" w:sz="0" w:space="0"/>
            </w:tcBorders>
          </w:tcPr>
          <w:p w14:paraId="3A6C7FE0">
            <w:pPr>
              <w:spacing w:after="0" w:line="360" w:lineRule="auto"/>
            </w:pPr>
            <w:r>
              <w:rPr>
                <w:rFonts w:ascii="inter" w:hAnsi="inter" w:eastAsia="inter" w:cs="inter"/>
                <w:color w:val="000000"/>
                <w:sz w:val="17"/>
              </w:rPr>
              <w:t>以限位开关、简单传感为主，环境感知能力有限</w:t>
            </w:r>
          </w:p>
        </w:tc>
        <w:tc>
          <w:tcPr>
            <w:tcBorders>
              <w:top w:val="single" w:color="000000" w:sz="0" w:space="0"/>
              <w:bottom w:val="single" w:color="000000" w:sz="0" w:space="0"/>
            </w:tcBorders>
          </w:tcPr>
          <w:p w14:paraId="6F248F8C">
            <w:pPr>
              <w:spacing w:after="0" w:line="360" w:lineRule="auto"/>
            </w:pPr>
            <w:r>
              <w:rPr>
                <w:rFonts w:ascii="inter" w:hAnsi="inter" w:eastAsia="inter" w:cs="inter"/>
                <w:color w:val="000000"/>
                <w:sz w:val="17"/>
              </w:rPr>
              <w:t>多模态感知融合，支持复杂姿态识别与工件特征识别</w:t>
            </w:r>
          </w:p>
        </w:tc>
      </w:tr>
      <w:tr w14:paraId="5E3BCEE9">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18772575">
            <w:pPr>
              <w:spacing w:after="0" w:line="360" w:lineRule="auto"/>
            </w:pPr>
            <w:r>
              <w:rPr>
                <w:rFonts w:ascii="inter" w:hAnsi="inter" w:eastAsia="inter" w:cs="inter"/>
                <w:color w:val="000000"/>
                <w:sz w:val="17"/>
              </w:rPr>
              <w:t>控制策略</w:t>
            </w:r>
          </w:p>
        </w:tc>
        <w:tc>
          <w:tcPr>
            <w:tcBorders>
              <w:top w:val="single" w:color="000000" w:sz="0" w:space="0"/>
              <w:bottom w:val="single" w:color="000000" w:sz="0" w:space="0"/>
              <w:right w:val="single" w:color="000000" w:sz="0" w:space="0"/>
            </w:tcBorders>
          </w:tcPr>
          <w:p w14:paraId="5157485C">
            <w:pPr>
              <w:spacing w:after="0" w:line="360" w:lineRule="auto"/>
            </w:pPr>
            <w:r>
              <w:rPr>
                <w:rFonts w:ascii="inter" w:hAnsi="inter" w:eastAsia="inter" w:cs="inter"/>
                <w:color w:val="000000"/>
                <w:sz w:val="17"/>
              </w:rPr>
              <w:t>预置逻辑控制（PLC顺序逻辑）</w:t>
            </w:r>
          </w:p>
        </w:tc>
        <w:tc>
          <w:tcPr>
            <w:tcBorders>
              <w:top w:val="single" w:color="000000" w:sz="0" w:space="0"/>
              <w:bottom w:val="single" w:color="000000" w:sz="0" w:space="0"/>
            </w:tcBorders>
          </w:tcPr>
          <w:p w14:paraId="569BA718">
            <w:pPr>
              <w:spacing w:after="0" w:line="360" w:lineRule="auto"/>
            </w:pPr>
            <w:r>
              <w:rPr>
                <w:rFonts w:ascii="inter" w:hAnsi="inter" w:eastAsia="inter" w:cs="inter"/>
                <w:color w:val="000000"/>
                <w:sz w:val="17"/>
              </w:rPr>
              <w:t>自适应迭代控制与任务级调度，可动态调整节拍与路径</w:t>
            </w:r>
          </w:p>
        </w:tc>
      </w:tr>
      <w:tr w14:paraId="4C99E82C">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5CE2D7D3">
            <w:pPr>
              <w:spacing w:after="0" w:line="360" w:lineRule="auto"/>
            </w:pPr>
            <w:r>
              <w:rPr>
                <w:rFonts w:ascii="inter" w:hAnsi="inter" w:eastAsia="inter" w:cs="inter"/>
                <w:color w:val="000000"/>
                <w:sz w:val="17"/>
              </w:rPr>
              <w:t>系统集成方式</w:t>
            </w:r>
          </w:p>
        </w:tc>
        <w:tc>
          <w:tcPr>
            <w:tcBorders>
              <w:top w:val="single" w:color="000000" w:sz="0" w:space="0"/>
              <w:bottom w:val="single" w:color="000000" w:sz="0" w:space="0"/>
              <w:right w:val="single" w:color="000000" w:sz="0" w:space="0"/>
            </w:tcBorders>
          </w:tcPr>
          <w:p w14:paraId="48718D97">
            <w:pPr>
              <w:spacing w:after="0" w:line="360" w:lineRule="auto"/>
            </w:pPr>
            <w:r>
              <w:rPr>
                <w:rFonts w:ascii="inter" w:hAnsi="inter" w:eastAsia="inter" w:cs="inter"/>
                <w:color w:val="000000"/>
                <w:sz w:val="17"/>
              </w:rPr>
              <w:t>封闭协议、单厂商生态，接口标准化程度有限</w:t>
            </w:r>
          </w:p>
        </w:tc>
        <w:tc>
          <w:tcPr>
            <w:tcBorders>
              <w:top w:val="single" w:color="000000" w:sz="0" w:space="0"/>
              <w:bottom w:val="single" w:color="000000" w:sz="0" w:space="0"/>
            </w:tcBorders>
          </w:tcPr>
          <w:p w14:paraId="314FDCC9">
            <w:pPr>
              <w:spacing w:after="0" w:line="360" w:lineRule="auto"/>
            </w:pPr>
            <w:r>
              <w:rPr>
                <w:rFonts w:ascii="inter" w:hAnsi="inter" w:eastAsia="inter" w:cs="inter"/>
                <w:color w:val="000000"/>
                <w:sz w:val="17"/>
              </w:rPr>
              <w:t>基于OPC UA等开放协议与IIoT平台的异构系统集成</w:t>
            </w:r>
          </w:p>
        </w:tc>
      </w:tr>
      <w:tr w14:paraId="48936E56">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10383945">
            <w:pPr>
              <w:spacing w:after="0" w:line="360" w:lineRule="auto"/>
            </w:pPr>
            <w:r>
              <w:rPr>
                <w:rFonts w:ascii="inter" w:hAnsi="inter" w:eastAsia="inter" w:cs="inter"/>
                <w:color w:val="000000"/>
                <w:sz w:val="17"/>
              </w:rPr>
              <w:t>对产品多样性的适应性</w:t>
            </w:r>
          </w:p>
        </w:tc>
        <w:tc>
          <w:tcPr>
            <w:tcBorders>
              <w:top w:val="single" w:color="000000" w:sz="0" w:space="0"/>
              <w:bottom w:val="single" w:color="000000" w:sz="0" w:space="0"/>
              <w:right w:val="single" w:color="000000" w:sz="0" w:space="0"/>
            </w:tcBorders>
          </w:tcPr>
          <w:p w14:paraId="1941361F">
            <w:pPr>
              <w:spacing w:after="0" w:line="360" w:lineRule="auto"/>
            </w:pPr>
            <w:r>
              <w:rPr>
                <w:rFonts w:ascii="inter" w:hAnsi="inter" w:eastAsia="inter" w:cs="inter"/>
                <w:color w:val="000000"/>
                <w:sz w:val="17"/>
              </w:rPr>
              <w:t>对品种增加高度敏感，改造成本高</w:t>
            </w:r>
          </w:p>
        </w:tc>
        <w:tc>
          <w:tcPr>
            <w:tcBorders>
              <w:top w:val="single" w:color="000000" w:sz="0" w:space="0"/>
              <w:bottom w:val="single" w:color="000000" w:sz="0" w:space="0"/>
            </w:tcBorders>
          </w:tcPr>
          <w:p w14:paraId="2C41AA08">
            <w:pPr>
              <w:spacing w:after="0" w:line="360" w:lineRule="auto"/>
            </w:pPr>
            <w:r>
              <w:rPr>
                <w:rFonts w:ascii="inter" w:hAnsi="inter" w:eastAsia="inter" w:cs="inter"/>
                <w:color w:val="000000"/>
                <w:sz w:val="17"/>
              </w:rPr>
              <w:t>在一定设计规则内适应多品种、变型及工程变更</w:t>
            </w:r>
          </w:p>
        </w:tc>
      </w:tr>
      <w:tr w14:paraId="7070752D">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66A943FC">
            <w:pPr>
              <w:spacing w:after="0" w:line="360" w:lineRule="auto"/>
            </w:pPr>
            <w:r>
              <w:rPr>
                <w:rFonts w:ascii="inter" w:hAnsi="inter" w:eastAsia="inter" w:cs="inter"/>
                <w:color w:val="000000"/>
                <w:sz w:val="17"/>
              </w:rPr>
              <w:t>规划与仿真能力</w:t>
            </w:r>
          </w:p>
        </w:tc>
        <w:tc>
          <w:tcPr>
            <w:tcBorders>
              <w:top w:val="single" w:color="000000" w:sz="0" w:space="0"/>
              <w:bottom w:val="single" w:color="000000" w:sz="0" w:space="0"/>
              <w:right w:val="single" w:color="000000" w:sz="0" w:space="0"/>
            </w:tcBorders>
          </w:tcPr>
          <w:p w14:paraId="6B0849FB">
            <w:pPr>
              <w:spacing w:after="0" w:line="360" w:lineRule="auto"/>
            </w:pPr>
            <w:r>
              <w:rPr>
                <w:rFonts w:ascii="inter" w:hAnsi="inter" w:eastAsia="inter" w:cs="inter"/>
                <w:color w:val="000000"/>
                <w:sz w:val="17"/>
              </w:rPr>
              <w:t>以离线工艺规划为主，仿真深度有限</w:t>
            </w:r>
          </w:p>
        </w:tc>
        <w:tc>
          <w:tcPr>
            <w:tcBorders>
              <w:top w:val="single" w:color="000000" w:sz="0" w:space="0"/>
              <w:bottom w:val="single" w:color="000000" w:sz="0" w:space="0"/>
            </w:tcBorders>
          </w:tcPr>
          <w:p w14:paraId="47C72982">
            <w:pPr>
              <w:spacing w:after="0" w:line="360" w:lineRule="auto"/>
            </w:pPr>
            <w:r>
              <w:rPr>
                <w:rFonts w:ascii="inter" w:hAnsi="inter" w:eastAsia="inter" w:cs="inter"/>
                <w:color w:val="000000"/>
                <w:sz w:val="17"/>
              </w:rPr>
              <w:t>借助数字孪生进行动态仿真与虚实联调</w:t>
            </w:r>
          </w:p>
        </w:tc>
      </w:tr>
      <w:tr w14:paraId="323942F0">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2A85FF5D">
            <w:pPr>
              <w:spacing w:after="0" w:line="360" w:lineRule="auto"/>
            </w:pPr>
            <w:r>
              <w:rPr>
                <w:rFonts w:ascii="inter" w:hAnsi="inter" w:eastAsia="inter" w:cs="inter"/>
                <w:color w:val="000000"/>
                <w:sz w:val="17"/>
              </w:rPr>
              <w:t>典型适用场景</w:t>
            </w:r>
          </w:p>
        </w:tc>
        <w:tc>
          <w:tcPr>
            <w:tcBorders>
              <w:top w:val="single" w:color="000000" w:sz="0" w:space="0"/>
              <w:bottom w:val="single" w:color="000000" w:sz="0" w:space="0"/>
              <w:right w:val="single" w:color="000000" w:sz="0" w:space="0"/>
            </w:tcBorders>
          </w:tcPr>
          <w:p w14:paraId="5DE1A85F">
            <w:pPr>
              <w:spacing w:after="0" w:line="360" w:lineRule="auto"/>
            </w:pPr>
            <w:r>
              <w:rPr>
                <w:rFonts w:ascii="inter" w:hAnsi="inter" w:eastAsia="inter" w:cs="inter"/>
                <w:color w:val="000000"/>
                <w:sz w:val="17"/>
              </w:rPr>
              <w:t>高度标准化、大批量、生命周期较长的单一产品</w:t>
            </w:r>
          </w:p>
        </w:tc>
        <w:tc>
          <w:tcPr>
            <w:tcBorders>
              <w:top w:val="single" w:color="000000" w:sz="0" w:space="0"/>
              <w:bottom w:val="single" w:color="000000" w:sz="0" w:space="0"/>
            </w:tcBorders>
          </w:tcPr>
          <w:p w14:paraId="37EE7CC3">
            <w:pPr>
              <w:spacing w:after="0" w:line="360" w:lineRule="auto"/>
            </w:pPr>
            <w:r>
              <w:rPr>
                <w:rFonts w:ascii="inter" w:hAnsi="inter" w:eastAsia="inter" w:cs="inter"/>
                <w:color w:val="000000"/>
                <w:sz w:val="17"/>
              </w:rPr>
              <w:t>中小批、多变型、高定制度、需求波动较大的产品组合</w:t>
            </w:r>
          </w:p>
        </w:tc>
      </w:tr>
      <w:tr w14:paraId="0936AFB7">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6627CD70">
            <w:pPr>
              <w:spacing w:after="0" w:line="360" w:lineRule="auto"/>
            </w:pPr>
            <w:r>
              <w:rPr>
                <w:rFonts w:ascii="inter" w:hAnsi="inter" w:eastAsia="inter" w:cs="inter"/>
                <w:color w:val="000000"/>
                <w:sz w:val="17"/>
              </w:rPr>
              <w:t>投入特征</w:t>
            </w:r>
          </w:p>
        </w:tc>
        <w:tc>
          <w:tcPr>
            <w:tcBorders>
              <w:top w:val="single" w:color="000000" w:sz="0" w:space="0"/>
              <w:bottom w:val="single" w:color="000000" w:sz="0" w:space="0"/>
              <w:right w:val="single" w:color="000000" w:sz="0" w:space="0"/>
            </w:tcBorders>
          </w:tcPr>
          <w:p w14:paraId="16FDC628">
            <w:pPr>
              <w:spacing w:after="0" w:line="360" w:lineRule="auto"/>
            </w:pPr>
            <w:r>
              <w:rPr>
                <w:rFonts w:ascii="inter" w:hAnsi="inter" w:eastAsia="inter" w:cs="inter"/>
                <w:color w:val="000000"/>
                <w:sz w:val="17"/>
              </w:rPr>
              <w:t>初始CAPEX高但摊薄快，对产量稳定性依赖度大</w:t>
            </w:r>
          </w:p>
        </w:tc>
        <w:tc>
          <w:tcPr>
            <w:tcBorders>
              <w:top w:val="single" w:color="000000" w:sz="0" w:space="0"/>
              <w:bottom w:val="single" w:color="000000" w:sz="0" w:space="0"/>
            </w:tcBorders>
          </w:tcPr>
          <w:p w14:paraId="51017DDC">
            <w:pPr>
              <w:spacing w:after="0" w:line="360" w:lineRule="auto"/>
            </w:pPr>
            <w:r>
              <w:rPr>
                <w:rFonts w:ascii="inter" w:hAnsi="inter" w:eastAsia="inter" w:cs="inter"/>
                <w:color w:val="000000"/>
                <w:sz w:val="17"/>
              </w:rPr>
              <w:t>CAPEX结构更偏向模块化单元与软件，OPEX中数据与算法占比提高</w:t>
            </w:r>
          </w:p>
        </w:tc>
      </w:tr>
      <w:tr w14:paraId="5638B643">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2A79A83D">
            <w:pPr>
              <w:spacing w:after="0" w:line="360" w:lineRule="auto"/>
            </w:pPr>
            <w:r>
              <w:rPr>
                <w:rFonts w:ascii="inter" w:hAnsi="inter" w:eastAsia="inter" w:cs="inter"/>
                <w:color w:val="000000"/>
                <w:sz w:val="17"/>
              </w:rPr>
              <w:t>对人力角色的影响</w:t>
            </w:r>
          </w:p>
        </w:tc>
        <w:tc>
          <w:tcPr>
            <w:tcBorders>
              <w:top w:val="single" w:color="000000" w:sz="0" w:space="0"/>
              <w:bottom w:val="single" w:color="000000" w:sz="0" w:space="0"/>
              <w:right w:val="single" w:color="000000" w:sz="0" w:space="0"/>
            </w:tcBorders>
          </w:tcPr>
          <w:p w14:paraId="57AC00D6">
            <w:pPr>
              <w:spacing w:after="0" w:line="360" w:lineRule="auto"/>
            </w:pPr>
            <w:r>
              <w:rPr>
                <w:rFonts w:ascii="inter" w:hAnsi="inter" w:eastAsia="inter" w:cs="inter"/>
                <w:color w:val="000000"/>
                <w:sz w:val="17"/>
              </w:rPr>
              <w:t>以设备操作与简单维护为主</w:t>
            </w:r>
          </w:p>
        </w:tc>
        <w:tc>
          <w:tcPr>
            <w:tcBorders>
              <w:top w:val="single" w:color="000000" w:sz="0" w:space="0"/>
              <w:bottom w:val="single" w:color="000000" w:sz="0" w:space="0"/>
            </w:tcBorders>
          </w:tcPr>
          <w:p w14:paraId="38FCF88B">
            <w:pPr>
              <w:spacing w:after="0" w:line="360" w:lineRule="auto"/>
            </w:pPr>
            <w:r>
              <w:rPr>
                <w:rFonts w:ascii="inter" w:hAnsi="inter" w:eastAsia="inter" w:cs="inter"/>
                <w:color w:val="000000"/>
                <w:sz w:val="17"/>
              </w:rPr>
              <w:t>以工程配置、数据分析与协作式人机交互为主</w:t>
            </w:r>
          </w:p>
        </w:tc>
      </w:tr>
    </w:tbl>
    <w:p w14:paraId="23F58552"/>
    <w:p w14:paraId="34A43DA7">
      <w:pPr>
        <w:spacing w:after="210" w:line="360" w:lineRule="auto"/>
      </w:pPr>
      <w:r>
        <w:rPr>
          <w:rFonts w:ascii="inter" w:hAnsi="inter" w:eastAsia="inter" w:cs="inter"/>
          <w:color w:val="000000"/>
        </w:rPr>
        <w:t>（上表部分判断参考某国际研究与德国智能工厂试验台架经验，具体数值关系有待进一步验证。）</w:t>
      </w:r>
    </w:p>
    <w:p w14:paraId="5A327C95">
      <w:pPr>
        <w:numPr>
          <w:ilvl w:val="0"/>
          <w:numId w:val="13"/>
        </w:numPr>
        <w:spacing w:before="105" w:after="105" w:line="360" w:lineRule="auto"/>
      </w:pPr>
      <w:r>
        <w:rPr>
          <w:rFonts w:ascii="inter" w:hAnsi="inter" w:eastAsia="inter" w:cs="inter"/>
          <w:color w:val="000000"/>
          <w:sz w:val="21"/>
        </w:rPr>
        <w:t>技术挑战的多维性</w:t>
      </w:r>
    </w:p>
    <w:p w14:paraId="56D6C321">
      <w:pPr>
        <w:spacing w:after="210" w:line="360" w:lineRule="auto"/>
      </w:pPr>
      <w:r>
        <w:rPr>
          <w:rFonts w:ascii="inter" w:hAnsi="inter" w:eastAsia="inter" w:cs="inter"/>
          <w:color w:val="000000"/>
        </w:rPr>
        <w:t>(1) 结构复杂度与工艺可编程性</w:t>
      </w:r>
      <w:r>
        <w:rPr>
          <w:rFonts w:ascii="inter" w:hAnsi="inter" w:eastAsia="inter" w:cs="inter"/>
          <w:color w:val="000000"/>
        </w:rPr>
        <w:br w:type="textWrapping"/>
      </w:r>
      <w:r>
        <w:rPr>
          <w:rFonts w:ascii="inter" w:hAnsi="inter" w:eastAsia="inter" w:cs="inter"/>
          <w:color w:val="000000"/>
        </w:rPr>
        <w:t>① 单件小批工艺路径高度多样化，使传统刚性自动线难以通过预置逻辑覆盖所有组合场景，通常而言需要在设备层增加可重构与参数化能力。</w:t>
      </w:r>
      <w:r>
        <w:rPr>
          <w:rFonts w:ascii="inter" w:hAnsi="inter" w:eastAsia="inter" w:cs="inter"/>
          <w:color w:val="000000"/>
        </w:rPr>
        <w:br w:type="textWrapping"/>
      </w:r>
      <w:r>
        <w:rPr>
          <w:rFonts w:ascii="inter" w:hAnsi="inter" w:eastAsia="inter" w:cs="inter"/>
          <w:color w:val="000000"/>
        </w:rPr>
        <w:t>② 柔性自动化虽在理论上可通过模块化单元与可编程流程编排应对这些复杂度，但其对系统工程能力、软件架构与运维能力的要求在某种程度上明显高于传统方案。</w:t>
      </w:r>
    </w:p>
    <w:p w14:paraId="2AACDF8C">
      <w:pPr>
        <w:spacing w:after="210" w:line="360" w:lineRule="auto"/>
      </w:pPr>
      <w:r>
        <w:rPr>
          <w:rFonts w:ascii="inter" w:hAnsi="inter" w:eastAsia="inter" w:cs="inter"/>
          <w:color w:val="000000"/>
        </w:rPr>
        <w:t>(2) 感知与认知能力不足</w:t>
      </w:r>
      <w:r>
        <w:rPr>
          <w:rFonts w:ascii="inter" w:hAnsi="inter" w:eastAsia="inter" w:cs="inter"/>
          <w:color w:val="000000"/>
        </w:rPr>
        <w:br w:type="textWrapping"/>
      </w:r>
      <w:r>
        <w:rPr>
          <w:rFonts w:ascii="inter" w:hAnsi="inter" w:eastAsia="inter" w:cs="inter"/>
          <w:color w:val="000000"/>
        </w:rPr>
        <w:t>① 多模态感知融合与在线质量检测技术尚未在多数中小企业得到充分应用，导致自动化系统对工件差异和环境扰动的鲁棒性不足。</w:t>
      </w:r>
      <w:r>
        <w:rPr>
          <w:rFonts w:ascii="inter" w:hAnsi="inter" w:eastAsia="inter" w:cs="inter"/>
          <w:color w:val="000000"/>
        </w:rPr>
        <w:br w:type="textWrapping"/>
      </w:r>
      <w:r>
        <w:rPr>
          <w:rFonts w:ascii="inter" w:hAnsi="inter" w:eastAsia="inter" w:cs="inter"/>
          <w:color w:val="000000"/>
        </w:rPr>
        <w:t>② 据Fraunhofer在汉诺威工业博览会上展示的相关研究，支持“异构、负载优化机器人团队”的架构可能在一定程度上显著提升柔性，但对实时数据处理与任务协调算法提出更高要求。</w:t>
      </w:r>
      <w:bookmarkStart w:id="20" w:name="fnref6_1"/>
      <w:bookmarkEnd w:id="20"/>
      <w:r>
        <w:fldChar w:fldCharType="begin"/>
      </w:r>
      <w:r>
        <w:instrText xml:space="preserve"> HYPERLINK \l "fn6" \h </w:instrText>
      </w:r>
      <w:r>
        <w:fldChar w:fldCharType="separate"/>
      </w:r>
      <w:r>
        <w:rPr>
          <w:rFonts w:ascii="inter" w:hAnsi="inter" w:eastAsia="inter" w:cs="inter"/>
          <w:color w:val="000000"/>
          <w:u w:val="single"/>
          <w:vertAlign w:val="superscript"/>
        </w:rPr>
        <w:t>[6]</w:t>
      </w:r>
      <w:r>
        <w:rPr>
          <w:rFonts w:ascii="inter" w:hAnsi="inter" w:eastAsia="inter" w:cs="inter"/>
          <w:color w:val="000000"/>
          <w:u w:val="single"/>
          <w:vertAlign w:val="superscript"/>
        </w:rPr>
        <w:fldChar w:fldCharType="end"/>
      </w:r>
    </w:p>
    <w:p w14:paraId="78455F13">
      <w:pPr>
        <w:spacing w:after="210" w:line="360" w:lineRule="auto"/>
      </w:pPr>
      <w:r>
        <w:rPr>
          <w:rFonts w:ascii="inter" w:hAnsi="inter" w:eastAsia="inter" w:cs="inter"/>
          <w:color w:val="000000"/>
        </w:rPr>
        <w:t>(3) 异构系统集成难度</w:t>
      </w:r>
      <w:r>
        <w:rPr>
          <w:rFonts w:ascii="inter" w:hAnsi="inter" w:eastAsia="inter" w:cs="inter"/>
          <w:color w:val="000000"/>
        </w:rPr>
        <w:br w:type="textWrapping"/>
      </w:r>
      <w:r>
        <w:rPr>
          <w:rFonts w:ascii="inter" w:hAnsi="inter" w:eastAsia="inter" w:cs="inter"/>
          <w:color w:val="000000"/>
        </w:rPr>
        <w:t>① 老旧设备、不同品牌数控系统与多代信息系统并存，使单件小批车间的异构系统集成难度大幅上升。</w:t>
      </w:r>
      <w:r>
        <w:rPr>
          <w:rFonts w:ascii="inter" w:hAnsi="inter" w:eastAsia="inter" w:cs="inter"/>
          <w:color w:val="000000"/>
        </w:rPr>
        <w:br w:type="textWrapping"/>
      </w:r>
      <w:r>
        <w:rPr>
          <w:rFonts w:ascii="inter" w:hAnsi="inter" w:eastAsia="inter" w:cs="inter"/>
          <w:color w:val="000000"/>
        </w:rPr>
        <w:t>② ISO/IEC/IEEE关于系统工程敏捷性的标准指出，针对复杂系统的敏捷演化需要采用分阶段、分层次的架构演进路线，以降低集成风险。</w:t>
      </w:r>
      <w:bookmarkStart w:id="21" w:name="fnref5_2"/>
      <w:bookmarkEnd w:id="21"/>
      <w:r>
        <w:fldChar w:fldCharType="begin"/>
      </w:r>
      <w:r>
        <w:instrText xml:space="preserve"> HYPERLINK \l "fn5" \h </w:instrText>
      </w:r>
      <w:r>
        <w:fldChar w:fldCharType="separate"/>
      </w:r>
      <w:r>
        <w:rPr>
          <w:rFonts w:ascii="inter" w:hAnsi="inter" w:eastAsia="inter" w:cs="inter"/>
          <w:color w:val="000000"/>
          <w:u w:val="single"/>
          <w:vertAlign w:val="superscript"/>
        </w:rPr>
        <w:t>[5]</w:t>
      </w:r>
      <w:r>
        <w:rPr>
          <w:rFonts w:ascii="inter" w:hAnsi="inter" w:eastAsia="inter" w:cs="inter"/>
          <w:color w:val="000000"/>
          <w:u w:val="single"/>
          <w:vertAlign w:val="superscript"/>
        </w:rPr>
        <w:fldChar w:fldCharType="end"/>
      </w:r>
    </w:p>
    <w:p w14:paraId="56D31EAC">
      <w:pPr>
        <w:spacing w:before="210" w:after="0" w:line="360" w:lineRule="auto"/>
      </w:pPr>
      <w:r>
        <w:pict>
          <v:rect id="_x0000_s1030" o:spid="_x0000_s1030" o:spt="1" style="height:0.05pt;width:475.5pt;" coordsize="21600,21600">
            <v:path/>
            <v:fill focussize="0,0"/>
            <v:stroke weight="1pt" color="#000000" opacity="0f"/>
            <v:imagedata o:title=""/>
            <o:lock v:ext="edit"/>
            <w10:wrap type="none"/>
            <w10:anchorlock/>
          </v:rect>
        </w:pict>
      </w:r>
    </w:p>
    <w:p w14:paraId="4A89DD82">
      <w:pPr>
        <w:spacing w:before="315" w:after="105" w:line="360" w:lineRule="auto"/>
        <w:ind w:left="-30"/>
        <w:jc w:val="left"/>
      </w:pPr>
      <w:bookmarkStart w:id="22" w:name="二_关键技术路径与方案"/>
      <w:r>
        <w:rPr>
          <w:rFonts w:ascii="inter" w:hAnsi="inter" w:eastAsia="inter" w:cs="inter"/>
          <w:b/>
          <w:color w:val="000000"/>
          <w:sz w:val="24"/>
        </w:rPr>
        <w:t>(二) 关键技术路径与方案</w:t>
      </w:r>
      <w:bookmarkEnd w:id="22"/>
    </w:p>
    <w:p w14:paraId="7EE625AD">
      <w:pPr>
        <w:spacing w:after="210" w:line="360" w:lineRule="auto"/>
      </w:pPr>
      <w:r>
        <w:rPr>
          <w:rFonts w:ascii="inter" w:hAnsi="inter" w:eastAsia="inter" w:cs="inter"/>
          <w:color w:val="000000"/>
        </w:rPr>
        <w:t>本节对若干典型技术方案进行“优势”与“局限”分析，以体现辩证平衡。</w:t>
      </w:r>
    </w:p>
    <w:p w14:paraId="7EE64133">
      <w:pPr>
        <w:spacing w:before="315" w:after="105" w:line="360" w:lineRule="auto"/>
        <w:ind w:left="-30"/>
        <w:jc w:val="left"/>
      </w:pPr>
      <w:bookmarkStart w:id="23" w:name="bm_1_路径一_机器人柔性单元_视觉引导"/>
      <w:r>
        <w:rPr>
          <w:rFonts w:ascii="inter" w:hAnsi="inter" w:eastAsia="inter" w:cs="inter"/>
          <w:b/>
          <w:color w:val="000000"/>
          <w:sz w:val="24"/>
        </w:rPr>
        <w:t>1. 路径一：机器人柔性单元 + 视觉引导</w:t>
      </w:r>
      <w:bookmarkEnd w:id="23"/>
    </w:p>
    <w:p w14:paraId="2B384FD6">
      <w:pPr>
        <w:spacing w:after="210" w:line="360" w:lineRule="auto"/>
      </w:pPr>
      <w:r>
        <w:rPr>
          <w:rFonts w:ascii="inter" w:hAnsi="inter" w:eastAsia="inter" w:cs="inter"/>
          <w:color w:val="000000"/>
        </w:rPr>
        <w:t>(1) 优势</w:t>
      </w:r>
    </w:p>
    <w:p w14:paraId="0128488A">
      <w:pPr>
        <w:spacing w:after="210" w:line="360" w:lineRule="auto"/>
      </w:pPr>
      <w:r>
        <w:rPr>
          <w:rFonts w:ascii="inter" w:hAnsi="inter" w:eastAsia="inter" w:cs="inter"/>
          <w:color w:val="000000"/>
        </w:rPr>
        <w:t>① 通过引入协作机器人或六轴机器人，结合3D视觉、力控与夹具快速更换技术，通常而言可在单件小批场景中实现典型装配、上下料与转运工序的自动化。</w:t>
      </w:r>
      <w:r>
        <w:rPr>
          <w:rFonts w:ascii="inter" w:hAnsi="inter" w:eastAsia="inter" w:cs="inter"/>
          <w:color w:val="000000"/>
        </w:rPr>
        <w:br w:type="textWrapping"/>
      </w:r>
      <w:r>
        <w:rPr>
          <w:rFonts w:ascii="inter" w:hAnsi="inter" w:eastAsia="inter" w:cs="inter"/>
          <w:color w:val="000000"/>
        </w:rPr>
        <w:t>② 视觉引导与在线校正能力有助于在某种程度上吸收夹具误差和工件公差，降低治具定制的复杂度与成本。</w:t>
      </w:r>
    </w:p>
    <w:p w14:paraId="15B02890">
      <w:pPr>
        <w:spacing w:after="210" w:line="360" w:lineRule="auto"/>
      </w:pPr>
      <w:r>
        <w:rPr>
          <w:rFonts w:ascii="inter" w:hAnsi="inter" w:eastAsia="inter" w:cs="inter"/>
          <w:color w:val="000000"/>
        </w:rPr>
        <w:t>(2) 潜在局限</w:t>
      </w:r>
    </w:p>
    <w:p w14:paraId="24546E45">
      <w:pPr>
        <w:spacing w:after="210" w:line="360" w:lineRule="auto"/>
      </w:pPr>
      <w:r>
        <w:rPr>
          <w:rFonts w:ascii="inter" w:hAnsi="inter" w:eastAsia="inter" w:cs="inter"/>
          <w:color w:val="000000"/>
        </w:rPr>
        <w:t>① 对多模态感知融合与轨迹规划算法依赖度较高，在复杂工件和反光表面等场景下识别稳定性有待进一步验证。</w:t>
      </w:r>
      <w:r>
        <w:rPr>
          <w:rFonts w:ascii="inter" w:hAnsi="inter" w:eastAsia="inter" w:cs="inter"/>
          <w:color w:val="000000"/>
        </w:rPr>
        <w:br w:type="textWrapping"/>
      </w:r>
      <w:r>
        <w:rPr>
          <w:rFonts w:ascii="inter" w:hAnsi="inter" w:eastAsia="inter" w:cs="inter"/>
          <w:color w:val="000000"/>
        </w:rPr>
        <w:t>② 对工程团队的系统集成与调试能力要求较高，适用条件通常为具有一定自动化基础、产品结构在设计阶段可适度标准化的企业。</w:t>
      </w:r>
    </w:p>
    <w:p w14:paraId="1F4E5C81">
      <w:pPr>
        <w:spacing w:before="315" w:after="105" w:line="360" w:lineRule="auto"/>
        <w:ind w:left="-30"/>
        <w:jc w:val="left"/>
      </w:pPr>
      <w:bookmarkStart w:id="24" w:name="bm_2_路径二_可重构制造系统_rms"/>
      <w:r>
        <w:rPr>
          <w:rFonts w:ascii="inter" w:hAnsi="inter" w:eastAsia="inter" w:cs="inter"/>
          <w:b/>
          <w:color w:val="000000"/>
          <w:sz w:val="24"/>
        </w:rPr>
        <w:t>2. 路径二：可重构制造系统（RMS）</w:t>
      </w:r>
      <w:bookmarkEnd w:id="24"/>
    </w:p>
    <w:p w14:paraId="08E3638D">
      <w:pPr>
        <w:spacing w:after="210" w:line="360" w:lineRule="auto"/>
      </w:pPr>
      <w:r>
        <w:rPr>
          <w:rFonts w:ascii="inter" w:hAnsi="inter" w:eastAsia="inter" w:cs="inter"/>
          <w:color w:val="000000"/>
        </w:rPr>
        <w:t>(1) 优势</w:t>
      </w:r>
    </w:p>
    <w:p w14:paraId="0D740895">
      <w:pPr>
        <w:spacing w:after="210" w:line="360" w:lineRule="auto"/>
      </w:pPr>
      <w:r>
        <w:rPr>
          <w:rFonts w:ascii="inter" w:hAnsi="inter" w:eastAsia="inter" w:cs="inter"/>
          <w:color w:val="000000"/>
        </w:rPr>
        <w:t>① 可重构制造系统通过模块化机床、标准接口和可配置控制器，通常而言可以较快地重组生产线以适配新产品，适合频繁变更工艺的单件小批场景。</w:t>
      </w:r>
      <w:r>
        <w:rPr>
          <w:rFonts w:ascii="inter" w:hAnsi="inter" w:eastAsia="inter" w:cs="inter"/>
          <w:color w:val="000000"/>
        </w:rPr>
        <w:br w:type="textWrapping"/>
      </w:r>
      <w:r>
        <w:rPr>
          <w:rFonts w:ascii="inter" w:hAnsi="inter" w:eastAsia="inter" w:cs="inter"/>
          <w:color w:val="000000"/>
        </w:rPr>
        <w:t>② 在数字主线支撑下，工艺规划可对接模块能力模型，实现“工艺-资源”的快速匹配，有助于缩短从设计变更到生产切换的周期。</w:t>
      </w:r>
    </w:p>
    <w:p w14:paraId="69026CE3">
      <w:pPr>
        <w:spacing w:after="210" w:line="360" w:lineRule="auto"/>
      </w:pPr>
      <w:r>
        <w:rPr>
          <w:rFonts w:ascii="inter" w:hAnsi="inter" w:eastAsia="inter" w:cs="inter"/>
          <w:color w:val="000000"/>
        </w:rPr>
        <w:t>(2) 潜在局限</w:t>
      </w:r>
    </w:p>
    <w:p w14:paraId="589F737C">
      <w:pPr>
        <w:spacing w:after="210" w:line="360" w:lineRule="auto"/>
      </w:pPr>
      <w:r>
        <w:rPr>
          <w:rFonts w:ascii="inter" w:hAnsi="inter" w:eastAsia="inter" w:cs="inter"/>
          <w:color w:val="000000"/>
        </w:rPr>
        <w:t>① 初始规划与系统架构设计复杂，需要较高的系统工程能力和跨专业团队协同，通常中小企业单独实施的能力有限。</w:t>
      </w:r>
      <w:r>
        <w:rPr>
          <w:rFonts w:ascii="inter" w:hAnsi="inter" w:eastAsia="inter" w:cs="inter"/>
          <w:color w:val="000000"/>
        </w:rPr>
        <w:br w:type="textWrapping"/>
      </w:r>
      <w:r>
        <w:rPr>
          <w:rFonts w:ascii="inter" w:hAnsi="inter" w:eastAsia="inter" w:cs="inter"/>
          <w:color w:val="000000"/>
        </w:rPr>
        <w:t>② 投资回报在某种程度上依赖于产品组合的多样性与变更频率，若变更频率不足，则RMS优势难以充分体现。</w:t>
      </w:r>
    </w:p>
    <w:p w14:paraId="5FBD4DDE">
      <w:pPr>
        <w:spacing w:before="315" w:after="105" w:line="360" w:lineRule="auto"/>
        <w:ind w:left="-30"/>
        <w:jc w:val="left"/>
      </w:pPr>
      <w:bookmarkStart w:id="25" w:name="bm_3_路径三_数字孪生驱动的虚实联调"/>
      <w:r>
        <w:rPr>
          <w:rFonts w:ascii="inter" w:hAnsi="inter" w:eastAsia="inter" w:cs="inter"/>
          <w:b/>
          <w:color w:val="000000"/>
          <w:sz w:val="24"/>
        </w:rPr>
        <w:t>3. 路径三：数字孪生驱动的虚实联调</w:t>
      </w:r>
      <w:bookmarkEnd w:id="25"/>
    </w:p>
    <w:p w14:paraId="66FE8ECB">
      <w:pPr>
        <w:spacing w:after="210" w:line="360" w:lineRule="auto"/>
      </w:pPr>
      <w:r>
        <w:rPr>
          <w:rFonts w:ascii="inter" w:hAnsi="inter" w:eastAsia="inter" w:cs="inter"/>
          <w:color w:val="000000"/>
        </w:rPr>
        <w:t>(1) 优势</w:t>
      </w:r>
    </w:p>
    <w:p w14:paraId="6D02B88C">
      <w:pPr>
        <w:spacing w:after="210" w:line="360" w:lineRule="auto"/>
      </w:pPr>
      <w:r>
        <w:rPr>
          <w:rFonts w:ascii="inter" w:hAnsi="inter" w:eastAsia="inter" w:cs="inter"/>
          <w:color w:val="000000"/>
        </w:rPr>
        <w:t>① 数字孪生可在虚拟空间预验证工艺路径、机器人可达性与节拍瓶颈，通常有助于减少现场调试时间与试错成本。</w:t>
      </w:r>
      <w:r>
        <w:rPr>
          <w:rFonts w:ascii="inter" w:hAnsi="inter" w:eastAsia="inter" w:cs="inter"/>
          <w:color w:val="000000"/>
        </w:rPr>
        <w:br w:type="textWrapping"/>
      </w:r>
      <w:r>
        <w:rPr>
          <w:rFonts w:ascii="inter" w:hAnsi="inter" w:eastAsia="inter" w:cs="inter"/>
          <w:color w:val="000000"/>
        </w:rPr>
        <w:t>② 在运行阶段，通过实时数据驱动的自适应迭代控制，可以在某种程度上实现对单件差异的动态补偿与工艺参数自优化。</w:t>
      </w:r>
    </w:p>
    <w:p w14:paraId="0BDE852C">
      <w:pPr>
        <w:spacing w:after="210" w:line="360" w:lineRule="auto"/>
      </w:pPr>
      <w:r>
        <w:rPr>
          <w:rFonts w:ascii="inter" w:hAnsi="inter" w:eastAsia="inter" w:cs="inter"/>
          <w:color w:val="000000"/>
        </w:rPr>
        <w:t>(2) 潜在局限</w:t>
      </w:r>
    </w:p>
    <w:p w14:paraId="11712CA2">
      <w:pPr>
        <w:spacing w:after="210" w:line="360" w:lineRule="auto"/>
      </w:pPr>
      <w:r>
        <w:rPr>
          <w:rFonts w:ascii="inter" w:hAnsi="inter" w:eastAsia="inter" w:cs="inter"/>
          <w:color w:val="000000"/>
        </w:rPr>
        <w:t>① 高精度数字孪生建模在数据采集、模型构建和持续维护方面成本较高，对信息基础设施与数据治理能力要求较高。</w:t>
      </w:r>
      <w:r>
        <w:rPr>
          <w:rFonts w:ascii="inter" w:hAnsi="inter" w:eastAsia="inter" w:cs="inter"/>
          <w:color w:val="000000"/>
        </w:rPr>
        <w:br w:type="textWrapping"/>
      </w:r>
      <w:r>
        <w:rPr>
          <w:rFonts w:ascii="inter" w:hAnsi="inter" w:eastAsia="inter" w:cs="inter"/>
          <w:color w:val="000000"/>
        </w:rPr>
        <w:t>② 在复杂装配与非刚性工件场景下，虚实一致性与仿真精度仍有待进一步验证，适用条件通常包括产品结构具备一定可模型化特点、工艺参数可量化。</w:t>
      </w:r>
    </w:p>
    <w:p w14:paraId="764C4836">
      <w:pPr>
        <w:spacing w:before="210" w:after="0" w:line="360" w:lineRule="auto"/>
      </w:pPr>
      <w:r>
        <w:pict>
          <v:rect id="_x0000_s1031" o:spid="_x0000_s1031" o:spt="1" style="height:0.05pt;width:475.5pt;" coordsize="21600,21600">
            <v:path/>
            <v:fill focussize="0,0"/>
            <v:stroke weight="1pt" color="#000000" opacity="0f"/>
            <v:imagedata o:title=""/>
            <o:lock v:ext="edit"/>
            <w10:wrap type="none"/>
            <w10:anchorlock/>
          </v:rect>
        </w:pict>
      </w:r>
    </w:p>
    <w:p w14:paraId="332F80A7">
      <w:pPr>
        <w:spacing w:before="315" w:after="105" w:line="360" w:lineRule="auto"/>
        <w:ind w:left="-30"/>
        <w:jc w:val="left"/>
      </w:pPr>
      <w:bookmarkStart w:id="26" w:name="四_经济性与成本结构分析"/>
      <w:r>
        <w:rPr>
          <w:rFonts w:ascii="inter" w:hAnsi="inter" w:eastAsia="inter" w:cs="inter"/>
          <w:b/>
          <w:color w:val="000000"/>
          <w:sz w:val="24"/>
        </w:rPr>
        <w:t>四、经济性与成本结构分析</w:t>
      </w:r>
      <w:bookmarkEnd w:id="26"/>
    </w:p>
    <w:p w14:paraId="6F83178A">
      <w:pPr>
        <w:spacing w:before="315" w:after="105" w:line="360" w:lineRule="auto"/>
        <w:ind w:left="-30"/>
        <w:jc w:val="left"/>
      </w:pPr>
      <w:bookmarkStart w:id="27" w:name="一_成本构成表_如表2所示"/>
      <w:r>
        <w:rPr>
          <w:rFonts w:ascii="inter" w:hAnsi="inter" w:eastAsia="inter" w:cs="inter"/>
          <w:b/>
          <w:color w:val="000000"/>
          <w:sz w:val="24"/>
        </w:rPr>
        <w:t>(一) 成本构成表（如表2所示）</w:t>
      </w:r>
      <w:bookmarkEnd w:id="27"/>
    </w:p>
    <w:p w14:paraId="6C45AF1D">
      <w:pPr>
        <w:spacing w:after="210" w:line="360" w:lineRule="auto"/>
        <w:ind w:left="630"/>
      </w:pPr>
      <w:r>
        <w:rPr>
          <w:rFonts w:ascii="inter" w:hAnsi="inter" w:eastAsia="inter" w:cs="inter"/>
          <w:color w:val="000000"/>
        </w:rPr>
        <w:t>表2 单件小批离散制造自动化项目的典型成本构成（示意）</w:t>
      </w:r>
    </w:p>
    <w:tbl>
      <w:tblPr>
        <w:tblStyle w:val="5"/>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909"/>
        <w:gridCol w:w="1181"/>
        <w:gridCol w:w="3826"/>
        <w:gridCol w:w="3924"/>
      </w:tblGrid>
      <w:tr w14:paraId="2C8B51E6">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7FB23319">
            <w:pPr>
              <w:spacing w:after="0" w:line="360" w:lineRule="auto"/>
            </w:pPr>
            <w:r>
              <w:rPr>
                <w:rFonts w:ascii="inter" w:hAnsi="inter" w:eastAsia="inter" w:cs="inter"/>
                <w:color w:val="000000"/>
                <w:sz w:val="17"/>
              </w:rPr>
              <w:t>成本层级</w:t>
            </w:r>
          </w:p>
        </w:tc>
        <w:tc>
          <w:tcPr>
            <w:tcBorders>
              <w:top w:val="single" w:color="000000" w:sz="0" w:space="0"/>
              <w:bottom w:val="single" w:color="000000" w:sz="0" w:space="0"/>
              <w:right w:val="single" w:color="000000" w:sz="0" w:space="0"/>
            </w:tcBorders>
          </w:tcPr>
          <w:p w14:paraId="52CD9B93">
            <w:pPr>
              <w:spacing w:after="0" w:line="360" w:lineRule="auto"/>
            </w:pPr>
            <w:r>
              <w:rPr>
                <w:rFonts w:ascii="inter" w:hAnsi="inter" w:eastAsia="inter" w:cs="inter"/>
                <w:color w:val="000000"/>
                <w:sz w:val="17"/>
              </w:rPr>
              <w:t>成本类别</w:t>
            </w:r>
          </w:p>
        </w:tc>
        <w:tc>
          <w:tcPr>
            <w:tcBorders>
              <w:top w:val="single" w:color="000000" w:sz="0" w:space="0"/>
              <w:bottom w:val="single" w:color="000000" w:sz="0" w:space="0"/>
              <w:right w:val="single" w:color="000000" w:sz="0" w:space="0"/>
            </w:tcBorders>
          </w:tcPr>
          <w:p w14:paraId="1BD9D99B">
            <w:pPr>
              <w:spacing w:after="0" w:line="360" w:lineRule="auto"/>
            </w:pPr>
            <w:r>
              <w:rPr>
                <w:rFonts w:ascii="inter" w:hAnsi="inter" w:eastAsia="inter" w:cs="inter"/>
                <w:color w:val="000000"/>
                <w:sz w:val="17"/>
              </w:rPr>
              <w:t>主要内容说明</w:t>
            </w:r>
          </w:p>
        </w:tc>
        <w:tc>
          <w:tcPr>
            <w:tcBorders>
              <w:top w:val="single" w:color="000000" w:sz="0" w:space="0"/>
              <w:bottom w:val="single" w:color="000000" w:sz="0" w:space="0"/>
            </w:tcBorders>
          </w:tcPr>
          <w:p w14:paraId="2BEB43C2">
            <w:pPr>
              <w:spacing w:after="0" w:line="360" w:lineRule="auto"/>
            </w:pPr>
            <w:r>
              <w:rPr>
                <w:rFonts w:ascii="inter" w:hAnsi="inter" w:eastAsia="inter" w:cs="inter"/>
                <w:color w:val="000000"/>
                <w:sz w:val="17"/>
              </w:rPr>
              <w:t>备注（可能简化的假设）</w:t>
            </w:r>
          </w:p>
        </w:tc>
      </w:tr>
      <w:tr w14:paraId="78CB5D8B">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2AC274E6">
            <w:pPr>
              <w:spacing w:after="0" w:line="360" w:lineRule="auto"/>
            </w:pPr>
            <w:r>
              <w:rPr>
                <w:rFonts w:ascii="inter" w:hAnsi="inter" w:eastAsia="inter" w:cs="inter"/>
                <w:color w:val="000000"/>
                <w:sz w:val="17"/>
              </w:rPr>
              <w:t>直接成本</w:t>
            </w:r>
          </w:p>
        </w:tc>
        <w:tc>
          <w:tcPr>
            <w:tcBorders>
              <w:top w:val="single" w:color="000000" w:sz="0" w:space="0"/>
              <w:bottom w:val="single" w:color="000000" w:sz="0" w:space="0"/>
              <w:right w:val="single" w:color="000000" w:sz="0" w:space="0"/>
            </w:tcBorders>
          </w:tcPr>
          <w:p w14:paraId="01CB1BB2">
            <w:pPr>
              <w:spacing w:after="0" w:line="360" w:lineRule="auto"/>
            </w:pPr>
            <w:r>
              <w:rPr>
                <w:rFonts w:ascii="inter" w:hAnsi="inter" w:eastAsia="inter" w:cs="inter"/>
                <w:color w:val="000000"/>
                <w:sz w:val="17"/>
              </w:rPr>
              <w:t>设备与硬件</w:t>
            </w:r>
          </w:p>
        </w:tc>
        <w:tc>
          <w:tcPr>
            <w:tcBorders>
              <w:top w:val="single" w:color="000000" w:sz="0" w:space="0"/>
              <w:bottom w:val="single" w:color="000000" w:sz="0" w:space="0"/>
              <w:right w:val="single" w:color="000000" w:sz="0" w:space="0"/>
            </w:tcBorders>
          </w:tcPr>
          <w:p w14:paraId="6DEA4B22">
            <w:pPr>
              <w:spacing w:after="0" w:line="360" w:lineRule="auto"/>
            </w:pPr>
            <w:r>
              <w:rPr>
                <w:rFonts w:ascii="inter" w:hAnsi="inter" w:eastAsia="inter" w:cs="inter"/>
                <w:color w:val="000000"/>
                <w:sz w:val="17"/>
              </w:rPr>
              <w:t>机器人、本体设备、传感器、工装夹具、输送与立库等</w:t>
            </w:r>
          </w:p>
        </w:tc>
        <w:tc>
          <w:tcPr>
            <w:tcBorders>
              <w:top w:val="single" w:color="000000" w:sz="0" w:space="0"/>
              <w:bottom w:val="single" w:color="000000" w:sz="0" w:space="0"/>
            </w:tcBorders>
          </w:tcPr>
          <w:p w14:paraId="6871A710">
            <w:pPr>
              <w:spacing w:after="0" w:line="360" w:lineRule="auto"/>
            </w:pPr>
            <w:r>
              <w:rPr>
                <w:rFonts w:ascii="inter" w:hAnsi="inter" w:eastAsia="inter" w:cs="inter"/>
                <w:color w:val="000000"/>
                <w:sz w:val="17"/>
              </w:rPr>
              <w:t>假设通过标准化与模块化使单机成本在某种程度下降</w:t>
            </w:r>
          </w:p>
        </w:tc>
      </w:tr>
      <w:tr w14:paraId="18DDAC67">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6B7C3517">
            <w:pPr>
              <w:spacing w:after="0" w:line="240" w:lineRule="auto"/>
            </w:pPr>
          </w:p>
        </w:tc>
        <w:tc>
          <w:tcPr>
            <w:tcBorders>
              <w:top w:val="single" w:color="000000" w:sz="0" w:space="0"/>
              <w:bottom w:val="single" w:color="000000" w:sz="0" w:space="0"/>
              <w:right w:val="single" w:color="000000" w:sz="0" w:space="0"/>
            </w:tcBorders>
          </w:tcPr>
          <w:p w14:paraId="1F12025E">
            <w:pPr>
              <w:spacing w:after="0" w:line="360" w:lineRule="auto"/>
            </w:pPr>
            <w:r>
              <w:rPr>
                <w:rFonts w:ascii="inter" w:hAnsi="inter" w:eastAsia="inter" w:cs="inter"/>
                <w:color w:val="000000"/>
                <w:sz w:val="17"/>
              </w:rPr>
              <w:t>软件与系统</w:t>
            </w:r>
          </w:p>
        </w:tc>
        <w:tc>
          <w:tcPr>
            <w:tcBorders>
              <w:top w:val="single" w:color="000000" w:sz="0" w:space="0"/>
              <w:bottom w:val="single" w:color="000000" w:sz="0" w:space="0"/>
              <w:right w:val="single" w:color="000000" w:sz="0" w:space="0"/>
            </w:tcBorders>
          </w:tcPr>
          <w:p w14:paraId="5C827279">
            <w:pPr>
              <w:spacing w:after="0" w:line="360" w:lineRule="auto"/>
            </w:pPr>
            <w:r>
              <w:rPr>
                <w:rFonts w:ascii="inter" w:hAnsi="inter" w:eastAsia="inter" w:cs="inter"/>
                <w:color w:val="000000"/>
                <w:sz w:val="17"/>
              </w:rPr>
              <w:t>控制系统、视觉系统、MES/APS、数据平台等</w:t>
            </w:r>
          </w:p>
        </w:tc>
        <w:tc>
          <w:tcPr>
            <w:tcBorders>
              <w:top w:val="single" w:color="000000" w:sz="0" w:space="0"/>
              <w:bottom w:val="single" w:color="000000" w:sz="0" w:space="0"/>
            </w:tcBorders>
          </w:tcPr>
          <w:p w14:paraId="6868BFEF">
            <w:pPr>
              <w:spacing w:after="0" w:line="360" w:lineRule="auto"/>
            </w:pPr>
            <w:r>
              <w:rPr>
                <w:rFonts w:ascii="inter" w:hAnsi="inter" w:eastAsia="inter" w:cs="inter"/>
                <w:color w:val="000000"/>
                <w:sz w:val="17"/>
              </w:rPr>
              <w:t>部分软件采用订阅模式，年费按CAPEX一定比例估算</w:t>
            </w:r>
          </w:p>
        </w:tc>
      </w:tr>
      <w:tr w14:paraId="71F9B64C">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375A8D95">
            <w:pPr>
              <w:spacing w:after="0" w:line="240" w:lineRule="auto"/>
            </w:pPr>
          </w:p>
        </w:tc>
        <w:tc>
          <w:tcPr>
            <w:tcBorders>
              <w:top w:val="single" w:color="000000" w:sz="0" w:space="0"/>
              <w:bottom w:val="single" w:color="000000" w:sz="0" w:space="0"/>
              <w:right w:val="single" w:color="000000" w:sz="0" w:space="0"/>
            </w:tcBorders>
          </w:tcPr>
          <w:p w14:paraId="3BA0D8B3">
            <w:pPr>
              <w:spacing w:after="0" w:line="360" w:lineRule="auto"/>
            </w:pPr>
            <w:r>
              <w:rPr>
                <w:rFonts w:ascii="inter" w:hAnsi="inter" w:eastAsia="inter" w:cs="inter"/>
                <w:color w:val="000000"/>
                <w:sz w:val="17"/>
              </w:rPr>
              <w:t>集成与调试</w:t>
            </w:r>
          </w:p>
        </w:tc>
        <w:tc>
          <w:tcPr>
            <w:tcBorders>
              <w:top w:val="single" w:color="000000" w:sz="0" w:space="0"/>
              <w:bottom w:val="single" w:color="000000" w:sz="0" w:space="0"/>
              <w:right w:val="single" w:color="000000" w:sz="0" w:space="0"/>
            </w:tcBorders>
          </w:tcPr>
          <w:p w14:paraId="1451AFB1">
            <w:pPr>
              <w:spacing w:after="0" w:line="360" w:lineRule="auto"/>
            </w:pPr>
            <w:r>
              <w:rPr>
                <w:rFonts w:ascii="inter" w:hAnsi="inter" w:eastAsia="inter" w:cs="inter"/>
                <w:color w:val="000000"/>
                <w:sz w:val="17"/>
              </w:rPr>
              <w:t>方案设计、编程、现场调试与验收等</w:t>
            </w:r>
          </w:p>
        </w:tc>
        <w:tc>
          <w:tcPr>
            <w:tcBorders>
              <w:top w:val="single" w:color="000000" w:sz="0" w:space="0"/>
              <w:bottom w:val="single" w:color="000000" w:sz="0" w:space="0"/>
            </w:tcBorders>
          </w:tcPr>
          <w:p w14:paraId="4F33E52D">
            <w:pPr>
              <w:spacing w:after="0" w:line="360" w:lineRule="auto"/>
            </w:pPr>
            <w:r>
              <w:rPr>
                <w:rFonts w:ascii="inter" w:hAnsi="inter" w:eastAsia="inter" w:cs="inter"/>
                <w:color w:val="000000"/>
                <w:sz w:val="17"/>
              </w:rPr>
              <w:t>依据工艺复杂度与工位数量线性近似估算</w:t>
            </w:r>
          </w:p>
        </w:tc>
      </w:tr>
      <w:tr w14:paraId="406EE947">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68493078">
            <w:pPr>
              <w:spacing w:after="0" w:line="360" w:lineRule="auto"/>
            </w:pPr>
            <w:r>
              <w:rPr>
                <w:rFonts w:ascii="inter" w:hAnsi="inter" w:eastAsia="inter" w:cs="inter"/>
                <w:color w:val="000000"/>
                <w:sz w:val="17"/>
              </w:rPr>
              <w:t>间接成本</w:t>
            </w:r>
          </w:p>
        </w:tc>
        <w:tc>
          <w:tcPr>
            <w:tcBorders>
              <w:top w:val="single" w:color="000000" w:sz="0" w:space="0"/>
              <w:bottom w:val="single" w:color="000000" w:sz="0" w:space="0"/>
              <w:right w:val="single" w:color="000000" w:sz="0" w:space="0"/>
            </w:tcBorders>
          </w:tcPr>
          <w:p w14:paraId="48813E53">
            <w:pPr>
              <w:spacing w:after="0" w:line="360" w:lineRule="auto"/>
            </w:pPr>
            <w:r>
              <w:rPr>
                <w:rFonts w:ascii="inter" w:hAnsi="inter" w:eastAsia="inter" w:cs="inter"/>
                <w:color w:val="000000"/>
                <w:sz w:val="17"/>
              </w:rPr>
              <w:t>运维与升级</w:t>
            </w:r>
          </w:p>
        </w:tc>
        <w:tc>
          <w:tcPr>
            <w:tcBorders>
              <w:top w:val="single" w:color="000000" w:sz="0" w:space="0"/>
              <w:bottom w:val="single" w:color="000000" w:sz="0" w:space="0"/>
              <w:right w:val="single" w:color="000000" w:sz="0" w:space="0"/>
            </w:tcBorders>
          </w:tcPr>
          <w:p w14:paraId="1855319C">
            <w:pPr>
              <w:spacing w:after="0" w:line="360" w:lineRule="auto"/>
            </w:pPr>
            <w:r>
              <w:rPr>
                <w:rFonts w:ascii="inter" w:hAnsi="inter" w:eastAsia="inter" w:cs="inter"/>
                <w:color w:val="000000"/>
                <w:sz w:val="17"/>
              </w:rPr>
              <w:t>备件、软件升级、算法维护、系统优化等</w:t>
            </w:r>
          </w:p>
        </w:tc>
        <w:tc>
          <w:tcPr>
            <w:tcBorders>
              <w:top w:val="single" w:color="000000" w:sz="0" w:space="0"/>
              <w:bottom w:val="single" w:color="000000" w:sz="0" w:space="0"/>
            </w:tcBorders>
          </w:tcPr>
          <w:p w14:paraId="6D0274DD">
            <w:pPr>
              <w:spacing w:after="0" w:line="360" w:lineRule="auto"/>
            </w:pPr>
            <w:r>
              <w:rPr>
                <w:rFonts w:ascii="inter" w:hAnsi="inter" w:eastAsia="inter" w:cs="inter"/>
                <w:color w:val="000000"/>
                <w:sz w:val="17"/>
              </w:rPr>
              <w:t>将三年运维折现为项目总投资的一定比例</w:t>
            </w:r>
          </w:p>
        </w:tc>
      </w:tr>
      <w:tr w14:paraId="33629AC0">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6319F0F1">
            <w:pPr>
              <w:spacing w:after="0" w:line="240" w:lineRule="auto"/>
            </w:pPr>
          </w:p>
        </w:tc>
        <w:tc>
          <w:tcPr>
            <w:tcBorders>
              <w:top w:val="single" w:color="000000" w:sz="0" w:space="0"/>
              <w:bottom w:val="single" w:color="000000" w:sz="0" w:space="0"/>
              <w:right w:val="single" w:color="000000" w:sz="0" w:space="0"/>
            </w:tcBorders>
          </w:tcPr>
          <w:p w14:paraId="559D652A">
            <w:pPr>
              <w:spacing w:after="0" w:line="360" w:lineRule="auto"/>
            </w:pPr>
            <w:r>
              <w:rPr>
                <w:rFonts w:ascii="inter" w:hAnsi="inter" w:eastAsia="inter" w:cs="inter"/>
                <w:color w:val="000000"/>
                <w:sz w:val="17"/>
              </w:rPr>
              <w:t>人员培训</w:t>
            </w:r>
          </w:p>
        </w:tc>
        <w:tc>
          <w:tcPr>
            <w:tcBorders>
              <w:top w:val="single" w:color="000000" w:sz="0" w:space="0"/>
              <w:bottom w:val="single" w:color="000000" w:sz="0" w:space="0"/>
              <w:right w:val="single" w:color="000000" w:sz="0" w:space="0"/>
            </w:tcBorders>
          </w:tcPr>
          <w:p w14:paraId="20891FA1">
            <w:pPr>
              <w:spacing w:after="0" w:line="360" w:lineRule="auto"/>
            </w:pPr>
            <w:r>
              <w:rPr>
                <w:rFonts w:ascii="inter" w:hAnsi="inter" w:eastAsia="inter" w:cs="inter"/>
                <w:color w:val="000000"/>
                <w:sz w:val="17"/>
              </w:rPr>
              <w:t>工程师、操作工与管理人员的技能培训</w:t>
            </w:r>
          </w:p>
        </w:tc>
        <w:tc>
          <w:tcPr>
            <w:tcBorders>
              <w:top w:val="single" w:color="000000" w:sz="0" w:space="0"/>
              <w:bottom w:val="single" w:color="000000" w:sz="0" w:space="0"/>
            </w:tcBorders>
          </w:tcPr>
          <w:p w14:paraId="3D3DF790">
            <w:pPr>
              <w:spacing w:after="0" w:line="360" w:lineRule="auto"/>
            </w:pPr>
            <w:r>
              <w:rPr>
                <w:rFonts w:ascii="inter" w:hAnsi="inter" w:eastAsia="inter" w:cs="inter"/>
                <w:color w:val="000000"/>
                <w:sz w:val="17"/>
              </w:rPr>
              <w:t>按培训人天与平均人工成本估算</w:t>
            </w:r>
          </w:p>
        </w:tc>
      </w:tr>
      <w:tr w14:paraId="0D54E1A0">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7CAA9248">
            <w:pPr>
              <w:spacing w:after="0" w:line="360" w:lineRule="auto"/>
            </w:pPr>
            <w:r>
              <w:rPr>
                <w:rFonts w:ascii="inter" w:hAnsi="inter" w:eastAsia="inter" w:cs="inter"/>
                <w:color w:val="000000"/>
                <w:sz w:val="17"/>
              </w:rPr>
              <w:t>机会成本</w:t>
            </w:r>
          </w:p>
        </w:tc>
        <w:tc>
          <w:tcPr>
            <w:tcBorders>
              <w:top w:val="single" w:color="000000" w:sz="0" w:space="0"/>
              <w:bottom w:val="single" w:color="000000" w:sz="0" w:space="0"/>
              <w:right w:val="single" w:color="000000" w:sz="0" w:space="0"/>
            </w:tcBorders>
          </w:tcPr>
          <w:p w14:paraId="4B84648E">
            <w:pPr>
              <w:spacing w:after="0" w:line="360" w:lineRule="auto"/>
            </w:pPr>
            <w:r>
              <w:rPr>
                <w:rFonts w:ascii="inter" w:hAnsi="inter" w:eastAsia="inter" w:cs="inter"/>
                <w:color w:val="000000"/>
                <w:sz w:val="17"/>
              </w:rPr>
              <w:t>产能机会损失</w:t>
            </w:r>
          </w:p>
        </w:tc>
        <w:tc>
          <w:tcPr>
            <w:tcBorders>
              <w:top w:val="single" w:color="000000" w:sz="0" w:space="0"/>
              <w:bottom w:val="single" w:color="000000" w:sz="0" w:space="0"/>
              <w:right w:val="single" w:color="000000" w:sz="0" w:space="0"/>
            </w:tcBorders>
          </w:tcPr>
          <w:p w14:paraId="098F918B">
            <w:pPr>
              <w:spacing w:after="0" w:line="360" w:lineRule="auto"/>
            </w:pPr>
            <w:r>
              <w:rPr>
                <w:rFonts w:ascii="inter" w:hAnsi="inter" w:eastAsia="inter" w:cs="inter"/>
                <w:color w:val="000000"/>
                <w:sz w:val="17"/>
              </w:rPr>
              <w:t>项目实施期间停产或减产所导致的潜在产值损失</w:t>
            </w:r>
          </w:p>
        </w:tc>
        <w:tc>
          <w:tcPr>
            <w:tcBorders>
              <w:top w:val="single" w:color="000000" w:sz="0" w:space="0"/>
              <w:bottom w:val="single" w:color="000000" w:sz="0" w:space="0"/>
            </w:tcBorders>
          </w:tcPr>
          <w:p w14:paraId="2F267B44">
            <w:pPr>
              <w:spacing w:after="0" w:line="360" w:lineRule="auto"/>
            </w:pPr>
            <w:r>
              <w:rPr>
                <w:rFonts w:ascii="inter" w:hAnsi="inter" w:eastAsia="inter" w:cs="inter"/>
                <w:color w:val="000000"/>
                <w:sz w:val="17"/>
              </w:rPr>
              <w:t>基于计划停机时间与历史产值水平估算</w:t>
            </w:r>
          </w:p>
        </w:tc>
      </w:tr>
      <w:tr w14:paraId="05022303">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5251B370">
            <w:pPr>
              <w:spacing w:after="0" w:line="240" w:lineRule="auto"/>
            </w:pPr>
          </w:p>
        </w:tc>
        <w:tc>
          <w:tcPr>
            <w:tcBorders>
              <w:top w:val="single" w:color="000000" w:sz="0" w:space="0"/>
              <w:bottom w:val="single" w:color="000000" w:sz="0" w:space="0"/>
              <w:right w:val="single" w:color="000000" w:sz="0" w:space="0"/>
            </w:tcBorders>
          </w:tcPr>
          <w:p w14:paraId="2A007197">
            <w:pPr>
              <w:spacing w:after="0" w:line="360" w:lineRule="auto"/>
            </w:pPr>
            <w:r>
              <w:rPr>
                <w:rFonts w:ascii="inter" w:hAnsi="inter" w:eastAsia="inter" w:cs="inter"/>
                <w:color w:val="000000"/>
                <w:sz w:val="17"/>
              </w:rPr>
              <w:t>市场机会损失</w:t>
            </w:r>
          </w:p>
        </w:tc>
        <w:tc>
          <w:tcPr>
            <w:tcBorders>
              <w:top w:val="single" w:color="000000" w:sz="0" w:space="0"/>
              <w:bottom w:val="single" w:color="000000" w:sz="0" w:space="0"/>
              <w:right w:val="single" w:color="000000" w:sz="0" w:space="0"/>
            </w:tcBorders>
          </w:tcPr>
          <w:p w14:paraId="312080FE">
            <w:pPr>
              <w:spacing w:after="0" w:line="360" w:lineRule="auto"/>
            </w:pPr>
            <w:r>
              <w:rPr>
                <w:rFonts w:ascii="inter" w:hAnsi="inter" w:eastAsia="inter" w:cs="inter"/>
                <w:color w:val="000000"/>
                <w:sz w:val="17"/>
              </w:rPr>
              <w:t>未能及时响应定制订单、交付周期过长导致的订单流失</w:t>
            </w:r>
          </w:p>
        </w:tc>
        <w:tc>
          <w:tcPr>
            <w:tcBorders>
              <w:top w:val="single" w:color="000000" w:sz="0" w:space="0"/>
              <w:bottom w:val="single" w:color="000000" w:sz="0" w:space="0"/>
            </w:tcBorders>
          </w:tcPr>
          <w:p w14:paraId="2E9FF975">
            <w:pPr>
              <w:spacing w:after="0" w:line="360" w:lineRule="auto"/>
            </w:pPr>
            <w:r>
              <w:rPr>
                <w:rFonts w:ascii="inter" w:hAnsi="inter" w:eastAsia="inter" w:cs="inter"/>
                <w:color w:val="000000"/>
                <w:sz w:val="17"/>
              </w:rPr>
              <w:t>以订单流失率与平均订单价值近似估算</w:t>
            </w:r>
          </w:p>
        </w:tc>
      </w:tr>
      <w:tr w14:paraId="3462B0DA">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6784CC9C">
            <w:pPr>
              <w:spacing w:after="0" w:line="360" w:lineRule="auto"/>
            </w:pPr>
            <w:r>
              <w:rPr>
                <w:rFonts w:ascii="inter" w:hAnsi="inter" w:eastAsia="inter" w:cs="inter"/>
                <w:color w:val="000000"/>
                <w:sz w:val="17"/>
              </w:rPr>
              <w:t>隐性成本</w:t>
            </w:r>
          </w:p>
        </w:tc>
        <w:tc>
          <w:tcPr>
            <w:tcBorders>
              <w:top w:val="single" w:color="000000" w:sz="0" w:space="0"/>
              <w:bottom w:val="single" w:color="000000" w:sz="0" w:space="0"/>
              <w:right w:val="single" w:color="000000" w:sz="0" w:space="0"/>
            </w:tcBorders>
          </w:tcPr>
          <w:p w14:paraId="4D313346">
            <w:pPr>
              <w:spacing w:after="0" w:line="360" w:lineRule="auto"/>
            </w:pPr>
            <w:r>
              <w:rPr>
                <w:rFonts w:ascii="inter" w:hAnsi="inter" w:eastAsia="inter" w:cs="inter"/>
                <w:color w:val="000000"/>
                <w:sz w:val="17"/>
              </w:rPr>
              <w:t>组织变革成本</w:t>
            </w:r>
          </w:p>
        </w:tc>
        <w:tc>
          <w:tcPr>
            <w:tcBorders>
              <w:top w:val="single" w:color="000000" w:sz="0" w:space="0"/>
              <w:bottom w:val="single" w:color="000000" w:sz="0" w:space="0"/>
              <w:right w:val="single" w:color="000000" w:sz="0" w:space="0"/>
            </w:tcBorders>
          </w:tcPr>
          <w:p w14:paraId="1804A63F">
            <w:pPr>
              <w:spacing w:after="0" w:line="360" w:lineRule="auto"/>
            </w:pPr>
            <w:r>
              <w:rPr>
                <w:rFonts w:ascii="inter" w:hAnsi="inter" w:eastAsia="inter" w:cs="inter"/>
                <w:color w:val="000000"/>
                <w:sz w:val="17"/>
              </w:rPr>
              <w:t>流程再造、岗位调整、绩效体系重构等</w:t>
            </w:r>
          </w:p>
        </w:tc>
        <w:tc>
          <w:tcPr>
            <w:tcBorders>
              <w:top w:val="single" w:color="000000" w:sz="0" w:space="0"/>
              <w:bottom w:val="single" w:color="000000" w:sz="0" w:space="0"/>
            </w:tcBorders>
          </w:tcPr>
          <w:p w14:paraId="394C0D80">
            <w:pPr>
              <w:spacing w:after="0" w:line="360" w:lineRule="auto"/>
            </w:pPr>
            <w:r>
              <w:rPr>
                <w:rFonts w:ascii="inter" w:hAnsi="inter" w:eastAsia="inter" w:cs="inter"/>
                <w:color w:val="000000"/>
                <w:sz w:val="17"/>
              </w:rPr>
              <w:t>多以管理资源投入和变革阻力为定性估算</w:t>
            </w:r>
          </w:p>
        </w:tc>
      </w:tr>
      <w:tr w14:paraId="0CE94CB0">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620BCD24">
            <w:pPr>
              <w:spacing w:after="0" w:line="240" w:lineRule="auto"/>
            </w:pPr>
          </w:p>
        </w:tc>
        <w:tc>
          <w:tcPr>
            <w:tcBorders>
              <w:top w:val="single" w:color="000000" w:sz="0" w:space="0"/>
              <w:bottom w:val="single" w:color="000000" w:sz="0" w:space="0"/>
              <w:right w:val="single" w:color="000000" w:sz="0" w:space="0"/>
            </w:tcBorders>
          </w:tcPr>
          <w:p w14:paraId="3466586A">
            <w:pPr>
              <w:spacing w:after="0" w:line="360" w:lineRule="auto"/>
            </w:pPr>
            <w:r>
              <w:rPr>
                <w:rFonts w:ascii="inter" w:hAnsi="inter" w:eastAsia="inter" w:cs="inter"/>
                <w:color w:val="000000"/>
                <w:sz w:val="17"/>
              </w:rPr>
              <w:t>技术锁定风险</w:t>
            </w:r>
          </w:p>
        </w:tc>
        <w:tc>
          <w:tcPr>
            <w:tcBorders>
              <w:top w:val="single" w:color="000000" w:sz="0" w:space="0"/>
              <w:bottom w:val="single" w:color="000000" w:sz="0" w:space="0"/>
              <w:right w:val="single" w:color="000000" w:sz="0" w:space="0"/>
            </w:tcBorders>
          </w:tcPr>
          <w:p w14:paraId="36257C2F">
            <w:pPr>
              <w:spacing w:after="0" w:line="360" w:lineRule="auto"/>
            </w:pPr>
            <w:r>
              <w:rPr>
                <w:rFonts w:ascii="inter" w:hAnsi="inter" w:eastAsia="inter" w:cs="inter"/>
                <w:color w:val="000000"/>
                <w:sz w:val="17"/>
              </w:rPr>
              <w:t>过度依赖特定供应商技术方案导致的长期议价能力下降</w:t>
            </w:r>
          </w:p>
        </w:tc>
        <w:tc>
          <w:tcPr>
            <w:tcBorders>
              <w:top w:val="single" w:color="000000" w:sz="0" w:space="0"/>
              <w:bottom w:val="single" w:color="000000" w:sz="0" w:space="0"/>
            </w:tcBorders>
          </w:tcPr>
          <w:p w14:paraId="0D0DCB35">
            <w:pPr>
              <w:spacing w:after="0" w:line="360" w:lineRule="auto"/>
            </w:pPr>
            <w:r>
              <w:rPr>
                <w:rFonts w:ascii="inter" w:hAnsi="inter" w:eastAsia="inter" w:cs="inter"/>
                <w:color w:val="000000"/>
                <w:sz w:val="17"/>
              </w:rPr>
              <w:t>通过技术多源化与开放接口降低此项风险</w:t>
            </w:r>
          </w:p>
        </w:tc>
      </w:tr>
      <w:tr w14:paraId="6A21CCB3">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65248F9B">
            <w:pPr>
              <w:spacing w:after="0" w:line="240" w:lineRule="auto"/>
            </w:pPr>
          </w:p>
        </w:tc>
        <w:tc>
          <w:tcPr>
            <w:tcBorders>
              <w:top w:val="single" w:color="000000" w:sz="0" w:space="0"/>
              <w:bottom w:val="single" w:color="000000" w:sz="0" w:space="0"/>
              <w:right w:val="single" w:color="000000" w:sz="0" w:space="0"/>
            </w:tcBorders>
          </w:tcPr>
          <w:p w14:paraId="02B6BBDF">
            <w:pPr>
              <w:spacing w:after="0" w:line="360" w:lineRule="auto"/>
            </w:pPr>
            <w:r>
              <w:rPr>
                <w:rFonts w:ascii="inter" w:hAnsi="inter" w:eastAsia="inter" w:cs="inter"/>
                <w:color w:val="000000"/>
                <w:sz w:val="17"/>
              </w:rPr>
              <w:t>数据与安全</w:t>
            </w:r>
          </w:p>
        </w:tc>
        <w:tc>
          <w:tcPr>
            <w:tcBorders>
              <w:top w:val="single" w:color="000000" w:sz="0" w:space="0"/>
              <w:bottom w:val="single" w:color="000000" w:sz="0" w:space="0"/>
              <w:right w:val="single" w:color="000000" w:sz="0" w:space="0"/>
            </w:tcBorders>
          </w:tcPr>
          <w:p w14:paraId="2DABE311">
            <w:pPr>
              <w:spacing w:after="0" w:line="360" w:lineRule="auto"/>
            </w:pPr>
            <w:r>
              <w:rPr>
                <w:rFonts w:ascii="inter" w:hAnsi="inter" w:eastAsia="inter" w:cs="inter"/>
                <w:color w:val="000000"/>
                <w:sz w:val="17"/>
              </w:rPr>
              <w:t>网络安全、数据治理、合规与隐私保护投入</w:t>
            </w:r>
          </w:p>
        </w:tc>
        <w:tc>
          <w:tcPr>
            <w:tcBorders>
              <w:top w:val="single" w:color="000000" w:sz="0" w:space="0"/>
              <w:bottom w:val="single" w:color="000000" w:sz="0" w:space="0"/>
            </w:tcBorders>
          </w:tcPr>
          <w:p w14:paraId="49EF5535">
            <w:pPr>
              <w:spacing w:after="0" w:line="360" w:lineRule="auto"/>
            </w:pPr>
            <w:r>
              <w:rPr>
                <w:rFonts w:ascii="inter" w:hAnsi="inter" w:eastAsia="inter" w:cs="inter"/>
                <w:color w:val="000000"/>
                <w:sz w:val="17"/>
              </w:rPr>
              <w:t>参考SDGs对可持续基础设施与韧性的要求估算趋势</w:t>
            </w:r>
            <w:r>
              <w:fldChar w:fldCharType="begin"/>
            </w:r>
            <w:r>
              <w:instrText xml:space="preserve"> HYPERLINK \l "fn2" \h </w:instrText>
            </w:r>
            <w:r>
              <w:fldChar w:fldCharType="separate"/>
            </w:r>
            <w:r>
              <w:rPr>
                <w:rFonts w:ascii="inter" w:hAnsi="inter" w:eastAsia="inter" w:cs="inter"/>
                <w:color w:val="000000"/>
                <w:sz w:val="17"/>
                <w:u w:val="single"/>
                <w:vertAlign w:val="superscript"/>
              </w:rPr>
              <w:t>[2]</w:t>
            </w:r>
            <w:r>
              <w:rPr>
                <w:rFonts w:ascii="inter" w:hAnsi="inter" w:eastAsia="inter" w:cs="inter"/>
                <w:color w:val="000000"/>
                <w:sz w:val="17"/>
                <w:u w:val="single"/>
                <w:vertAlign w:val="superscript"/>
              </w:rPr>
              <w:fldChar w:fldCharType="end"/>
            </w:r>
            <w:r>
              <w:fldChar w:fldCharType="begin"/>
            </w:r>
            <w:r>
              <w:instrText xml:space="preserve"> HYPERLINK \l "fn3" \h </w:instrText>
            </w:r>
            <w:r>
              <w:fldChar w:fldCharType="separate"/>
            </w:r>
            <w:r>
              <w:rPr>
                <w:rFonts w:ascii="inter" w:hAnsi="inter" w:eastAsia="inter" w:cs="inter"/>
                <w:color w:val="000000"/>
                <w:sz w:val="17"/>
                <w:u w:val="single"/>
                <w:vertAlign w:val="superscript"/>
              </w:rPr>
              <w:t>[3]</w:t>
            </w:r>
            <w:r>
              <w:rPr>
                <w:rFonts w:ascii="inter" w:hAnsi="inter" w:eastAsia="inter" w:cs="inter"/>
                <w:color w:val="000000"/>
                <w:sz w:val="17"/>
                <w:u w:val="single"/>
                <w:vertAlign w:val="superscript"/>
              </w:rPr>
              <w:fldChar w:fldCharType="end"/>
            </w:r>
          </w:p>
        </w:tc>
      </w:tr>
    </w:tbl>
    <w:p w14:paraId="50EFD0F2"/>
    <w:p w14:paraId="2B5CB7B4">
      <w:pPr>
        <w:spacing w:after="210" w:line="360" w:lineRule="auto"/>
        <w:ind w:left="630"/>
      </w:pPr>
      <w:r>
        <w:rPr>
          <w:rFonts w:ascii="inter" w:hAnsi="inter" w:eastAsia="inter" w:cs="inter"/>
          <w:color w:val="000000"/>
        </w:rPr>
        <w:t>注：表中部分比例假设基于行业经验与非公开项目数据，具体比例有待项目级财务建模进一步验证。</w:t>
      </w:r>
    </w:p>
    <w:p w14:paraId="292ACB54">
      <w:pPr>
        <w:spacing w:before="315" w:after="105" w:line="360" w:lineRule="auto"/>
        <w:ind w:left="-30"/>
        <w:jc w:val="left"/>
      </w:pPr>
      <w:bookmarkStart w:id="28" w:name="二_经济性分析要点"/>
      <w:r>
        <w:rPr>
          <w:rFonts w:ascii="inter" w:hAnsi="inter" w:eastAsia="inter" w:cs="inter"/>
          <w:b/>
          <w:color w:val="000000"/>
          <w:sz w:val="24"/>
        </w:rPr>
        <w:t>(二) 经济性分析要点</w:t>
      </w:r>
      <w:bookmarkEnd w:id="28"/>
    </w:p>
    <w:p w14:paraId="1C3FE018">
      <w:pPr>
        <w:numPr>
          <w:ilvl w:val="0"/>
          <w:numId w:val="14"/>
        </w:numPr>
        <w:spacing w:before="105" w:after="105" w:line="360" w:lineRule="auto"/>
      </w:pPr>
      <w:r>
        <w:rPr>
          <w:rFonts w:ascii="inter" w:hAnsi="inter" w:eastAsia="inter" w:cs="inter"/>
          <w:color w:val="000000"/>
          <w:sz w:val="21"/>
        </w:rPr>
        <w:t>CAPEX 与 OPEX 的结构转移</w:t>
      </w:r>
    </w:p>
    <w:p w14:paraId="332FD0D8">
      <w:pPr>
        <w:spacing w:after="210" w:line="360" w:lineRule="auto"/>
      </w:pPr>
      <w:r>
        <w:rPr>
          <w:rFonts w:ascii="inter" w:hAnsi="inter" w:eastAsia="inter" w:cs="inter"/>
          <w:color w:val="000000"/>
        </w:rPr>
        <w:t>(1) 在柔性自动化方案下，企业的总投资结构通常从以硬件为主的CAPEX逐步向“硬件+软件+数据+服务”混合模式转移。</w:t>
      </w:r>
      <w:r>
        <w:rPr>
          <w:rFonts w:ascii="inter" w:hAnsi="inter" w:eastAsia="inter" w:cs="inter"/>
          <w:color w:val="000000"/>
        </w:rPr>
        <w:br w:type="textWrapping"/>
      </w:r>
      <w:r>
        <w:rPr>
          <w:rFonts w:ascii="inter" w:hAnsi="inter" w:eastAsia="inter" w:cs="inter"/>
          <w:color w:val="000000"/>
        </w:rPr>
        <w:t>(2) 据多家国际咨询机构与世界银行相关分析，数字化与智能化投资在短期内可能抬高单位产出的边际资本投入，但在中长期通常可通过提高资源效率与降低停机时间来摊薄整体成本。</w:t>
      </w:r>
      <w:bookmarkStart w:id="29" w:name="fnref1_2"/>
      <w:bookmarkEnd w:id="29"/>
      <w:r>
        <w:fldChar w:fldCharType="begin"/>
      </w:r>
      <w:r>
        <w:instrText xml:space="preserve"> HYPERLINK \l "fn1" \h </w:instrText>
      </w:r>
      <w:r>
        <w:fldChar w:fldCharType="separate"/>
      </w:r>
      <w:r>
        <w:rPr>
          <w:rFonts w:ascii="inter" w:hAnsi="inter" w:eastAsia="inter" w:cs="inter"/>
          <w:color w:val="000000"/>
          <w:u w:val="single"/>
          <w:vertAlign w:val="superscript"/>
        </w:rPr>
        <w:t>[1]</w:t>
      </w:r>
      <w:r>
        <w:rPr>
          <w:rFonts w:ascii="inter" w:hAnsi="inter" w:eastAsia="inter" w:cs="inter"/>
          <w:color w:val="000000"/>
          <w:u w:val="single"/>
          <w:vertAlign w:val="superscript"/>
        </w:rPr>
        <w:fldChar w:fldCharType="end"/>
      </w:r>
      <w:bookmarkStart w:id="30" w:name="fnref2_3"/>
      <w:bookmarkEnd w:id="30"/>
      <w:r>
        <w:fldChar w:fldCharType="begin"/>
      </w:r>
      <w:r>
        <w:instrText xml:space="preserve"> HYPERLINK \l "fn2" \h </w:instrText>
      </w:r>
      <w:r>
        <w:fldChar w:fldCharType="separate"/>
      </w:r>
      <w:r>
        <w:rPr>
          <w:rFonts w:ascii="inter" w:hAnsi="inter" w:eastAsia="inter" w:cs="inter"/>
          <w:color w:val="000000"/>
          <w:u w:val="single"/>
          <w:vertAlign w:val="superscript"/>
        </w:rPr>
        <w:t>[2]</w:t>
      </w:r>
      <w:r>
        <w:rPr>
          <w:rFonts w:ascii="inter" w:hAnsi="inter" w:eastAsia="inter" w:cs="inter"/>
          <w:color w:val="000000"/>
          <w:u w:val="single"/>
          <w:vertAlign w:val="superscript"/>
        </w:rPr>
        <w:fldChar w:fldCharType="end"/>
      </w:r>
    </w:p>
    <w:p w14:paraId="29524D4F">
      <w:pPr>
        <w:numPr>
          <w:ilvl w:val="0"/>
          <w:numId w:val="15"/>
        </w:numPr>
        <w:spacing w:before="105" w:after="105" w:line="360" w:lineRule="auto"/>
      </w:pPr>
      <w:r>
        <w:rPr>
          <w:rFonts w:ascii="inter" w:hAnsi="inter" w:eastAsia="inter" w:cs="inter"/>
          <w:color w:val="000000"/>
          <w:sz w:val="21"/>
        </w:rPr>
        <w:t>机会成本与隐性收益</w:t>
      </w:r>
    </w:p>
    <w:p w14:paraId="1348B94D">
      <w:pPr>
        <w:spacing w:after="210" w:line="360" w:lineRule="auto"/>
      </w:pPr>
      <w:r>
        <w:rPr>
          <w:rFonts w:ascii="inter" w:hAnsi="inter" w:eastAsia="inter" w:cs="inter"/>
          <w:color w:val="000000"/>
        </w:rPr>
        <w:t>(1) 单件小批场景下，自动化带来的关键收益通常并非仅限于直接人工替代，而更多体现在“交货期缩短、交付可靠性提升与订单响应能力增强”等方面，这些收益在会计报表中往往难以直接体现。</w:t>
      </w:r>
      <w:r>
        <w:rPr>
          <w:rFonts w:ascii="inter" w:hAnsi="inter" w:eastAsia="inter" w:cs="inter"/>
          <w:color w:val="000000"/>
        </w:rPr>
        <w:br w:type="textWrapping"/>
      </w:r>
      <w:r>
        <w:rPr>
          <w:rFonts w:ascii="inter" w:hAnsi="inter" w:eastAsia="inter" w:cs="inter"/>
          <w:color w:val="000000"/>
        </w:rPr>
        <w:t>(2) 联合国在SDG 9框架下强调，面向可持续工业化的投资应在某种程度上兼顾经济效率与创新能力提升，而柔性自动化正是支撑企业创新与快速响应的重要基础设施之一。</w:t>
      </w:r>
      <w:bookmarkStart w:id="31" w:name="fnref3_2"/>
      <w:bookmarkEnd w:id="31"/>
      <w:r>
        <w:fldChar w:fldCharType="begin"/>
      </w:r>
      <w:r>
        <w:instrText xml:space="preserve"> HYPERLINK \l "fn3" \h </w:instrText>
      </w:r>
      <w:r>
        <w:fldChar w:fldCharType="separate"/>
      </w:r>
      <w:r>
        <w:rPr>
          <w:rFonts w:ascii="inter" w:hAnsi="inter" w:eastAsia="inter" w:cs="inter"/>
          <w:color w:val="000000"/>
          <w:u w:val="single"/>
          <w:vertAlign w:val="superscript"/>
        </w:rPr>
        <w:t>[3]</w:t>
      </w:r>
      <w:r>
        <w:rPr>
          <w:rFonts w:ascii="inter" w:hAnsi="inter" w:eastAsia="inter" w:cs="inter"/>
          <w:color w:val="000000"/>
          <w:u w:val="single"/>
          <w:vertAlign w:val="superscript"/>
        </w:rPr>
        <w:fldChar w:fldCharType="end"/>
      </w:r>
      <w:bookmarkStart w:id="32" w:name="fnref4_1"/>
      <w:bookmarkEnd w:id="32"/>
      <w:r>
        <w:fldChar w:fldCharType="begin"/>
      </w:r>
      <w:r>
        <w:instrText xml:space="preserve"> HYPERLINK \l "fn4" \h </w:instrText>
      </w:r>
      <w:r>
        <w:fldChar w:fldCharType="separate"/>
      </w:r>
      <w:r>
        <w:rPr>
          <w:rFonts w:ascii="inter" w:hAnsi="inter" w:eastAsia="inter" w:cs="inter"/>
          <w:color w:val="000000"/>
          <w:u w:val="single"/>
          <w:vertAlign w:val="superscript"/>
        </w:rPr>
        <w:t>[4]</w:t>
      </w:r>
      <w:r>
        <w:rPr>
          <w:rFonts w:ascii="inter" w:hAnsi="inter" w:eastAsia="inter" w:cs="inter"/>
          <w:color w:val="000000"/>
          <w:u w:val="single"/>
          <w:vertAlign w:val="superscript"/>
        </w:rPr>
        <w:fldChar w:fldCharType="end"/>
      </w:r>
      <w:bookmarkStart w:id="33" w:name="fnref1_3"/>
      <w:bookmarkEnd w:id="33"/>
      <w:r>
        <w:fldChar w:fldCharType="begin"/>
      </w:r>
      <w:r>
        <w:instrText xml:space="preserve"> HYPERLINK \l "fn1" \h </w:instrText>
      </w:r>
      <w:r>
        <w:fldChar w:fldCharType="separate"/>
      </w:r>
      <w:r>
        <w:rPr>
          <w:rFonts w:ascii="inter" w:hAnsi="inter" w:eastAsia="inter" w:cs="inter"/>
          <w:color w:val="000000"/>
          <w:u w:val="single"/>
          <w:vertAlign w:val="superscript"/>
        </w:rPr>
        <w:t>[1]</w:t>
      </w:r>
      <w:r>
        <w:rPr>
          <w:rFonts w:ascii="inter" w:hAnsi="inter" w:eastAsia="inter" w:cs="inter"/>
          <w:color w:val="000000"/>
          <w:u w:val="single"/>
          <w:vertAlign w:val="superscript"/>
        </w:rPr>
        <w:fldChar w:fldCharType="end"/>
      </w:r>
    </w:p>
    <w:p w14:paraId="50ABEA0C">
      <w:pPr>
        <w:spacing w:before="210" w:after="0" w:line="360" w:lineRule="auto"/>
      </w:pPr>
      <w:r>
        <w:pict>
          <v:rect id="_x0000_s1032" o:spid="_x0000_s1032" o:spt="1" style="height:0.05pt;width:475.5pt;" coordsize="21600,21600">
            <v:path/>
            <v:fill focussize="0,0"/>
            <v:stroke weight="1pt" color="#000000" opacity="0f"/>
            <v:imagedata o:title=""/>
            <o:lock v:ext="edit"/>
            <w10:wrap type="none"/>
            <w10:anchorlock/>
          </v:rect>
        </w:pict>
      </w:r>
    </w:p>
    <w:p w14:paraId="71914DFD">
      <w:pPr>
        <w:spacing w:before="315" w:after="105" w:line="360" w:lineRule="auto"/>
        <w:ind w:left="-30"/>
        <w:jc w:val="left"/>
      </w:pPr>
      <w:bookmarkStart w:id="34" w:name="五_实施路径与路线图设计"/>
      <w:r>
        <w:rPr>
          <w:rFonts w:ascii="inter" w:hAnsi="inter" w:eastAsia="inter" w:cs="inter"/>
          <w:b/>
          <w:color w:val="000000"/>
          <w:sz w:val="24"/>
        </w:rPr>
        <w:t>五、实施路径与路线图设计</w:t>
      </w:r>
      <w:bookmarkEnd w:id="34"/>
    </w:p>
    <w:p w14:paraId="4ACADFA3">
      <w:pPr>
        <w:spacing w:before="315" w:after="105" w:line="360" w:lineRule="auto"/>
        <w:ind w:left="-30"/>
        <w:jc w:val="left"/>
      </w:pPr>
      <w:bookmarkStart w:id="35" w:name="一_技术演进路线图_见图1_表3"/>
      <w:r>
        <w:rPr>
          <w:rFonts w:ascii="inter" w:hAnsi="inter" w:eastAsia="inter" w:cs="inter"/>
          <w:b/>
          <w:color w:val="000000"/>
          <w:sz w:val="24"/>
        </w:rPr>
        <w:t>(一) 技术演进路线图（见图1、表3）</w:t>
      </w:r>
      <w:bookmarkEnd w:id="35"/>
    </w:p>
    <w:p w14:paraId="3C978D09">
      <w:pPr>
        <w:numPr>
          <w:ilvl w:val="0"/>
          <w:numId w:val="16"/>
        </w:numPr>
        <w:spacing w:before="105" w:after="105" w:line="360" w:lineRule="auto"/>
      </w:pPr>
      <w:r>
        <w:rPr>
          <w:rFonts w:ascii="inter" w:hAnsi="inter" w:eastAsia="inter" w:cs="inter"/>
          <w:color w:val="000000"/>
          <w:sz w:val="21"/>
        </w:rPr>
        <w:t>三阶段实施路线（见图1）</w:t>
      </w:r>
    </w:p>
    <w:p w14:paraId="518D41FE">
      <w:pPr>
        <w:spacing w:after="210" w:line="360" w:lineRule="auto"/>
      </w:pPr>
      <w:r>
        <w:rPr>
          <w:rFonts w:ascii="inter" w:hAnsi="inter" w:eastAsia="inter" w:cs="inter"/>
          <w:color w:val="000000"/>
        </w:rPr>
        <w:t>(1) 阶段一：数字可视化与基础自动化</w:t>
      </w:r>
      <w:r>
        <w:rPr>
          <w:rFonts w:ascii="inter" w:hAnsi="inter" w:eastAsia="inter" w:cs="inter"/>
          <w:color w:val="000000"/>
        </w:rPr>
        <w:br w:type="textWrapping"/>
      </w:r>
      <w:r>
        <w:rPr>
          <w:rFonts w:ascii="inter" w:hAnsi="inter" w:eastAsia="inter" w:cs="inter"/>
          <w:color w:val="000000"/>
        </w:rPr>
        <w:t>① 目标：实现关键设备联网、过程数据采集与可视化，导入局部自动化单元（如自动上下料、关键工序自动加工等）。</w:t>
      </w:r>
      <w:r>
        <w:rPr>
          <w:rFonts w:ascii="inter" w:hAnsi="inter" w:eastAsia="inter" w:cs="inter"/>
          <w:color w:val="000000"/>
        </w:rPr>
        <w:br w:type="textWrapping"/>
      </w:r>
      <w:r>
        <w:rPr>
          <w:rFonts w:ascii="inter" w:hAnsi="inter" w:eastAsia="inter" w:cs="inter"/>
          <w:color w:val="000000"/>
        </w:rPr>
        <w:t>② 手段：部署基础MES/SCADA，引入条码/RFID，实施局部机器人柔性单元试点。</w:t>
      </w:r>
    </w:p>
    <w:p w14:paraId="7D2082CC">
      <w:pPr>
        <w:spacing w:after="210" w:line="360" w:lineRule="auto"/>
      </w:pPr>
      <w:r>
        <w:rPr>
          <w:rFonts w:ascii="inter" w:hAnsi="inter" w:eastAsia="inter" w:cs="inter"/>
          <w:color w:val="000000"/>
        </w:rPr>
        <w:t>(2) 阶段二：柔性单元与数字主线贯通</w:t>
      </w:r>
      <w:r>
        <w:rPr>
          <w:rFonts w:ascii="inter" w:hAnsi="inter" w:eastAsia="inter" w:cs="inter"/>
          <w:color w:val="000000"/>
        </w:rPr>
        <w:br w:type="textWrapping"/>
      </w:r>
      <w:r>
        <w:rPr>
          <w:rFonts w:ascii="inter" w:hAnsi="inter" w:eastAsia="inter" w:cs="inter"/>
          <w:color w:val="000000"/>
        </w:rPr>
        <w:t>① 目标：通过数字主线打通从设计到制造的数据流，实现多工序柔性单元协同与工艺快速切换。</w:t>
      </w:r>
      <w:r>
        <w:rPr>
          <w:rFonts w:ascii="inter" w:hAnsi="inter" w:eastAsia="inter" w:cs="inter"/>
          <w:color w:val="000000"/>
        </w:rPr>
        <w:br w:type="textWrapping"/>
      </w:r>
      <w:r>
        <w:rPr>
          <w:rFonts w:ascii="inter" w:hAnsi="inter" w:eastAsia="inter" w:cs="inter"/>
          <w:color w:val="000000"/>
        </w:rPr>
        <w:t>② 手段：建设PLM-ERP-MES一体化架构，导入可重构制造系统和多模态感知融合技术，实现工艺模板化与参数化。</w:t>
      </w:r>
    </w:p>
    <w:p w14:paraId="2E597B10">
      <w:pPr>
        <w:spacing w:after="210" w:line="360" w:lineRule="auto"/>
      </w:pPr>
      <w:r>
        <w:rPr>
          <w:rFonts w:ascii="inter" w:hAnsi="inter" w:eastAsia="inter" w:cs="inter"/>
          <w:color w:val="000000"/>
        </w:rPr>
        <w:t>(3) 阶段三：智慧工厂与自组织生产</w:t>
      </w:r>
      <w:r>
        <w:rPr>
          <w:rFonts w:ascii="inter" w:hAnsi="inter" w:eastAsia="inter" w:cs="inter"/>
          <w:color w:val="000000"/>
        </w:rPr>
        <w:br w:type="textWrapping"/>
      </w:r>
      <w:r>
        <w:rPr>
          <w:rFonts w:ascii="inter" w:hAnsi="inter" w:eastAsia="inter" w:cs="inter"/>
          <w:color w:val="000000"/>
        </w:rPr>
        <w:t>① 目标：在某种程度上实现订单驱动、自优化的自组织生产系统，使产能、工艺与资源配置通过算法与规则自动匹配。</w:t>
      </w:r>
      <w:r>
        <w:rPr>
          <w:rFonts w:ascii="inter" w:hAnsi="inter" w:eastAsia="inter" w:cs="inter"/>
          <w:color w:val="000000"/>
        </w:rPr>
        <w:br w:type="textWrapping"/>
      </w:r>
      <w:r>
        <w:rPr>
          <w:rFonts w:ascii="inter" w:hAnsi="inter" w:eastAsia="inter" w:cs="inter"/>
          <w:color w:val="000000"/>
        </w:rPr>
        <w:t>② 手段：构建数字孪生工厂、应用边缘计算与云平台、引入自适应迭代控制与智能调度，部分参考Fraunhofer“自组织生产”相关案例。</w:t>
      </w:r>
      <w:bookmarkStart w:id="36" w:name="fnref8_1"/>
      <w:bookmarkEnd w:id="36"/>
      <w:r>
        <w:fldChar w:fldCharType="begin"/>
      </w:r>
      <w:r>
        <w:instrText xml:space="preserve"> HYPERLINK \l "fn8" \h </w:instrText>
      </w:r>
      <w:r>
        <w:fldChar w:fldCharType="separate"/>
      </w:r>
      <w:r>
        <w:rPr>
          <w:rFonts w:ascii="inter" w:hAnsi="inter" w:eastAsia="inter" w:cs="inter"/>
          <w:color w:val="000000"/>
          <w:u w:val="single"/>
          <w:vertAlign w:val="superscript"/>
        </w:rPr>
        <w:t>[8]</w:t>
      </w:r>
      <w:r>
        <w:rPr>
          <w:rFonts w:ascii="inter" w:hAnsi="inter" w:eastAsia="inter" w:cs="inter"/>
          <w:color w:val="000000"/>
          <w:u w:val="single"/>
          <w:vertAlign w:val="superscript"/>
        </w:rPr>
        <w:fldChar w:fldCharType="end"/>
      </w:r>
      <w:bookmarkStart w:id="37" w:name="fnref7_2"/>
      <w:bookmarkEnd w:id="37"/>
      <w:r>
        <w:fldChar w:fldCharType="begin"/>
      </w:r>
      <w:r>
        <w:instrText xml:space="preserve"> HYPERLINK \l "fn7" \h </w:instrText>
      </w:r>
      <w:r>
        <w:fldChar w:fldCharType="separate"/>
      </w:r>
      <w:r>
        <w:rPr>
          <w:rFonts w:ascii="inter" w:hAnsi="inter" w:eastAsia="inter" w:cs="inter"/>
          <w:color w:val="000000"/>
          <w:u w:val="single"/>
          <w:vertAlign w:val="superscript"/>
        </w:rPr>
        <w:t>[7]</w:t>
      </w:r>
      <w:r>
        <w:rPr>
          <w:rFonts w:ascii="inter" w:hAnsi="inter" w:eastAsia="inter" w:cs="inter"/>
          <w:color w:val="000000"/>
          <w:u w:val="single"/>
          <w:vertAlign w:val="superscript"/>
        </w:rPr>
        <w:fldChar w:fldCharType="end"/>
      </w:r>
    </w:p>
    <w:p w14:paraId="104D4549">
      <w:pPr>
        <w:spacing w:after="210" w:line="360" w:lineRule="auto"/>
        <w:ind w:left="630"/>
      </w:pPr>
      <w:r>
        <w:rPr>
          <w:rFonts w:ascii="inter" w:hAnsi="inter" w:eastAsia="inter" w:cs="inter"/>
          <w:color w:val="000000"/>
        </w:rPr>
        <w:t>图1：单件小批离散制造自动化三阶段演进路线图（文字示意，可在Word中用SmartArt或流程图实现）</w:t>
      </w:r>
    </w:p>
    <w:p w14:paraId="72E91845">
      <w:pPr>
        <w:numPr>
          <w:ilvl w:val="0"/>
          <w:numId w:val="17"/>
        </w:numPr>
        <w:spacing w:before="105" w:after="105" w:line="360" w:lineRule="auto"/>
      </w:pPr>
      <w:r>
        <w:rPr>
          <w:rFonts w:ascii="inter" w:hAnsi="inter" w:eastAsia="inter" w:cs="inter"/>
          <w:color w:val="000000"/>
          <w:sz w:val="21"/>
        </w:rPr>
        <w:t>分解式实施路线表（表3）</w:t>
      </w:r>
    </w:p>
    <w:p w14:paraId="74AC7FB1">
      <w:pPr>
        <w:spacing w:after="210" w:line="360" w:lineRule="auto"/>
        <w:ind w:left="630"/>
      </w:pPr>
      <w:r>
        <w:rPr>
          <w:rFonts w:ascii="inter" w:hAnsi="inter" w:eastAsia="inter" w:cs="inter"/>
          <w:color w:val="000000"/>
        </w:rPr>
        <w:t>表3 单件小批自动化实施路线分解示意</w:t>
      </w:r>
    </w:p>
    <w:tbl>
      <w:tblPr>
        <w:tblStyle w:val="5"/>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805"/>
        <w:gridCol w:w="1884"/>
        <w:gridCol w:w="3697"/>
        <w:gridCol w:w="3454"/>
      </w:tblGrid>
      <w:tr w14:paraId="371811F9">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33A7042A">
            <w:pPr>
              <w:spacing w:after="0" w:line="360" w:lineRule="auto"/>
            </w:pPr>
            <w:r>
              <w:rPr>
                <w:rFonts w:ascii="inter" w:hAnsi="inter" w:eastAsia="inter" w:cs="inter"/>
                <w:color w:val="000000"/>
                <w:sz w:val="17"/>
              </w:rPr>
              <w:t>阶段</w:t>
            </w:r>
          </w:p>
        </w:tc>
        <w:tc>
          <w:tcPr>
            <w:tcBorders>
              <w:top w:val="single" w:color="000000" w:sz="0" w:space="0"/>
              <w:bottom w:val="single" w:color="000000" w:sz="0" w:space="0"/>
              <w:right w:val="single" w:color="000000" w:sz="0" w:space="0"/>
            </w:tcBorders>
          </w:tcPr>
          <w:p w14:paraId="1B6B811A">
            <w:pPr>
              <w:spacing w:after="0" w:line="360" w:lineRule="auto"/>
            </w:pPr>
            <w:r>
              <w:rPr>
                <w:rFonts w:ascii="inter" w:hAnsi="inter" w:eastAsia="inter" w:cs="inter"/>
                <w:color w:val="000000"/>
                <w:sz w:val="17"/>
              </w:rPr>
              <w:t>关键里程碑</w:t>
            </w:r>
          </w:p>
        </w:tc>
        <w:tc>
          <w:tcPr>
            <w:tcBorders>
              <w:top w:val="single" w:color="000000" w:sz="0" w:space="0"/>
              <w:bottom w:val="single" w:color="000000" w:sz="0" w:space="0"/>
              <w:right w:val="single" w:color="000000" w:sz="0" w:space="0"/>
            </w:tcBorders>
          </w:tcPr>
          <w:p w14:paraId="4F70C7C4">
            <w:pPr>
              <w:spacing w:after="0" w:line="360" w:lineRule="auto"/>
            </w:pPr>
            <w:r>
              <w:rPr>
                <w:rFonts w:ascii="inter" w:hAnsi="inter" w:eastAsia="inter" w:cs="inter"/>
                <w:color w:val="000000"/>
                <w:sz w:val="17"/>
              </w:rPr>
              <w:t>主要技术内容</w:t>
            </w:r>
          </w:p>
        </w:tc>
        <w:tc>
          <w:tcPr>
            <w:tcBorders>
              <w:top w:val="single" w:color="000000" w:sz="0" w:space="0"/>
              <w:bottom w:val="single" w:color="000000" w:sz="0" w:space="0"/>
            </w:tcBorders>
          </w:tcPr>
          <w:p w14:paraId="7111333C">
            <w:pPr>
              <w:spacing w:after="0" w:line="360" w:lineRule="auto"/>
            </w:pPr>
            <w:r>
              <w:rPr>
                <w:rFonts w:ascii="inter" w:hAnsi="inter" w:eastAsia="inter" w:cs="inter"/>
                <w:color w:val="000000"/>
                <w:sz w:val="17"/>
              </w:rPr>
              <w:t>组织与能力建设要点</w:t>
            </w:r>
          </w:p>
        </w:tc>
      </w:tr>
      <w:tr w14:paraId="33075EBD">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2EA5DB1C">
            <w:pPr>
              <w:spacing w:after="0" w:line="360" w:lineRule="auto"/>
            </w:pPr>
            <w:r>
              <w:rPr>
                <w:rFonts w:ascii="inter" w:hAnsi="inter" w:eastAsia="inter" w:cs="inter"/>
                <w:color w:val="000000"/>
                <w:sz w:val="17"/>
              </w:rPr>
              <w:t>阶段一</w:t>
            </w:r>
          </w:p>
        </w:tc>
        <w:tc>
          <w:tcPr>
            <w:tcBorders>
              <w:top w:val="single" w:color="000000" w:sz="0" w:space="0"/>
              <w:bottom w:val="single" w:color="000000" w:sz="0" w:space="0"/>
              <w:right w:val="single" w:color="000000" w:sz="0" w:space="0"/>
            </w:tcBorders>
          </w:tcPr>
          <w:p w14:paraId="05006232">
            <w:pPr>
              <w:spacing w:after="0" w:line="360" w:lineRule="auto"/>
            </w:pPr>
            <w:r>
              <w:rPr>
                <w:rFonts w:ascii="inter" w:hAnsi="inter" w:eastAsia="inter" w:cs="inter"/>
                <w:color w:val="000000"/>
                <w:sz w:val="17"/>
              </w:rPr>
              <w:t>设备联网与数据可视</w:t>
            </w:r>
          </w:p>
        </w:tc>
        <w:tc>
          <w:tcPr>
            <w:tcBorders>
              <w:top w:val="single" w:color="000000" w:sz="0" w:space="0"/>
              <w:bottom w:val="single" w:color="000000" w:sz="0" w:space="0"/>
              <w:right w:val="single" w:color="000000" w:sz="0" w:space="0"/>
            </w:tcBorders>
          </w:tcPr>
          <w:p w14:paraId="50D4095A">
            <w:pPr>
              <w:spacing w:after="0" w:line="360" w:lineRule="auto"/>
            </w:pPr>
            <w:r>
              <w:rPr>
                <w:rFonts w:ascii="inter" w:hAnsi="inter" w:eastAsia="inter" w:cs="inter"/>
                <w:color w:val="000000"/>
                <w:sz w:val="17"/>
              </w:rPr>
              <w:t>机联网、基础传感器、简单自动化单元</w:t>
            </w:r>
          </w:p>
        </w:tc>
        <w:tc>
          <w:tcPr>
            <w:tcBorders>
              <w:top w:val="single" w:color="000000" w:sz="0" w:space="0"/>
              <w:bottom w:val="single" w:color="000000" w:sz="0" w:space="0"/>
            </w:tcBorders>
          </w:tcPr>
          <w:p w14:paraId="1AE990ED">
            <w:pPr>
              <w:spacing w:after="0" w:line="360" w:lineRule="auto"/>
            </w:pPr>
            <w:r>
              <w:rPr>
                <w:rFonts w:ascii="inter" w:hAnsi="inter" w:eastAsia="inter" w:cs="inter"/>
                <w:color w:val="000000"/>
                <w:sz w:val="17"/>
              </w:rPr>
              <w:t>建立跨部门自动化小组，梳理流程与数据字典</w:t>
            </w:r>
          </w:p>
        </w:tc>
      </w:tr>
      <w:tr w14:paraId="1083EA15">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70339DAA">
            <w:pPr>
              <w:spacing w:after="0" w:line="360" w:lineRule="auto"/>
            </w:pPr>
            <w:r>
              <w:rPr>
                <w:rFonts w:ascii="inter" w:hAnsi="inter" w:eastAsia="inter" w:cs="inter"/>
                <w:color w:val="000000"/>
                <w:sz w:val="17"/>
              </w:rPr>
              <w:t>阶段二</w:t>
            </w:r>
          </w:p>
        </w:tc>
        <w:tc>
          <w:tcPr>
            <w:tcBorders>
              <w:top w:val="single" w:color="000000" w:sz="0" w:space="0"/>
              <w:bottom w:val="single" w:color="000000" w:sz="0" w:space="0"/>
              <w:right w:val="single" w:color="000000" w:sz="0" w:space="0"/>
            </w:tcBorders>
          </w:tcPr>
          <w:p w14:paraId="27088509">
            <w:pPr>
              <w:spacing w:after="0" w:line="360" w:lineRule="auto"/>
            </w:pPr>
            <w:r>
              <w:rPr>
                <w:rFonts w:ascii="inter" w:hAnsi="inter" w:eastAsia="inter" w:cs="inter"/>
                <w:color w:val="000000"/>
                <w:sz w:val="17"/>
              </w:rPr>
              <w:t>柔性单元与数字主线</w:t>
            </w:r>
          </w:p>
        </w:tc>
        <w:tc>
          <w:tcPr>
            <w:tcBorders>
              <w:top w:val="single" w:color="000000" w:sz="0" w:space="0"/>
              <w:bottom w:val="single" w:color="000000" w:sz="0" w:space="0"/>
              <w:right w:val="single" w:color="000000" w:sz="0" w:space="0"/>
            </w:tcBorders>
          </w:tcPr>
          <w:p w14:paraId="150DEE5E">
            <w:pPr>
              <w:spacing w:after="0" w:line="360" w:lineRule="auto"/>
            </w:pPr>
            <w:r>
              <w:rPr>
                <w:rFonts w:ascii="inter" w:hAnsi="inter" w:eastAsia="inter" w:cs="inter"/>
                <w:color w:val="000000"/>
                <w:sz w:val="17"/>
              </w:rPr>
              <w:t>PLM-MES集成、多模态感知、可重构工艺单元</w:t>
            </w:r>
          </w:p>
        </w:tc>
        <w:tc>
          <w:tcPr>
            <w:tcBorders>
              <w:top w:val="single" w:color="000000" w:sz="0" w:space="0"/>
              <w:bottom w:val="single" w:color="000000" w:sz="0" w:space="0"/>
            </w:tcBorders>
          </w:tcPr>
          <w:p w14:paraId="720DA7BE">
            <w:pPr>
              <w:spacing w:after="0" w:line="360" w:lineRule="auto"/>
            </w:pPr>
            <w:r>
              <w:rPr>
                <w:rFonts w:ascii="inter" w:hAnsi="inter" w:eastAsia="inter" w:cs="inter"/>
                <w:color w:val="000000"/>
                <w:sz w:val="17"/>
              </w:rPr>
              <w:t>建立工艺数字化团队与系统工程能力</w:t>
            </w:r>
          </w:p>
        </w:tc>
      </w:tr>
      <w:tr w14:paraId="085CCF2A">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443012B8">
            <w:pPr>
              <w:spacing w:after="0" w:line="360" w:lineRule="auto"/>
            </w:pPr>
            <w:r>
              <w:rPr>
                <w:rFonts w:ascii="inter" w:hAnsi="inter" w:eastAsia="inter" w:cs="inter"/>
                <w:color w:val="000000"/>
                <w:sz w:val="17"/>
              </w:rPr>
              <w:t>阶段三</w:t>
            </w:r>
          </w:p>
        </w:tc>
        <w:tc>
          <w:tcPr>
            <w:tcBorders>
              <w:top w:val="single" w:color="000000" w:sz="0" w:space="0"/>
              <w:bottom w:val="single" w:color="000000" w:sz="0" w:space="0"/>
              <w:right w:val="single" w:color="000000" w:sz="0" w:space="0"/>
            </w:tcBorders>
          </w:tcPr>
          <w:p w14:paraId="1A00E9B5">
            <w:pPr>
              <w:spacing w:after="0" w:line="360" w:lineRule="auto"/>
            </w:pPr>
            <w:r>
              <w:rPr>
                <w:rFonts w:ascii="inter" w:hAnsi="inter" w:eastAsia="inter" w:cs="inter"/>
                <w:color w:val="000000"/>
                <w:sz w:val="17"/>
              </w:rPr>
              <w:t>智慧工厂与自组织生产</w:t>
            </w:r>
          </w:p>
        </w:tc>
        <w:tc>
          <w:tcPr>
            <w:tcBorders>
              <w:top w:val="single" w:color="000000" w:sz="0" w:space="0"/>
              <w:bottom w:val="single" w:color="000000" w:sz="0" w:space="0"/>
              <w:right w:val="single" w:color="000000" w:sz="0" w:space="0"/>
            </w:tcBorders>
          </w:tcPr>
          <w:p w14:paraId="05ED9A79">
            <w:pPr>
              <w:spacing w:after="0" w:line="360" w:lineRule="auto"/>
            </w:pPr>
            <w:r>
              <w:rPr>
                <w:rFonts w:ascii="inter" w:hAnsi="inter" w:eastAsia="inter" w:cs="inter"/>
                <w:color w:val="000000"/>
                <w:sz w:val="17"/>
              </w:rPr>
              <w:t>数字孪生、算法调度、自适应迭代控制</w:t>
            </w:r>
          </w:p>
        </w:tc>
        <w:tc>
          <w:tcPr>
            <w:tcBorders>
              <w:top w:val="single" w:color="000000" w:sz="0" w:space="0"/>
              <w:bottom w:val="single" w:color="000000" w:sz="0" w:space="0"/>
            </w:tcBorders>
          </w:tcPr>
          <w:p w14:paraId="6F269769">
            <w:pPr>
              <w:spacing w:after="0" w:line="360" w:lineRule="auto"/>
            </w:pPr>
            <w:r>
              <w:rPr>
                <w:rFonts w:ascii="inter" w:hAnsi="inter" w:eastAsia="inter" w:cs="inter"/>
                <w:color w:val="000000"/>
                <w:sz w:val="17"/>
              </w:rPr>
              <w:t>建立数据科学与运营优化团队</w:t>
            </w:r>
          </w:p>
        </w:tc>
      </w:tr>
    </w:tbl>
    <w:p w14:paraId="1CEC773A"/>
    <w:p w14:paraId="1ADFB37B">
      <w:pPr>
        <w:spacing w:before="315" w:after="105" w:line="360" w:lineRule="auto"/>
        <w:ind w:left="-30"/>
        <w:jc w:val="left"/>
      </w:pPr>
      <w:bookmarkStart w:id="38" w:name="二_方案级_优势_与_局限"/>
      <w:r>
        <w:rPr>
          <w:rFonts w:ascii="inter" w:hAnsi="inter" w:eastAsia="inter" w:cs="inter"/>
          <w:b/>
          <w:color w:val="000000"/>
          <w:sz w:val="24"/>
        </w:rPr>
        <w:t>(二) 方案级“优势”与“局限”</w:t>
      </w:r>
      <w:bookmarkEnd w:id="38"/>
    </w:p>
    <w:p w14:paraId="271B471A">
      <w:pPr>
        <w:numPr>
          <w:ilvl w:val="0"/>
          <w:numId w:val="18"/>
        </w:numPr>
        <w:spacing w:before="105" w:after="105" w:line="360" w:lineRule="auto"/>
      </w:pPr>
      <w:r>
        <w:rPr>
          <w:rFonts w:ascii="inter" w:hAnsi="inter" w:eastAsia="inter" w:cs="inter"/>
          <w:color w:val="000000"/>
          <w:sz w:val="21"/>
        </w:rPr>
        <w:t>渐进式实施策略</w:t>
      </w:r>
    </w:p>
    <w:p w14:paraId="415ABFA0">
      <w:pPr>
        <w:spacing w:after="210" w:line="360" w:lineRule="auto"/>
      </w:pPr>
      <w:r>
        <w:rPr>
          <w:rFonts w:ascii="inter" w:hAnsi="inter" w:eastAsia="inter" w:cs="inter"/>
          <w:color w:val="000000"/>
        </w:rPr>
        <w:t>(1) 优势</w:t>
      </w:r>
      <w:r>
        <w:rPr>
          <w:rFonts w:ascii="inter" w:hAnsi="inter" w:eastAsia="inter" w:cs="inter"/>
          <w:color w:val="000000"/>
        </w:rPr>
        <w:br w:type="textWrapping"/>
      </w:r>
      <w:r>
        <w:rPr>
          <w:rFonts w:ascii="inter" w:hAnsi="inter" w:eastAsia="inter" w:cs="inter"/>
          <w:color w:val="000000"/>
        </w:rPr>
        <w:t>① 渐进式路线通常可以在某种程度上降低一次性投资压力，有助于缓解企业短期投资意愿弱的问题。</w:t>
      </w:r>
      <w:r>
        <w:rPr>
          <w:rFonts w:ascii="inter" w:hAnsi="inter" w:eastAsia="inter" w:cs="inter"/>
          <w:color w:val="000000"/>
        </w:rPr>
        <w:br w:type="textWrapping"/>
      </w:r>
      <w:r>
        <w:rPr>
          <w:rFonts w:ascii="inter" w:hAnsi="inter" w:eastAsia="inter" w:cs="inter"/>
          <w:color w:val="000000"/>
        </w:rPr>
        <w:t>② 每一阶段均可形成可度量的收益与能力积累，便于向政府专项、金融机构展示项目成效。</w:t>
      </w:r>
    </w:p>
    <w:p w14:paraId="25E372CF">
      <w:pPr>
        <w:spacing w:after="210" w:line="360" w:lineRule="auto"/>
      </w:pPr>
      <w:r>
        <w:rPr>
          <w:rFonts w:ascii="inter" w:hAnsi="inter" w:eastAsia="inter" w:cs="inter"/>
          <w:color w:val="000000"/>
        </w:rPr>
        <w:t>(2) 潜在局限</w:t>
      </w:r>
      <w:r>
        <w:rPr>
          <w:rFonts w:ascii="inter" w:hAnsi="inter" w:eastAsia="inter" w:cs="inter"/>
          <w:color w:val="000000"/>
        </w:rPr>
        <w:br w:type="textWrapping"/>
      </w:r>
      <w:r>
        <w:rPr>
          <w:rFonts w:ascii="inter" w:hAnsi="inter" w:eastAsia="inter" w:cs="inter"/>
          <w:color w:val="000000"/>
        </w:rPr>
        <w:t>① 项目周期拉长可能带来技术迭代风险，部分早期系统在后期整合时可能面临兼容性问题。</w:t>
      </w:r>
      <w:r>
        <w:rPr>
          <w:rFonts w:ascii="inter" w:hAnsi="inter" w:eastAsia="inter" w:cs="inter"/>
          <w:color w:val="000000"/>
        </w:rPr>
        <w:br w:type="textWrapping"/>
      </w:r>
      <w:r>
        <w:rPr>
          <w:rFonts w:ascii="inter" w:hAnsi="inter" w:eastAsia="inter" w:cs="inter"/>
          <w:color w:val="000000"/>
        </w:rPr>
        <w:t>② 对总体架构设计能力要求较高，如前期未明确数字主线与异构系统集成策略，后续整合成本可能显著上升。</w:t>
      </w:r>
    </w:p>
    <w:p w14:paraId="102FFA6F">
      <w:pPr>
        <w:spacing w:before="210" w:after="0" w:line="360" w:lineRule="auto"/>
      </w:pPr>
      <w:r>
        <w:pict>
          <v:rect id="_x0000_s1033" o:spid="_x0000_s1033" o:spt="1" style="height:0.05pt;width:475.5pt;" coordsize="21600,21600">
            <v:path/>
            <v:fill focussize="0,0"/>
            <v:stroke weight="1pt" color="#000000" opacity="0f"/>
            <v:imagedata o:title=""/>
            <o:lock v:ext="edit"/>
            <w10:wrap type="none"/>
            <w10:anchorlock/>
          </v:rect>
        </w:pict>
      </w:r>
    </w:p>
    <w:p w14:paraId="12667725">
      <w:pPr>
        <w:spacing w:before="315" w:after="105" w:line="360" w:lineRule="auto"/>
        <w:ind w:left="-30"/>
        <w:jc w:val="left"/>
      </w:pPr>
      <w:bookmarkStart w:id="39" w:name="六_案例与国际经验"/>
      <w:r>
        <w:rPr>
          <w:rFonts w:ascii="inter" w:hAnsi="inter" w:eastAsia="inter" w:cs="inter"/>
          <w:b/>
          <w:color w:val="000000"/>
          <w:sz w:val="24"/>
        </w:rPr>
        <w:t>六、案例与国际经验</w:t>
      </w:r>
      <w:bookmarkEnd w:id="39"/>
    </w:p>
    <w:p w14:paraId="1B485B50">
      <w:pPr>
        <w:spacing w:before="315" w:after="105" w:line="360" w:lineRule="auto"/>
        <w:ind w:left="-30"/>
        <w:jc w:val="left"/>
      </w:pPr>
      <w:bookmarkStart w:id="40" w:name="一_某欧洲顶尖研究机构的试验工厂案例"/>
      <w:r>
        <w:rPr>
          <w:rFonts w:ascii="inter" w:hAnsi="inter" w:eastAsia="inter" w:cs="inter"/>
          <w:b/>
          <w:color w:val="000000"/>
          <w:sz w:val="24"/>
        </w:rPr>
        <w:t>(一) 某欧洲顶尖研究机构的试验工厂案例</w:t>
      </w:r>
      <w:bookmarkEnd w:id="40"/>
    </w:p>
    <w:p w14:paraId="596D6178">
      <w:pPr>
        <w:numPr>
          <w:ilvl w:val="0"/>
          <w:numId w:val="19"/>
        </w:numPr>
        <w:spacing w:before="105" w:after="105" w:line="360" w:lineRule="auto"/>
      </w:pPr>
      <w:r>
        <w:rPr>
          <w:rFonts w:ascii="inter" w:hAnsi="inter" w:eastAsia="inter" w:cs="inter"/>
          <w:color w:val="000000"/>
          <w:sz w:val="21"/>
        </w:rPr>
        <w:t>成功要素（基于未公开详尽数据的综合描述）</w:t>
      </w:r>
    </w:p>
    <w:p w14:paraId="02836E46">
      <w:pPr>
        <w:spacing w:after="210" w:line="360" w:lineRule="auto"/>
      </w:pPr>
      <w:r>
        <w:rPr>
          <w:rFonts w:ascii="inter" w:hAnsi="inter" w:eastAsia="inter" w:cs="inter"/>
          <w:color w:val="000000"/>
        </w:rPr>
        <w:t>(1) 根据某欧洲顶尖研究机构的内部试验工厂项目（参考Fraunhofer等机构“自组织生产”和Smart Factory Web思路），其在单件小批高端装备组件制造方面，通过以下做法在某种程度上获得显著成效：</w:t>
      </w:r>
    </w:p>
    <w:p w14:paraId="0E1998C6">
      <w:pPr>
        <w:numPr>
          <w:ilvl w:val="0"/>
          <w:numId w:val="20"/>
        </w:numPr>
        <w:spacing w:before="105" w:after="105" w:line="360" w:lineRule="auto"/>
      </w:pPr>
      <w:r>
        <w:rPr>
          <w:rFonts w:ascii="inter" w:hAnsi="inter" w:eastAsia="inter" w:cs="inter"/>
          <w:color w:val="000000"/>
          <w:sz w:val="21"/>
        </w:rPr>
        <w:t>构建标准化的模块化工艺单元，并在控制层采用服务化架构，使工序以“服务”方式对上层调度系统开放。</w:t>
      </w:r>
    </w:p>
    <w:p w14:paraId="52FC1C0E">
      <w:pPr>
        <w:numPr>
          <w:ilvl w:val="0"/>
          <w:numId w:val="20"/>
        </w:numPr>
        <w:spacing w:before="105" w:after="105" w:line="360" w:lineRule="auto"/>
      </w:pPr>
      <w:r>
        <w:rPr>
          <w:rFonts w:ascii="inter" w:hAnsi="inter" w:eastAsia="inter" w:cs="inter"/>
          <w:color w:val="000000"/>
          <w:sz w:val="21"/>
        </w:rPr>
        <w:t>深度应用数字孪生和虚拟调试，将大部分工艺验证与节拍优化前移至虚拟环境，在真实车间仅做有限范围的校准。</w:t>
      </w:r>
    </w:p>
    <w:p w14:paraId="6CD28C87">
      <w:pPr>
        <w:spacing w:after="210" w:line="360" w:lineRule="auto"/>
      </w:pPr>
      <w:r>
        <w:rPr>
          <w:rFonts w:ascii="inter" w:hAnsi="inter" w:eastAsia="inter" w:cs="inter"/>
          <w:color w:val="000000"/>
        </w:rPr>
        <w:t>(2) 据项目相关公开报道，该类试验工厂在订单组合频繁变化情形下，仍能维持相对稳定的交付能力与资源利用率，但具体数值因数据未完全公开，有待后续进一步验证与量化。</w:t>
      </w:r>
      <w:r>
        <w:rPr>
          <w:rFonts w:ascii="inter" w:hAnsi="inter" w:eastAsia="inter" w:cs="inter"/>
          <w:i/>
          <w:color w:val="000000"/>
        </w:rPr>
        <w:t>[参考Fraunhofer IOSB Smart Factory Web 等项目公开材料]</w:t>
      </w:r>
      <w:bookmarkStart w:id="41" w:name="fnref7_3"/>
      <w:bookmarkEnd w:id="41"/>
      <w:r>
        <w:fldChar w:fldCharType="begin"/>
      </w:r>
      <w:r>
        <w:instrText xml:space="preserve"> HYPERLINK \l "fn7" \h </w:instrText>
      </w:r>
      <w:r>
        <w:fldChar w:fldCharType="separate"/>
      </w:r>
      <w:r>
        <w:rPr>
          <w:rFonts w:ascii="inter" w:hAnsi="inter" w:eastAsia="inter" w:cs="inter"/>
          <w:color w:val="000000"/>
          <w:u w:val="single"/>
          <w:vertAlign w:val="superscript"/>
        </w:rPr>
        <w:t>[7]</w:t>
      </w:r>
      <w:r>
        <w:rPr>
          <w:rFonts w:ascii="inter" w:hAnsi="inter" w:eastAsia="inter" w:cs="inter"/>
          <w:color w:val="000000"/>
          <w:u w:val="single"/>
          <w:vertAlign w:val="superscript"/>
        </w:rPr>
        <w:fldChar w:fldCharType="end"/>
      </w:r>
    </w:p>
    <w:p w14:paraId="00D50982">
      <w:pPr>
        <w:numPr>
          <w:ilvl w:val="0"/>
          <w:numId w:val="21"/>
        </w:numPr>
        <w:spacing w:before="105" w:after="105" w:line="360" w:lineRule="auto"/>
      </w:pPr>
      <w:r>
        <w:rPr>
          <w:rFonts w:ascii="inter" w:hAnsi="inter" w:eastAsia="inter" w:cs="inter"/>
          <w:color w:val="000000"/>
          <w:sz w:val="21"/>
        </w:rPr>
        <w:t>适用条件与局限</w:t>
      </w:r>
    </w:p>
    <w:p w14:paraId="3F922BA2">
      <w:pPr>
        <w:spacing w:after="210" w:line="360" w:lineRule="auto"/>
      </w:pPr>
      <w:r>
        <w:rPr>
          <w:rFonts w:ascii="inter" w:hAnsi="inter" w:eastAsia="inter" w:cs="inter"/>
          <w:color w:val="000000"/>
        </w:rPr>
        <w:t>(1) 优势</w:t>
      </w:r>
      <w:r>
        <w:rPr>
          <w:rFonts w:ascii="inter" w:hAnsi="inter" w:eastAsia="inter" w:cs="inter"/>
          <w:color w:val="000000"/>
        </w:rPr>
        <w:br w:type="textWrapping"/>
      </w:r>
      <w:r>
        <w:rPr>
          <w:rFonts w:ascii="inter" w:hAnsi="inter" w:eastAsia="inter" w:cs="inter"/>
          <w:color w:val="000000"/>
        </w:rPr>
        <w:t>① 为单件小批离散制造提供了“平台化工厂”的技术范式，即将产线升级为可配置、可重构的产能平台，而非固定产品线。</w:t>
      </w:r>
      <w:r>
        <w:rPr>
          <w:rFonts w:ascii="inter" w:hAnsi="inter" w:eastAsia="inter" w:cs="inter"/>
          <w:color w:val="000000"/>
        </w:rPr>
        <w:br w:type="textWrapping"/>
      </w:r>
      <w:r>
        <w:rPr>
          <w:rFonts w:ascii="inter" w:hAnsi="inter" w:eastAsia="inter" w:cs="inter"/>
          <w:color w:val="000000"/>
        </w:rPr>
        <w:t>② 在一定程度上验证了“自组织生产”“产能市场化匹配”等先进概念，为中国企业探索面向生态的产能共享与外协协同提供了思路。</w:t>
      </w:r>
    </w:p>
    <w:p w14:paraId="21966332">
      <w:pPr>
        <w:spacing w:after="210" w:line="360" w:lineRule="auto"/>
      </w:pPr>
      <w:r>
        <w:rPr>
          <w:rFonts w:ascii="inter" w:hAnsi="inter" w:eastAsia="inter" w:cs="inter"/>
          <w:color w:val="000000"/>
        </w:rPr>
        <w:t>(2) 局限</w:t>
      </w:r>
      <w:r>
        <w:rPr>
          <w:rFonts w:ascii="inter" w:hAnsi="inter" w:eastAsia="inter" w:cs="inter"/>
          <w:color w:val="000000"/>
        </w:rPr>
        <w:br w:type="textWrapping"/>
      </w:r>
      <w:r>
        <w:rPr>
          <w:rFonts w:ascii="inter" w:hAnsi="inter" w:eastAsia="inter" w:cs="inter"/>
          <w:color w:val="000000"/>
        </w:rPr>
        <w:t>① 该类试验工厂通常依托强大的研究机构与多方联合资金支持，在工程团队与数据基础方面的条件优于多数一般企业。</w:t>
      </w:r>
      <w:r>
        <w:rPr>
          <w:rFonts w:ascii="inter" w:hAnsi="inter" w:eastAsia="inter" w:cs="inter"/>
          <w:color w:val="000000"/>
        </w:rPr>
        <w:br w:type="textWrapping"/>
      </w:r>
      <w:r>
        <w:rPr>
          <w:rFonts w:ascii="inter" w:hAnsi="inter" w:eastAsia="inter" w:cs="inter"/>
          <w:color w:val="000000"/>
        </w:rPr>
        <w:t>② 对于尚未完成基础数字化和自动化的企业，直接复制上述模式存在较大风险，建议考虑先行小范围试点，再逐步扩展。</w:t>
      </w:r>
    </w:p>
    <w:p w14:paraId="11BCF2B1">
      <w:pPr>
        <w:spacing w:before="210" w:after="0" w:line="360" w:lineRule="auto"/>
      </w:pPr>
      <w:r>
        <w:pict>
          <v:rect id="_x0000_s1034" o:spid="_x0000_s1034" o:spt="1" style="height:0.05pt;width:475.5pt;" coordsize="21600,21600">
            <v:path/>
            <v:fill focussize="0,0"/>
            <v:stroke weight="1pt" color="#000000" opacity="0f"/>
            <v:imagedata o:title=""/>
            <o:lock v:ext="edit"/>
            <w10:wrap type="none"/>
            <w10:anchorlock/>
          </v:rect>
        </w:pict>
      </w:r>
    </w:p>
    <w:p w14:paraId="7509DE7C">
      <w:pPr>
        <w:spacing w:before="315" w:after="105" w:line="360" w:lineRule="auto"/>
        <w:ind w:left="-30"/>
        <w:jc w:val="left"/>
      </w:pPr>
      <w:bookmarkStart w:id="42" w:name="七_swot_分析矩阵_如表4所示"/>
      <w:r>
        <w:rPr>
          <w:rFonts w:ascii="inter" w:hAnsi="inter" w:eastAsia="inter" w:cs="inter"/>
          <w:b/>
          <w:color w:val="000000"/>
          <w:sz w:val="24"/>
        </w:rPr>
        <w:t>七、SWOT 分析矩阵（如表4所示）</w:t>
      </w:r>
      <w:bookmarkEnd w:id="42"/>
    </w:p>
    <w:p w14:paraId="667E8D10">
      <w:pPr>
        <w:spacing w:after="210" w:line="360" w:lineRule="auto"/>
        <w:ind w:left="630"/>
      </w:pPr>
      <w:r>
        <w:rPr>
          <w:rFonts w:ascii="inter" w:hAnsi="inter" w:eastAsia="inter" w:cs="inter"/>
          <w:color w:val="000000"/>
        </w:rPr>
        <w:t>表4 单件小批离散制造自动化的SWOT分析矩阵</w:t>
      </w:r>
    </w:p>
    <w:tbl>
      <w:tblPr>
        <w:tblStyle w:val="5"/>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968"/>
        <w:gridCol w:w="7367"/>
      </w:tblGrid>
      <w:tr w14:paraId="4BAF77D4">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0117400A">
            <w:pPr>
              <w:spacing w:after="0" w:line="360" w:lineRule="auto"/>
            </w:pPr>
            <w:r>
              <w:rPr>
                <w:rFonts w:ascii="inter" w:hAnsi="inter" w:eastAsia="inter" w:cs="inter"/>
                <w:color w:val="000000"/>
                <w:sz w:val="17"/>
              </w:rPr>
              <w:t>要素</w:t>
            </w:r>
          </w:p>
        </w:tc>
        <w:tc>
          <w:tcPr>
            <w:tcBorders>
              <w:top w:val="single" w:color="000000" w:sz="0" w:space="0"/>
              <w:bottom w:val="single" w:color="000000" w:sz="0" w:space="0"/>
            </w:tcBorders>
          </w:tcPr>
          <w:p w14:paraId="69074DB9">
            <w:pPr>
              <w:spacing w:after="0" w:line="360" w:lineRule="auto"/>
            </w:pPr>
            <w:r>
              <w:rPr>
                <w:rFonts w:ascii="inter" w:hAnsi="inter" w:eastAsia="inter" w:cs="inter"/>
                <w:color w:val="000000"/>
                <w:sz w:val="17"/>
              </w:rPr>
              <w:t>内涵说明</w:t>
            </w:r>
          </w:p>
        </w:tc>
      </w:tr>
      <w:tr w14:paraId="206ED193">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58A0197A">
            <w:pPr>
              <w:spacing w:after="0" w:line="360" w:lineRule="auto"/>
            </w:pPr>
            <w:r>
              <w:rPr>
                <w:rFonts w:ascii="inter" w:hAnsi="inter" w:eastAsia="inter" w:cs="inter"/>
                <w:color w:val="000000"/>
                <w:sz w:val="17"/>
              </w:rPr>
              <w:t>优势(S)</w:t>
            </w:r>
          </w:p>
        </w:tc>
        <w:tc>
          <w:tcPr>
            <w:tcBorders>
              <w:top w:val="single" w:color="000000" w:sz="0" w:space="0"/>
              <w:bottom w:val="single" w:color="000000" w:sz="0" w:space="0"/>
            </w:tcBorders>
          </w:tcPr>
          <w:p w14:paraId="1E9F5AE9">
            <w:pPr>
              <w:spacing w:after="0" w:line="360" w:lineRule="auto"/>
            </w:pPr>
            <w:r>
              <w:rPr>
                <w:rFonts w:ascii="inter" w:hAnsi="inter" w:eastAsia="inter" w:cs="inter"/>
                <w:color w:val="000000"/>
                <w:sz w:val="17"/>
              </w:rPr>
              <w:t>- 有助于提升高附加值定制产品交付能力与质量一致性。</w:t>
            </w:r>
          </w:p>
          <w:p w14:paraId="67E07395">
            <w:pPr>
              <w:spacing w:after="0" w:line="360" w:lineRule="auto"/>
            </w:pPr>
            <w:r>
              <w:rPr>
                <w:rFonts w:ascii="inter" w:hAnsi="inter" w:eastAsia="inter" w:cs="inter"/>
                <w:color w:val="000000"/>
                <w:sz w:val="17"/>
              </w:rPr>
              <w:t>- 可与中国制造2025、工业4.0和SDG 9目标高度契合，利于获得政策与资金支持。</w:t>
            </w:r>
            <w:r>
              <w:fldChar w:fldCharType="begin"/>
            </w:r>
            <w:r>
              <w:instrText xml:space="preserve"> HYPERLINK \l "fn1" \h </w:instrText>
            </w:r>
            <w:r>
              <w:fldChar w:fldCharType="separate"/>
            </w:r>
            <w:r>
              <w:rPr>
                <w:rFonts w:ascii="inter" w:hAnsi="inter" w:eastAsia="inter" w:cs="inter"/>
                <w:color w:val="000000"/>
                <w:sz w:val="17"/>
                <w:u w:val="single"/>
                <w:vertAlign w:val="superscript"/>
              </w:rPr>
              <w:t>[1]</w:t>
            </w:r>
            <w:r>
              <w:rPr>
                <w:rFonts w:ascii="inter" w:hAnsi="inter" w:eastAsia="inter" w:cs="inter"/>
                <w:color w:val="000000"/>
                <w:sz w:val="17"/>
                <w:u w:val="single"/>
                <w:vertAlign w:val="superscript"/>
              </w:rPr>
              <w:fldChar w:fldCharType="end"/>
            </w:r>
            <w:r>
              <w:fldChar w:fldCharType="begin"/>
            </w:r>
            <w:r>
              <w:instrText xml:space="preserve"> HYPERLINK \l "fn2" \h </w:instrText>
            </w:r>
            <w:r>
              <w:fldChar w:fldCharType="separate"/>
            </w:r>
            <w:r>
              <w:rPr>
                <w:rFonts w:ascii="inter" w:hAnsi="inter" w:eastAsia="inter" w:cs="inter"/>
                <w:color w:val="000000"/>
                <w:sz w:val="17"/>
                <w:u w:val="single"/>
                <w:vertAlign w:val="superscript"/>
              </w:rPr>
              <w:t>[2]</w:t>
            </w:r>
            <w:r>
              <w:rPr>
                <w:rFonts w:ascii="inter" w:hAnsi="inter" w:eastAsia="inter" w:cs="inter"/>
                <w:color w:val="000000"/>
                <w:sz w:val="17"/>
                <w:u w:val="single"/>
                <w:vertAlign w:val="superscript"/>
              </w:rPr>
              <w:fldChar w:fldCharType="end"/>
            </w:r>
          </w:p>
        </w:tc>
      </w:tr>
      <w:tr w14:paraId="5684FF9A">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3B66DDBC">
            <w:pPr>
              <w:spacing w:after="0" w:line="360" w:lineRule="auto"/>
            </w:pPr>
            <w:r>
              <w:rPr>
                <w:rFonts w:ascii="inter" w:hAnsi="inter" w:eastAsia="inter" w:cs="inter"/>
                <w:color w:val="000000"/>
                <w:sz w:val="17"/>
              </w:rPr>
              <w:t>劣势(W)</w:t>
            </w:r>
          </w:p>
        </w:tc>
        <w:tc>
          <w:tcPr>
            <w:tcBorders>
              <w:top w:val="single" w:color="000000" w:sz="0" w:space="0"/>
              <w:bottom w:val="single" w:color="000000" w:sz="0" w:space="0"/>
            </w:tcBorders>
          </w:tcPr>
          <w:p w14:paraId="5115EB9B">
            <w:pPr>
              <w:spacing w:after="0" w:line="360" w:lineRule="auto"/>
            </w:pPr>
            <w:r>
              <w:rPr>
                <w:rFonts w:ascii="inter" w:hAnsi="inter" w:eastAsia="inter" w:cs="inter"/>
                <w:color w:val="000000"/>
                <w:sz w:val="17"/>
              </w:rPr>
              <w:t>- 单件小批的复杂性导致自动化方案设计与集成难度较高。</w:t>
            </w:r>
          </w:p>
          <w:p w14:paraId="612BBED3">
            <w:pPr>
              <w:spacing w:after="0" w:line="360" w:lineRule="auto"/>
            </w:pPr>
            <w:r>
              <w:rPr>
                <w:rFonts w:ascii="inter" w:hAnsi="inter" w:eastAsia="inter" w:cs="inter"/>
                <w:color w:val="000000"/>
                <w:sz w:val="17"/>
              </w:rPr>
              <w:t>- 项目初始投入与组织变革压力较大，对中小企业形成一定门槛。</w:t>
            </w:r>
          </w:p>
        </w:tc>
      </w:tr>
      <w:tr w14:paraId="3CFBD84B">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0A279972">
            <w:pPr>
              <w:spacing w:after="0" w:line="360" w:lineRule="auto"/>
            </w:pPr>
            <w:r>
              <w:rPr>
                <w:rFonts w:ascii="inter" w:hAnsi="inter" w:eastAsia="inter" w:cs="inter"/>
                <w:color w:val="000000"/>
                <w:sz w:val="17"/>
              </w:rPr>
              <w:t>机会(O)</w:t>
            </w:r>
          </w:p>
        </w:tc>
        <w:tc>
          <w:tcPr>
            <w:tcBorders>
              <w:top w:val="single" w:color="000000" w:sz="0" w:space="0"/>
              <w:bottom w:val="single" w:color="000000" w:sz="0" w:space="0"/>
            </w:tcBorders>
          </w:tcPr>
          <w:p w14:paraId="3229BC74">
            <w:pPr>
              <w:spacing w:after="0" w:line="360" w:lineRule="auto"/>
            </w:pPr>
            <w:r>
              <w:rPr>
                <w:rFonts w:ascii="inter" w:hAnsi="inter" w:eastAsia="inter" w:cs="inter"/>
                <w:color w:val="000000"/>
                <w:sz w:val="17"/>
              </w:rPr>
              <w:t>- 国家层面推进智能制造试点示范与数字经济发展，为企业实施柔性自动化提供政策窗口。</w:t>
            </w:r>
          </w:p>
          <w:p w14:paraId="682D0486">
            <w:pPr>
              <w:spacing w:after="0" w:line="360" w:lineRule="auto"/>
            </w:pPr>
            <w:r>
              <w:rPr>
                <w:rFonts w:ascii="inter" w:hAnsi="inter" w:eastAsia="inter" w:cs="inter"/>
                <w:color w:val="000000"/>
                <w:sz w:val="17"/>
              </w:rPr>
              <w:t>- 国际产业链重构背景下，高柔性与高响应能力成为重要竞争筹码。</w:t>
            </w:r>
          </w:p>
        </w:tc>
      </w:tr>
      <w:tr w14:paraId="2E8BAF31">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25D7E0AD">
            <w:pPr>
              <w:spacing w:after="0" w:line="360" w:lineRule="auto"/>
            </w:pPr>
            <w:r>
              <w:rPr>
                <w:rFonts w:ascii="inter" w:hAnsi="inter" w:eastAsia="inter" w:cs="inter"/>
                <w:color w:val="000000"/>
                <w:sz w:val="17"/>
              </w:rPr>
              <w:t>威胁(T)</w:t>
            </w:r>
          </w:p>
        </w:tc>
        <w:tc>
          <w:tcPr>
            <w:tcBorders>
              <w:top w:val="single" w:color="000000" w:sz="0" w:space="0"/>
              <w:bottom w:val="single" w:color="000000" w:sz="0" w:space="0"/>
            </w:tcBorders>
          </w:tcPr>
          <w:p w14:paraId="312ACE91">
            <w:pPr>
              <w:spacing w:after="0" w:line="360" w:lineRule="auto"/>
            </w:pPr>
            <w:r>
              <w:rPr>
                <w:rFonts w:ascii="inter" w:hAnsi="inter" w:eastAsia="inter" w:cs="inter"/>
                <w:color w:val="000000"/>
                <w:sz w:val="17"/>
              </w:rPr>
              <w:t>- 技术迭代加快可能导致早期方案过早“技术老化”。</w:t>
            </w:r>
          </w:p>
          <w:p w14:paraId="0F38F9AB">
            <w:pPr>
              <w:spacing w:after="0" w:line="360" w:lineRule="auto"/>
            </w:pPr>
            <w:r>
              <w:rPr>
                <w:rFonts w:ascii="inter" w:hAnsi="inter" w:eastAsia="inter" w:cs="inter"/>
                <w:color w:val="000000"/>
                <w:sz w:val="17"/>
              </w:rPr>
              <w:t>- 对特定技术供应商的依赖可能带来长期技术锁定风险。</w:t>
            </w:r>
          </w:p>
        </w:tc>
      </w:tr>
    </w:tbl>
    <w:p w14:paraId="121A3FE8"/>
    <w:p w14:paraId="681F4F33">
      <w:pPr>
        <w:spacing w:before="210" w:after="0" w:line="360" w:lineRule="auto"/>
      </w:pPr>
      <w:r>
        <w:pict>
          <v:rect id="_x0000_s1035" o:spid="_x0000_s1035" o:spt="1" style="height:0.05pt;width:475.5pt;" coordsize="21600,21600">
            <v:path/>
            <v:fill focussize="0,0"/>
            <v:stroke weight="1pt" color="#000000" opacity="0f"/>
            <v:imagedata o:title=""/>
            <o:lock v:ext="edit"/>
            <w10:wrap type="none"/>
            <w10:anchorlock/>
          </v:rect>
        </w:pict>
      </w:r>
    </w:p>
    <w:p w14:paraId="2F2B799B">
      <w:pPr>
        <w:spacing w:before="315" w:after="105" w:line="360" w:lineRule="auto"/>
        <w:ind w:left="-30"/>
        <w:jc w:val="left"/>
      </w:pPr>
      <w:bookmarkStart w:id="43" w:name="八_与宏观战略框架的对接"/>
      <w:r>
        <w:rPr>
          <w:rFonts w:ascii="inter" w:hAnsi="inter" w:eastAsia="inter" w:cs="inter"/>
          <w:b/>
          <w:color w:val="000000"/>
          <w:sz w:val="24"/>
        </w:rPr>
        <w:t>八、与宏观战略框架的对接</w:t>
      </w:r>
      <w:bookmarkEnd w:id="43"/>
    </w:p>
    <w:p w14:paraId="5E14ABF0">
      <w:pPr>
        <w:spacing w:before="315" w:after="105" w:line="360" w:lineRule="auto"/>
        <w:ind w:left="-30"/>
        <w:jc w:val="left"/>
      </w:pPr>
      <w:bookmarkStart w:id="44" w:name="一_与_中国制造2025_的关联"/>
      <w:r>
        <w:rPr>
          <w:rFonts w:ascii="inter" w:hAnsi="inter" w:eastAsia="inter" w:cs="inter"/>
          <w:b/>
          <w:color w:val="000000"/>
          <w:sz w:val="24"/>
        </w:rPr>
        <w:t>(一) 与“中国制造2025”的关联</w:t>
      </w:r>
      <w:bookmarkEnd w:id="44"/>
    </w:p>
    <w:p w14:paraId="1463E7EC">
      <w:pPr>
        <w:numPr>
          <w:ilvl w:val="0"/>
          <w:numId w:val="22"/>
        </w:numPr>
        <w:spacing w:before="105" w:after="105" w:line="360" w:lineRule="auto"/>
      </w:pPr>
      <w:r>
        <w:rPr>
          <w:rFonts w:ascii="inter" w:hAnsi="inter" w:eastAsia="inter" w:cs="inter"/>
          <w:color w:val="000000"/>
          <w:sz w:val="21"/>
        </w:rPr>
        <w:t>战略对齐</w:t>
      </w:r>
    </w:p>
    <w:p w14:paraId="5364D6BD">
      <w:pPr>
        <w:spacing w:after="210" w:line="360" w:lineRule="auto"/>
      </w:pPr>
      <w:r>
        <w:rPr>
          <w:rFonts w:ascii="inter" w:hAnsi="inter" w:eastAsia="inter" w:cs="inter"/>
          <w:color w:val="000000"/>
        </w:rPr>
        <w:t>(1) “中国制造2025”强调智能制造、绿色制造与高端装备创新等重点方向，单件小批离散制造的柔性自动化建设通常可以被视为实现“质量效益型制造”的重要抓手。</w:t>
      </w:r>
      <w:r>
        <w:rPr>
          <w:rFonts w:ascii="inter" w:hAnsi="inter" w:eastAsia="inter" w:cs="inter"/>
          <w:color w:val="000000"/>
        </w:rPr>
        <w:br w:type="textWrapping"/>
      </w:r>
      <w:r>
        <w:rPr>
          <w:rFonts w:ascii="inter" w:hAnsi="inter" w:eastAsia="inter" w:cs="inter"/>
          <w:color w:val="000000"/>
        </w:rPr>
        <w:t>(2) 政策文件鼓励打造一批智能制造示范工厂和智能制造系统解决方案供应商，单件小批领域的成功实践在某种程度上可能成为行业标杆，为上下游产业链提供示范效应。</w:t>
      </w:r>
    </w:p>
    <w:p w14:paraId="676B3A9C">
      <w:pPr>
        <w:numPr>
          <w:ilvl w:val="0"/>
          <w:numId w:val="23"/>
        </w:numPr>
        <w:spacing w:before="105" w:after="105" w:line="360" w:lineRule="auto"/>
      </w:pPr>
      <w:r>
        <w:rPr>
          <w:rFonts w:ascii="inter" w:hAnsi="inter" w:eastAsia="inter" w:cs="inter"/>
          <w:color w:val="000000"/>
          <w:sz w:val="21"/>
        </w:rPr>
        <w:t>建议考虑的政策协同</w:t>
      </w:r>
    </w:p>
    <w:p w14:paraId="0B4F1223">
      <w:pPr>
        <w:spacing w:after="210" w:line="360" w:lineRule="auto"/>
      </w:pPr>
      <w:r>
        <w:rPr>
          <w:rFonts w:ascii="inter" w:hAnsi="inter" w:eastAsia="inter" w:cs="inter"/>
          <w:color w:val="000000"/>
        </w:rPr>
        <w:t>(1) 建议考虑通过智能制造试点示范、工业互联网平台推广等政策工具，引导企业围绕数字主线与柔性自动化开展分阶段项目规划。</w:t>
      </w:r>
      <w:r>
        <w:rPr>
          <w:rFonts w:ascii="inter" w:hAnsi="inter" w:eastAsia="inter" w:cs="inter"/>
          <w:color w:val="000000"/>
        </w:rPr>
        <w:br w:type="textWrapping"/>
      </w:r>
      <w:r>
        <w:rPr>
          <w:rFonts w:ascii="inter" w:hAnsi="inter" w:eastAsia="inter" w:cs="inter"/>
          <w:color w:val="000000"/>
        </w:rPr>
        <w:t>(2) 对中小企业，可通过公共服务平台和“共享产线”等模式，在某种程度上缓解单个企业投资压力。</w:t>
      </w:r>
    </w:p>
    <w:p w14:paraId="4E55AA73">
      <w:pPr>
        <w:spacing w:before="315" w:after="105" w:line="360" w:lineRule="auto"/>
        <w:ind w:left="-30"/>
        <w:jc w:val="left"/>
      </w:pPr>
      <w:bookmarkStart w:id="45" w:name="二_与_工业4_0_与_智慧工厂_的关联"/>
      <w:r>
        <w:rPr>
          <w:rFonts w:ascii="inter" w:hAnsi="inter" w:eastAsia="inter" w:cs="inter"/>
          <w:b/>
          <w:color w:val="000000"/>
          <w:sz w:val="24"/>
        </w:rPr>
        <w:t>(二) 与“工业4.0”与“智慧工厂”的关联</w:t>
      </w:r>
      <w:bookmarkEnd w:id="45"/>
    </w:p>
    <w:p w14:paraId="0C878C19">
      <w:pPr>
        <w:numPr>
          <w:ilvl w:val="0"/>
          <w:numId w:val="24"/>
        </w:numPr>
        <w:spacing w:before="105" w:after="105" w:line="360" w:lineRule="auto"/>
      </w:pPr>
      <w:r>
        <w:rPr>
          <w:rFonts w:ascii="inter" w:hAnsi="inter" w:eastAsia="inter" w:cs="inter"/>
          <w:color w:val="000000"/>
          <w:sz w:val="21"/>
        </w:rPr>
        <w:t>工业4.0框架下的定位</w:t>
      </w:r>
    </w:p>
    <w:p w14:paraId="5C7670C8">
      <w:pPr>
        <w:spacing w:after="210" w:line="360" w:lineRule="auto"/>
      </w:pPr>
      <w:r>
        <w:rPr>
          <w:rFonts w:ascii="inter" w:hAnsi="inter" w:eastAsia="inter" w:cs="inter"/>
          <w:color w:val="000000"/>
        </w:rPr>
        <w:t>(1) 工业4.0强调通过CPS、物联网和服务化架构构建自组织生产系统，单件小批离散制造的柔性自动化实践可被视为“从自动化走向自优化”的关键环节。</w:t>
      </w:r>
      <w:r>
        <w:rPr>
          <w:rFonts w:ascii="inter" w:hAnsi="inter" w:eastAsia="inter" w:cs="inter"/>
          <w:color w:val="000000"/>
        </w:rPr>
        <w:br w:type="textWrapping"/>
      </w:r>
      <w:r>
        <w:rPr>
          <w:rFonts w:ascii="inter" w:hAnsi="inter" w:eastAsia="inter" w:cs="inter"/>
          <w:color w:val="000000"/>
        </w:rPr>
        <w:t>(2) 据Fraunhofer及德国相关机构研究，面向未来的智慧工厂特别强调“灵活性、可重构性与资源效率”，与单件小批场景的需求高度吻合。</w:t>
      </w:r>
      <w:bookmarkStart w:id="46" w:name="fnref8_2"/>
      <w:bookmarkEnd w:id="46"/>
      <w:r>
        <w:fldChar w:fldCharType="begin"/>
      </w:r>
      <w:r>
        <w:instrText xml:space="preserve"> HYPERLINK \l "fn8" \h </w:instrText>
      </w:r>
      <w:r>
        <w:fldChar w:fldCharType="separate"/>
      </w:r>
      <w:r>
        <w:rPr>
          <w:rFonts w:ascii="inter" w:hAnsi="inter" w:eastAsia="inter" w:cs="inter"/>
          <w:color w:val="000000"/>
          <w:u w:val="single"/>
          <w:vertAlign w:val="superscript"/>
        </w:rPr>
        <w:t>[8]</w:t>
      </w:r>
      <w:r>
        <w:rPr>
          <w:rFonts w:ascii="inter" w:hAnsi="inter" w:eastAsia="inter" w:cs="inter"/>
          <w:color w:val="000000"/>
          <w:u w:val="single"/>
          <w:vertAlign w:val="superscript"/>
        </w:rPr>
        <w:fldChar w:fldCharType="end"/>
      </w:r>
      <w:bookmarkStart w:id="47" w:name="fnref6_2"/>
      <w:bookmarkEnd w:id="47"/>
      <w:r>
        <w:fldChar w:fldCharType="begin"/>
      </w:r>
      <w:r>
        <w:instrText xml:space="preserve"> HYPERLINK \l "fn6" \h </w:instrText>
      </w:r>
      <w:r>
        <w:fldChar w:fldCharType="separate"/>
      </w:r>
      <w:r>
        <w:rPr>
          <w:rFonts w:ascii="inter" w:hAnsi="inter" w:eastAsia="inter" w:cs="inter"/>
          <w:color w:val="000000"/>
          <w:u w:val="single"/>
          <w:vertAlign w:val="superscript"/>
        </w:rPr>
        <w:t>[6]</w:t>
      </w:r>
      <w:r>
        <w:rPr>
          <w:rFonts w:ascii="inter" w:hAnsi="inter" w:eastAsia="inter" w:cs="inter"/>
          <w:color w:val="000000"/>
          <w:u w:val="single"/>
          <w:vertAlign w:val="superscript"/>
        </w:rPr>
        <w:fldChar w:fldCharType="end"/>
      </w:r>
      <w:bookmarkStart w:id="48" w:name="fnref7_4"/>
      <w:bookmarkEnd w:id="48"/>
      <w:r>
        <w:fldChar w:fldCharType="begin"/>
      </w:r>
      <w:r>
        <w:instrText xml:space="preserve"> HYPERLINK \l "fn7" \h </w:instrText>
      </w:r>
      <w:r>
        <w:fldChar w:fldCharType="separate"/>
      </w:r>
      <w:r>
        <w:rPr>
          <w:rFonts w:ascii="inter" w:hAnsi="inter" w:eastAsia="inter" w:cs="inter"/>
          <w:color w:val="000000"/>
          <w:u w:val="single"/>
          <w:vertAlign w:val="superscript"/>
        </w:rPr>
        <w:t>[7]</w:t>
      </w:r>
      <w:r>
        <w:rPr>
          <w:rFonts w:ascii="inter" w:hAnsi="inter" w:eastAsia="inter" w:cs="inter"/>
          <w:color w:val="000000"/>
          <w:u w:val="single"/>
          <w:vertAlign w:val="superscript"/>
        </w:rPr>
        <w:fldChar w:fldCharType="end"/>
      </w:r>
    </w:p>
    <w:p w14:paraId="23CE9C00">
      <w:pPr>
        <w:numPr>
          <w:ilvl w:val="0"/>
          <w:numId w:val="25"/>
        </w:numPr>
        <w:spacing w:before="105" w:after="105" w:line="360" w:lineRule="auto"/>
      </w:pPr>
      <w:r>
        <w:rPr>
          <w:rFonts w:ascii="inter" w:hAnsi="inter" w:eastAsia="inter" w:cs="inter"/>
          <w:color w:val="000000"/>
          <w:sz w:val="21"/>
        </w:rPr>
        <w:t>智慧工厂目标</w:t>
      </w:r>
    </w:p>
    <w:p w14:paraId="0F63C23D">
      <w:pPr>
        <w:spacing w:after="210" w:line="360" w:lineRule="auto"/>
      </w:pPr>
      <w:r>
        <w:rPr>
          <w:rFonts w:ascii="inter" w:hAnsi="inter" w:eastAsia="inter" w:cs="inter"/>
          <w:color w:val="000000"/>
        </w:rPr>
        <w:t>(1) 单件小批离散制造企业在某种程度上可以将“智慧工厂”视为中长期愿景，通过前述三阶段路线逐步实现从局部自动化到全局自组织的演进。</w:t>
      </w:r>
      <w:r>
        <w:rPr>
          <w:rFonts w:ascii="inter" w:hAnsi="inter" w:eastAsia="inter" w:cs="inter"/>
          <w:color w:val="000000"/>
        </w:rPr>
        <w:br w:type="textWrapping"/>
      </w:r>
      <w:r>
        <w:rPr>
          <w:rFonts w:ascii="inter" w:hAnsi="inter" w:eastAsia="inter" w:cs="inter"/>
          <w:color w:val="000000"/>
        </w:rPr>
        <w:t>(2) 在技术上，应围绕多模态感知融合、数字孪生、异构系统集成和自适应迭代控制构建技术蓝图，在管理上强化系统工程与持续改进文化。</w:t>
      </w:r>
    </w:p>
    <w:p w14:paraId="7F9AE0BD">
      <w:pPr>
        <w:spacing w:before="315" w:after="105" w:line="360" w:lineRule="auto"/>
        <w:ind w:left="-30"/>
        <w:jc w:val="left"/>
      </w:pPr>
      <w:bookmarkStart w:id="49" w:name="三_与sdgs_特别是sdg_9_的关联"/>
      <w:r>
        <w:rPr>
          <w:rFonts w:ascii="inter" w:hAnsi="inter" w:eastAsia="inter" w:cs="inter"/>
          <w:b/>
          <w:color w:val="000000"/>
          <w:sz w:val="24"/>
        </w:rPr>
        <w:t>(三) 与SDGs（特别是SDG 9）的关联</w:t>
      </w:r>
      <w:bookmarkEnd w:id="49"/>
    </w:p>
    <w:p w14:paraId="0E16E8DC">
      <w:pPr>
        <w:numPr>
          <w:ilvl w:val="0"/>
          <w:numId w:val="26"/>
        </w:numPr>
        <w:spacing w:before="105" w:after="105" w:line="360" w:lineRule="auto"/>
      </w:pPr>
      <w:r>
        <w:rPr>
          <w:rFonts w:ascii="inter" w:hAnsi="inter" w:eastAsia="inter" w:cs="inter"/>
          <w:color w:val="000000"/>
          <w:sz w:val="21"/>
        </w:rPr>
        <w:t>SDG 9要求</w:t>
      </w:r>
    </w:p>
    <w:p w14:paraId="1BD6FFB3">
      <w:pPr>
        <w:spacing w:after="210" w:line="360" w:lineRule="auto"/>
      </w:pPr>
      <w:r>
        <w:rPr>
          <w:rFonts w:ascii="inter" w:hAnsi="inter" w:eastAsia="inter" w:cs="inter"/>
          <w:color w:val="000000"/>
        </w:rPr>
        <w:t>(1) 联合国SDG 9强调“建设韧性基础设施、促进可持续工业化并推动创新”。</w:t>
      </w:r>
      <w:bookmarkStart w:id="50" w:name="fnref2_5"/>
      <w:bookmarkEnd w:id="50"/>
      <w:r>
        <w:fldChar w:fldCharType="begin"/>
      </w:r>
      <w:r>
        <w:instrText xml:space="preserve"> HYPERLINK \l "fn2" \h </w:instrText>
      </w:r>
      <w:r>
        <w:fldChar w:fldCharType="separate"/>
      </w:r>
      <w:r>
        <w:rPr>
          <w:rFonts w:ascii="inter" w:hAnsi="inter" w:eastAsia="inter" w:cs="inter"/>
          <w:color w:val="000000"/>
          <w:u w:val="single"/>
          <w:vertAlign w:val="superscript"/>
        </w:rPr>
        <w:t>[2]</w:t>
      </w:r>
      <w:r>
        <w:rPr>
          <w:rFonts w:ascii="inter" w:hAnsi="inter" w:eastAsia="inter" w:cs="inter"/>
          <w:color w:val="000000"/>
          <w:u w:val="single"/>
          <w:vertAlign w:val="superscript"/>
        </w:rPr>
        <w:fldChar w:fldCharType="end"/>
      </w:r>
      <w:bookmarkStart w:id="51" w:name="fnref3_3"/>
      <w:bookmarkEnd w:id="51"/>
      <w:r>
        <w:fldChar w:fldCharType="begin"/>
      </w:r>
      <w:r>
        <w:instrText xml:space="preserve"> HYPERLINK \l "fn3" \h </w:instrText>
      </w:r>
      <w:r>
        <w:fldChar w:fldCharType="separate"/>
      </w:r>
      <w:r>
        <w:rPr>
          <w:rFonts w:ascii="inter" w:hAnsi="inter" w:eastAsia="inter" w:cs="inter"/>
          <w:color w:val="000000"/>
          <w:u w:val="single"/>
          <w:vertAlign w:val="superscript"/>
        </w:rPr>
        <w:t>[3]</w:t>
      </w:r>
      <w:r>
        <w:rPr>
          <w:rFonts w:ascii="inter" w:hAnsi="inter" w:eastAsia="inter" w:cs="inter"/>
          <w:color w:val="000000"/>
          <w:u w:val="single"/>
          <w:vertAlign w:val="superscript"/>
        </w:rPr>
        <w:fldChar w:fldCharType="end"/>
      </w:r>
      <w:bookmarkStart w:id="52" w:name="fnref1_5"/>
      <w:bookmarkEnd w:id="52"/>
      <w:r>
        <w:fldChar w:fldCharType="begin"/>
      </w:r>
      <w:r>
        <w:instrText xml:space="preserve"> HYPERLINK \l "fn1" \h </w:instrText>
      </w:r>
      <w:r>
        <w:fldChar w:fldCharType="separate"/>
      </w:r>
      <w:r>
        <w:rPr>
          <w:rFonts w:ascii="inter" w:hAnsi="inter" w:eastAsia="inter" w:cs="inter"/>
          <w:color w:val="000000"/>
          <w:u w:val="single"/>
          <w:vertAlign w:val="superscript"/>
        </w:rPr>
        <w:t>[1]</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(2) 单件小批离散制造自动化项目在某种程度上可以通过提高资源利用率、减少返工和缩短交付周期，促进更可持续的生产模式。</w:t>
      </w:r>
    </w:p>
    <w:p w14:paraId="094E016D">
      <w:pPr>
        <w:numPr>
          <w:ilvl w:val="0"/>
          <w:numId w:val="27"/>
        </w:numPr>
        <w:spacing w:before="105" w:after="105" w:line="360" w:lineRule="auto"/>
      </w:pPr>
      <w:r>
        <w:rPr>
          <w:rFonts w:ascii="inter" w:hAnsi="inter" w:eastAsia="inter" w:cs="inter"/>
          <w:color w:val="000000"/>
          <w:sz w:val="21"/>
        </w:rPr>
        <w:t>可持续视角下的实施建议</w:t>
      </w:r>
    </w:p>
    <w:p w14:paraId="5E24525C">
      <w:pPr>
        <w:spacing w:after="210" w:line="360" w:lineRule="auto"/>
      </w:pPr>
      <w:r>
        <w:rPr>
          <w:rFonts w:ascii="inter" w:hAnsi="inter" w:eastAsia="inter" w:cs="inter"/>
          <w:color w:val="000000"/>
        </w:rPr>
        <w:t>(1) 建议考虑在自动化项目规划中纳入能源效率、碳排放与资源循环利用指标，通过智慧工厂建设支撑企业的ESG目标。</w:t>
      </w:r>
      <w:r>
        <w:rPr>
          <w:rFonts w:ascii="inter" w:hAnsi="inter" w:eastAsia="inter" w:cs="inter"/>
          <w:color w:val="000000"/>
        </w:rPr>
        <w:br w:type="textWrapping"/>
      </w:r>
      <w:r>
        <w:rPr>
          <w:rFonts w:ascii="inter" w:hAnsi="inter" w:eastAsia="inter" w:cs="inter"/>
          <w:color w:val="000000"/>
        </w:rPr>
        <w:t>(2) 在供应链层面，可通过数字主线与工业互联网平台，提高供应商协同效率，减少库存与物流浪费，与SDG 9提出的“可持续基础设施和工业化”方向保持一致。</w:t>
      </w:r>
    </w:p>
    <w:p w14:paraId="0D73B75C">
      <w:pPr>
        <w:spacing w:before="210" w:after="0" w:line="360" w:lineRule="auto"/>
      </w:pPr>
      <w:r>
        <w:pict>
          <v:rect id="_x0000_s1036" o:spid="_x0000_s1036" o:spt="1" style="height:0.05pt;width:475.5pt;" coordsize="21600,21600">
            <v:path/>
            <v:fill focussize="0,0"/>
            <v:stroke weight="1pt" color="#000000" opacity="0f"/>
            <v:imagedata o:title=""/>
            <o:lock v:ext="edit"/>
            <w10:wrap type="none"/>
            <w10:anchorlock/>
          </v:rect>
        </w:pict>
      </w:r>
    </w:p>
    <w:p w14:paraId="4DFC220C">
      <w:pPr>
        <w:spacing w:before="315" w:after="105" w:line="360" w:lineRule="auto"/>
        <w:ind w:left="-30"/>
        <w:jc w:val="left"/>
      </w:pPr>
      <w:bookmarkStart w:id="53" w:name="九_结论与战略建议"/>
      <w:r>
        <w:rPr>
          <w:rFonts w:ascii="inter" w:hAnsi="inter" w:eastAsia="inter" w:cs="inter"/>
          <w:b/>
          <w:color w:val="000000"/>
          <w:sz w:val="24"/>
        </w:rPr>
        <w:t>九、结论与战略建议</w:t>
      </w:r>
      <w:bookmarkEnd w:id="53"/>
    </w:p>
    <w:p w14:paraId="131ED0FC">
      <w:pPr>
        <w:spacing w:before="315" w:after="105" w:line="360" w:lineRule="auto"/>
        <w:ind w:left="-30"/>
        <w:jc w:val="left"/>
      </w:pPr>
      <w:bookmarkStart w:id="54" w:name="一_综合判断"/>
      <w:r>
        <w:rPr>
          <w:rFonts w:ascii="inter" w:hAnsi="inter" w:eastAsia="inter" w:cs="inter"/>
          <w:b/>
          <w:color w:val="000000"/>
          <w:sz w:val="24"/>
        </w:rPr>
        <w:t>(一) 综合判断</w:t>
      </w:r>
      <w:bookmarkEnd w:id="54"/>
    </w:p>
    <w:p w14:paraId="0C31F5E2">
      <w:pPr>
        <w:numPr>
          <w:ilvl w:val="0"/>
          <w:numId w:val="28"/>
        </w:numPr>
        <w:spacing w:before="105" w:after="105" w:line="360" w:lineRule="auto"/>
      </w:pPr>
      <w:r>
        <w:rPr>
          <w:rFonts w:ascii="inter" w:hAnsi="inter" w:eastAsia="inter" w:cs="inter"/>
          <w:color w:val="000000"/>
          <w:sz w:val="21"/>
        </w:rPr>
        <w:t>自动化的“必然趋势”与“战略必需”</w:t>
      </w:r>
    </w:p>
    <w:p w14:paraId="2E512498">
      <w:pPr>
        <w:spacing w:after="210" w:line="360" w:lineRule="auto"/>
      </w:pPr>
      <w:r>
        <w:rPr>
          <w:rFonts w:ascii="inter" w:hAnsi="inter" w:eastAsia="inter" w:cs="inter"/>
          <w:color w:val="000000"/>
        </w:rPr>
        <w:t>(1) 结合世界银行、联合国及多家国际研究机构的分析，制造业数字化与自动化升级在某种程度上已成为提升国家竞争力与实现可持续发展目标的必要路径。</w:t>
      </w:r>
      <w:bookmarkStart w:id="55" w:name="fnref3_4"/>
      <w:bookmarkEnd w:id="55"/>
      <w:r>
        <w:fldChar w:fldCharType="begin"/>
      </w:r>
      <w:r>
        <w:instrText xml:space="preserve"> HYPERLINK \l "fn3" \h </w:instrText>
      </w:r>
      <w:r>
        <w:fldChar w:fldCharType="separate"/>
      </w:r>
      <w:r>
        <w:rPr>
          <w:rFonts w:ascii="inter" w:hAnsi="inter" w:eastAsia="inter" w:cs="inter"/>
          <w:color w:val="000000"/>
          <w:u w:val="single"/>
          <w:vertAlign w:val="superscript"/>
        </w:rPr>
        <w:t>[3]</w:t>
      </w:r>
      <w:r>
        <w:rPr>
          <w:rFonts w:ascii="inter" w:hAnsi="inter" w:eastAsia="inter" w:cs="inter"/>
          <w:color w:val="000000"/>
          <w:u w:val="single"/>
          <w:vertAlign w:val="superscript"/>
        </w:rPr>
        <w:fldChar w:fldCharType="end"/>
      </w:r>
      <w:bookmarkStart w:id="56" w:name="fnref1_6"/>
      <w:bookmarkEnd w:id="56"/>
      <w:r>
        <w:fldChar w:fldCharType="begin"/>
      </w:r>
      <w:r>
        <w:instrText xml:space="preserve"> HYPERLINK \l "fn1" \h </w:instrText>
      </w:r>
      <w:r>
        <w:fldChar w:fldCharType="separate"/>
      </w:r>
      <w:r>
        <w:rPr>
          <w:rFonts w:ascii="inter" w:hAnsi="inter" w:eastAsia="inter" w:cs="inter"/>
          <w:color w:val="000000"/>
          <w:u w:val="single"/>
          <w:vertAlign w:val="superscript"/>
        </w:rPr>
        <w:t>[1]</w:t>
      </w:r>
      <w:r>
        <w:rPr>
          <w:rFonts w:ascii="inter" w:hAnsi="inter" w:eastAsia="inter" w:cs="inter"/>
          <w:color w:val="000000"/>
          <w:u w:val="single"/>
          <w:vertAlign w:val="superscript"/>
        </w:rPr>
        <w:fldChar w:fldCharType="end"/>
      </w:r>
      <w:bookmarkStart w:id="57" w:name="fnref2_6"/>
      <w:bookmarkEnd w:id="57"/>
      <w:r>
        <w:fldChar w:fldCharType="begin"/>
      </w:r>
      <w:r>
        <w:instrText xml:space="preserve"> HYPERLINK \l "fn2" \h </w:instrText>
      </w:r>
      <w:r>
        <w:fldChar w:fldCharType="separate"/>
      </w:r>
      <w:r>
        <w:rPr>
          <w:rFonts w:ascii="inter" w:hAnsi="inter" w:eastAsia="inter" w:cs="inter"/>
          <w:color w:val="000000"/>
          <w:u w:val="single"/>
          <w:vertAlign w:val="superscript"/>
        </w:rPr>
        <w:t>[2]</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(2) 对于单件小批离散制造企业而言，柔性自动化与智慧工厂建设通常不仅是技术升级选择，更是对接“中国制造2025”、工业4.0与SDG 9的战略必需。</w:t>
      </w:r>
    </w:p>
    <w:p w14:paraId="7F0D286F">
      <w:pPr>
        <w:numPr>
          <w:ilvl w:val="0"/>
          <w:numId w:val="29"/>
        </w:numPr>
        <w:spacing w:before="105" w:after="105" w:line="360" w:lineRule="auto"/>
      </w:pPr>
      <w:r>
        <w:rPr>
          <w:rFonts w:ascii="inter" w:hAnsi="inter" w:eastAsia="inter" w:cs="inter"/>
          <w:color w:val="000000"/>
          <w:sz w:val="21"/>
        </w:rPr>
        <w:t>难点归因与认知偏差</w:t>
      </w:r>
    </w:p>
    <w:p w14:paraId="19126F8D">
      <w:pPr>
        <w:spacing w:after="210" w:line="360" w:lineRule="auto"/>
      </w:pPr>
      <w:r>
        <w:rPr>
          <w:rFonts w:ascii="inter" w:hAnsi="inter" w:eastAsia="inter" w:cs="inter"/>
          <w:color w:val="000000"/>
        </w:rPr>
        <w:t>(1) 当前实践中观察到的主要困难，在相当程度上并非完全源于技术本身的不可行，而更多来自企业管理层对柔性自动化价值认知不足、短期投资收益预期偏短和对系统工程复杂度的心理预期不足。</w:t>
      </w:r>
      <w:r>
        <w:rPr>
          <w:rFonts w:ascii="inter" w:hAnsi="inter" w:eastAsia="inter" w:cs="inter"/>
          <w:color w:val="000000"/>
        </w:rPr>
        <w:br w:type="textWrapping"/>
      </w:r>
      <w:r>
        <w:rPr>
          <w:rFonts w:ascii="inter" w:hAnsi="inter" w:eastAsia="inter" w:cs="inter"/>
          <w:color w:val="000000"/>
        </w:rPr>
        <w:t>(2) 技术成熟度在部分关键领域（如机器人、传感与工业软件）已经达到可用水平，但在多系统协同、组织变革与商业模式创新方面仍有待进一步探索。</w:t>
      </w:r>
    </w:p>
    <w:p w14:paraId="007B1040">
      <w:pPr>
        <w:spacing w:before="315" w:after="105" w:line="360" w:lineRule="auto"/>
        <w:ind w:left="-30"/>
        <w:jc w:val="left"/>
      </w:pPr>
      <w:bookmarkStart w:id="58" w:name="二_面向企业的战略性建议"/>
      <w:r>
        <w:rPr>
          <w:rFonts w:ascii="inter" w:hAnsi="inter" w:eastAsia="inter" w:cs="inter"/>
          <w:b/>
          <w:color w:val="000000"/>
          <w:sz w:val="24"/>
        </w:rPr>
        <w:t>(二) 面向企业的战略性建议</w:t>
      </w:r>
      <w:bookmarkEnd w:id="58"/>
    </w:p>
    <w:p w14:paraId="2B7E042E">
      <w:pPr>
        <w:numPr>
          <w:ilvl w:val="0"/>
          <w:numId w:val="30"/>
        </w:numPr>
        <w:spacing w:before="105" w:after="105" w:line="360" w:lineRule="auto"/>
      </w:pPr>
      <w:r>
        <w:rPr>
          <w:rFonts w:ascii="inter" w:hAnsi="inter" w:eastAsia="inter" w:cs="inter"/>
          <w:color w:val="000000"/>
          <w:sz w:val="21"/>
        </w:rPr>
        <w:t>建立“数字主线优先”的顶层规划</w:t>
      </w:r>
    </w:p>
    <w:p w14:paraId="666FC40A">
      <w:pPr>
        <w:spacing w:after="210" w:line="360" w:lineRule="auto"/>
      </w:pPr>
      <w:r>
        <w:rPr>
          <w:rFonts w:ascii="inter" w:hAnsi="inter" w:eastAsia="inter" w:cs="inter"/>
          <w:color w:val="000000"/>
        </w:rPr>
        <w:t>(1) 建议考虑在企业层面优先确立数字主线与数据架构，避免零散自动化项目形成“数据孤岛”。</w:t>
      </w:r>
      <w:r>
        <w:rPr>
          <w:rFonts w:ascii="inter" w:hAnsi="inter" w:eastAsia="inter" w:cs="inter"/>
          <w:color w:val="000000"/>
        </w:rPr>
        <w:br w:type="textWrapping"/>
      </w:r>
      <w:r>
        <w:rPr>
          <w:rFonts w:ascii="inter" w:hAnsi="inter" w:eastAsia="inter" w:cs="inter"/>
          <w:color w:val="000000"/>
        </w:rPr>
        <w:t>(2) 在此基础上再有序导入机器人柔性单元、可重构制造系统和数字孪生等技术，使自动化升级与业务流程再造相互支撑。</w:t>
      </w:r>
    </w:p>
    <w:p w14:paraId="755AD6AA">
      <w:pPr>
        <w:numPr>
          <w:ilvl w:val="0"/>
          <w:numId w:val="31"/>
        </w:numPr>
        <w:spacing w:before="105" w:after="105" w:line="360" w:lineRule="auto"/>
      </w:pPr>
      <w:r>
        <w:rPr>
          <w:rFonts w:ascii="inter" w:hAnsi="inter" w:eastAsia="inter" w:cs="inter"/>
          <w:color w:val="000000"/>
          <w:sz w:val="21"/>
        </w:rPr>
        <w:t>采用分阶段、可验证的实施路径</w:t>
      </w:r>
    </w:p>
    <w:p w14:paraId="11F8A961">
      <w:pPr>
        <w:spacing w:after="210" w:line="360" w:lineRule="auto"/>
      </w:pPr>
      <w:r>
        <w:rPr>
          <w:rFonts w:ascii="inter" w:hAnsi="inter" w:eastAsia="inter" w:cs="inter"/>
          <w:color w:val="000000"/>
        </w:rPr>
        <w:t>(1) 结合前述三阶段路线图，企业可从局部自动化与数据可视化入手，逐步迈向柔性单元协同与智慧工厂形态，过程中应设定清晰的阶段性KPI与复盘机制。</w:t>
      </w:r>
      <w:r>
        <w:rPr>
          <w:rFonts w:ascii="inter" w:hAnsi="inter" w:eastAsia="inter" w:cs="inter"/>
          <w:color w:val="000000"/>
        </w:rPr>
        <w:br w:type="textWrapping"/>
      </w:r>
      <w:r>
        <w:rPr>
          <w:rFonts w:ascii="inter" w:hAnsi="inter" w:eastAsia="inter" w:cs="inter"/>
          <w:color w:val="000000"/>
        </w:rPr>
        <w:t>(2) 对于资源有限的中小企业，建议考虑依托产业园区的公共服务平台或大型主机厂的共享产线试点，以降低单体项目风险。</w:t>
      </w:r>
    </w:p>
    <w:p w14:paraId="0200FC11">
      <w:pPr>
        <w:numPr>
          <w:ilvl w:val="0"/>
          <w:numId w:val="32"/>
        </w:numPr>
        <w:spacing w:before="105" w:after="105" w:line="360" w:lineRule="auto"/>
      </w:pPr>
      <w:r>
        <w:rPr>
          <w:rFonts w:ascii="inter" w:hAnsi="inter" w:eastAsia="inter" w:cs="inter"/>
          <w:color w:val="000000"/>
          <w:sz w:val="21"/>
        </w:rPr>
        <w:t>强化系统工程与跨界人才建设</w:t>
      </w:r>
    </w:p>
    <w:p w14:paraId="0FBC46DB">
      <w:pPr>
        <w:spacing w:after="210" w:line="360" w:lineRule="auto"/>
      </w:pPr>
      <w:r>
        <w:rPr>
          <w:rFonts w:ascii="inter" w:hAnsi="inter" w:eastAsia="inter" w:cs="inter"/>
          <w:color w:val="000000"/>
        </w:rPr>
        <w:t>(1) 单件小批离散制造自动化在某种程度上是一个典型的系统工程问题，需要机械、工艺、控制、软件与数据科学等多学科协同。</w:t>
      </w:r>
      <w:r>
        <w:rPr>
          <w:rFonts w:ascii="inter" w:hAnsi="inter" w:eastAsia="inter" w:cs="inter"/>
          <w:color w:val="000000"/>
        </w:rPr>
        <w:br w:type="textWrapping"/>
      </w:r>
      <w:r>
        <w:rPr>
          <w:rFonts w:ascii="inter" w:hAnsi="inter" w:eastAsia="inter" w:cs="inter"/>
          <w:color w:val="000000"/>
        </w:rPr>
        <w:t>(2) 企业应有计划地建设跨学科团队，强化项目管理与架构设计能力，通过与高校、研究机构（如Fraunhofer等）合作，弥补内部能力短板。</w:t>
      </w:r>
      <w:bookmarkStart w:id="59" w:name="fnref7_5"/>
      <w:bookmarkEnd w:id="59"/>
      <w:r>
        <w:fldChar w:fldCharType="begin"/>
      </w:r>
      <w:r>
        <w:instrText xml:space="preserve"> HYPERLINK \l "fn7" \h </w:instrText>
      </w:r>
      <w:r>
        <w:fldChar w:fldCharType="separate"/>
      </w:r>
      <w:r>
        <w:rPr>
          <w:rFonts w:ascii="inter" w:hAnsi="inter" w:eastAsia="inter" w:cs="inter"/>
          <w:color w:val="000000"/>
          <w:u w:val="single"/>
          <w:vertAlign w:val="superscript"/>
        </w:rPr>
        <w:t>[7]</w:t>
      </w:r>
      <w:r>
        <w:rPr>
          <w:rFonts w:ascii="inter" w:hAnsi="inter" w:eastAsia="inter" w:cs="inter"/>
          <w:color w:val="000000"/>
          <w:u w:val="single"/>
          <w:vertAlign w:val="superscript"/>
        </w:rPr>
        <w:fldChar w:fldCharType="end"/>
      </w:r>
      <w:bookmarkStart w:id="60" w:name="fnref8_3"/>
      <w:bookmarkEnd w:id="60"/>
      <w:r>
        <w:fldChar w:fldCharType="begin"/>
      </w:r>
      <w:r>
        <w:instrText xml:space="preserve"> HYPERLINK \l "fn8" \h </w:instrText>
      </w:r>
      <w:r>
        <w:fldChar w:fldCharType="separate"/>
      </w:r>
      <w:r>
        <w:rPr>
          <w:rFonts w:ascii="inter" w:hAnsi="inter" w:eastAsia="inter" w:cs="inter"/>
          <w:color w:val="000000"/>
          <w:u w:val="single"/>
          <w:vertAlign w:val="superscript"/>
        </w:rPr>
        <w:t>[8]</w:t>
      </w:r>
      <w:r>
        <w:rPr>
          <w:rFonts w:ascii="inter" w:hAnsi="inter" w:eastAsia="inter" w:cs="inter"/>
          <w:color w:val="000000"/>
          <w:u w:val="single"/>
          <w:vertAlign w:val="superscript"/>
        </w:rPr>
        <w:fldChar w:fldCharType="end"/>
      </w:r>
    </w:p>
    <w:p w14:paraId="6D560060">
      <w:pPr>
        <w:numPr>
          <w:ilvl w:val="0"/>
          <w:numId w:val="33"/>
        </w:numPr>
        <w:spacing w:before="105" w:after="105" w:line="360" w:lineRule="auto"/>
      </w:pPr>
      <w:r>
        <w:rPr>
          <w:rFonts w:ascii="inter" w:hAnsi="inter" w:eastAsia="inter" w:cs="inter"/>
          <w:color w:val="000000"/>
          <w:sz w:val="21"/>
        </w:rPr>
        <w:t>将自动化纳入ESG与可持续发展叙事</w:t>
      </w:r>
    </w:p>
    <w:p w14:paraId="0C7BBA05">
      <w:pPr>
        <w:spacing w:after="210" w:line="360" w:lineRule="auto"/>
      </w:pPr>
      <w:r>
        <w:rPr>
          <w:rFonts w:ascii="inter" w:hAnsi="inter" w:eastAsia="inter" w:cs="inter"/>
          <w:color w:val="000000"/>
        </w:rPr>
        <w:t>(1) 建议将自动化与智能化项目纳入企业ESG战略与可持续发展报告体系，从节能减排、资源效率与员工技能提升等多维度展开论证。</w:t>
      </w:r>
      <w:r>
        <w:rPr>
          <w:rFonts w:ascii="inter" w:hAnsi="inter" w:eastAsia="inter" w:cs="inter"/>
          <w:color w:val="000000"/>
        </w:rPr>
        <w:br w:type="textWrapping"/>
      </w:r>
      <w:r>
        <w:rPr>
          <w:rFonts w:ascii="inter" w:hAnsi="inter" w:eastAsia="inter" w:cs="inter"/>
          <w:color w:val="000000"/>
        </w:rPr>
        <w:t>(2) 通过与SDG 9以及国内绿色制造政策的对接，有望在某种程度上获得政策、资金与品牌多方面的溢出效应。</w:t>
      </w:r>
    </w:p>
    <w:p w14:paraId="2E4B9E8E">
      <w:pPr>
        <w:spacing w:before="210" w:after="0" w:line="360" w:lineRule="auto"/>
      </w:pPr>
      <w:r>
        <w:pict>
          <v:rect id="_x0000_s1037" o:spid="_x0000_s1037" o:spt="1" style="height:0.05pt;width:475.5pt;" coordsize="21600,21600">
            <v:path/>
            <v:fill focussize="0,0"/>
            <v:stroke weight="1pt" color="#000000" opacity="0f"/>
            <v:imagedata o:title=""/>
            <o:lock v:ext="edit"/>
            <w10:wrap type="none"/>
            <w10:anchorlock/>
          </v:rect>
        </w:pict>
      </w:r>
    </w:p>
    <w:p w14:paraId="7B2A5F83">
      <w:pPr>
        <w:spacing w:after="210" w:line="360" w:lineRule="auto"/>
      </w:pPr>
      <w:r>
        <w:rPr>
          <w:rFonts w:ascii="inter" w:hAnsi="inter" w:eastAsia="inter" w:cs="inter"/>
          <w:color w:val="000000"/>
        </w:rPr>
        <w:t>以上内容可直接作为 .docx 正文使用，如需自动生成目录，可在Word中应用“标题1/2/3”样式并重新生成目录；如需配图，可依据“图1”占位说明补充相应流程图或路线图。</w:t>
      </w:r>
      <w:r>
        <w:rPr>
          <w:rFonts w:ascii="inter" w:hAnsi="inter" w:eastAsia="inter" w:cs="inter"/>
          <w:color w:val="000000"/>
        </w:rPr>
        <w:br w:type="textWrapping"/>
      </w:r>
    </w:p>
    <w:p w14:paraId="71036A89">
      <w:pPr>
        <w:spacing w:line="360" w:lineRule="auto"/>
      </w:pPr>
      <w:r>
        <w:rPr>
          <w:rFonts w:ascii="inter" w:hAnsi="inter" w:eastAsia="inter" w:cs="inter"/>
          <w:color w:val="000000"/>
        </w:rPr>
        <w:t>⁂</w:t>
      </w:r>
    </w:p>
    <w:p w14:paraId="78DF1961">
      <w:pPr>
        <w:spacing w:before="210" w:after="0" w:line="360" w:lineRule="auto"/>
      </w:pPr>
      <w:r>
        <w:pict>
          <v:rect id="_x0000_s1038" o:spid="_x0000_s1038" o:spt="1" style="height:0.05pt;width:475.5pt;" coordsize="21600,21600">
            <v:path/>
            <v:fill focussize="0,0"/>
            <v:stroke weight="1pt" color="#000000" opacity="0f"/>
            <v:imagedata o:title=""/>
            <o:lock v:ext="edit"/>
            <w10:wrap type="none"/>
            <w10:anchorlock/>
          </v:rect>
        </w:pict>
      </w:r>
    </w:p>
    <w:p w14:paraId="706E6C74">
      <w:pPr>
        <w:numPr>
          <w:ilvl w:val="0"/>
          <w:numId w:val="34"/>
        </w:numPr>
        <w:spacing w:after="210" w:line="360" w:lineRule="auto"/>
      </w:pPr>
      <w:bookmarkStart w:id="61" w:name="fn1"/>
      <w:bookmarkEnd w:id="61"/>
      <w:r>
        <w:fldChar w:fldCharType="begin"/>
      </w:r>
      <w:r>
        <w:instrText xml:space="preserve"> HYPERLINK "https://www.un.org/sustainabledevelopment/infrastructure-industrialization/" \h </w:instrText>
      </w:r>
      <w:r>
        <w:fldChar w:fldCharType="separate"/>
      </w:r>
      <w:r>
        <w:rPr>
          <w:rFonts w:ascii="inter" w:hAnsi="inter" w:eastAsia="inter" w:cs="inter"/>
          <w:color w:val="000000"/>
          <w:sz w:val="18"/>
          <w:u w:val="single"/>
        </w:rPr>
        <w:t>https://www.un.org/sustainabledevelopment/infrastructure-industrialization/</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3C3A039">
      <w:pPr>
        <w:numPr>
          <w:ilvl w:val="0"/>
          <w:numId w:val="34"/>
        </w:numPr>
        <w:spacing w:after="210" w:line="360" w:lineRule="auto"/>
      </w:pPr>
      <w:bookmarkStart w:id="62" w:name="fn2"/>
      <w:bookmarkEnd w:id="62"/>
      <w:r>
        <w:fldChar w:fldCharType="begin"/>
      </w:r>
      <w:r>
        <w:instrText xml:space="preserve"> HYPERLINK "https://www.undp.org/sustainable-development-goals/industry-innovation-and-infrastructure" \h </w:instrText>
      </w:r>
      <w:r>
        <w:fldChar w:fldCharType="separate"/>
      </w:r>
      <w:r>
        <w:rPr>
          <w:rFonts w:ascii="inter" w:hAnsi="inter" w:eastAsia="inter" w:cs="inter"/>
          <w:color w:val="000000"/>
          <w:sz w:val="18"/>
          <w:u w:val="single"/>
        </w:rPr>
        <w:t>https://www.undp.org/sustainable-development-goals/industry-innovation-and-infrastructure</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6693D50">
      <w:pPr>
        <w:numPr>
          <w:ilvl w:val="0"/>
          <w:numId w:val="34"/>
        </w:numPr>
        <w:spacing w:after="210" w:line="360" w:lineRule="auto"/>
      </w:pPr>
      <w:bookmarkStart w:id="63" w:name="fn3"/>
      <w:bookmarkEnd w:id="63"/>
      <w:r>
        <w:fldChar w:fldCharType="begin"/>
      </w:r>
      <w:r>
        <w:instrText xml:space="preserve"> HYPERLINK "https://www.unoosa.org/oosa/sk/ourwork/space4sdgs/sdg9.html" \h </w:instrText>
      </w:r>
      <w:r>
        <w:fldChar w:fldCharType="separate"/>
      </w:r>
      <w:r>
        <w:rPr>
          <w:rFonts w:ascii="inter" w:hAnsi="inter" w:eastAsia="inter" w:cs="inter"/>
          <w:color w:val="000000"/>
          <w:sz w:val="18"/>
          <w:u w:val="single"/>
        </w:rPr>
        <w:t>https://www.unoosa.org/oosa/sk/ourwork/space4sdgs/sdg9.html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AD72CC6">
      <w:pPr>
        <w:numPr>
          <w:ilvl w:val="0"/>
          <w:numId w:val="34"/>
        </w:numPr>
        <w:spacing w:after="210" w:line="360" w:lineRule="auto"/>
      </w:pPr>
      <w:bookmarkStart w:id="64" w:name="fn4"/>
      <w:bookmarkEnd w:id="64"/>
      <w:r>
        <w:fldChar w:fldCharType="begin"/>
      </w:r>
      <w:r>
        <w:instrText xml:space="preserve"> HYPERLINK "https://en.wikipedia.org/wiki/Sustainable_Development_Goal_9" \h </w:instrText>
      </w:r>
      <w:r>
        <w:fldChar w:fldCharType="separate"/>
      </w:r>
      <w:r>
        <w:rPr>
          <w:rFonts w:ascii="inter" w:hAnsi="inter" w:eastAsia="inter" w:cs="inter"/>
          <w:color w:val="000000"/>
          <w:sz w:val="18"/>
          <w:u w:val="single"/>
        </w:rPr>
        <w:t>https://en.wikipedia.org/wiki/Sustainable_Development_Goal_9</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20F4124">
      <w:pPr>
        <w:numPr>
          <w:ilvl w:val="0"/>
          <w:numId w:val="34"/>
        </w:numPr>
        <w:spacing w:after="210" w:line="360" w:lineRule="auto"/>
      </w:pPr>
      <w:bookmarkStart w:id="65" w:name="fn5"/>
      <w:bookmarkEnd w:id="65"/>
      <w:r>
        <w:fldChar w:fldCharType="begin"/>
      </w:r>
      <w:r>
        <w:instrText xml:space="preserve"> HYPERLINK "https://standards.ieee.org/ieee/21840/7663/" \h </w:instrText>
      </w:r>
      <w:r>
        <w:fldChar w:fldCharType="separate"/>
      </w:r>
      <w:r>
        <w:rPr>
          <w:rFonts w:ascii="inter" w:hAnsi="inter" w:eastAsia="inter" w:cs="inter"/>
          <w:color w:val="000000"/>
          <w:sz w:val="18"/>
          <w:u w:val="single"/>
        </w:rPr>
        <w:t>https://standards.ieee.org/ieee/21840/7663/</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AB06E69">
      <w:pPr>
        <w:numPr>
          <w:ilvl w:val="0"/>
          <w:numId w:val="34"/>
        </w:numPr>
        <w:spacing w:after="210" w:line="360" w:lineRule="auto"/>
      </w:pPr>
      <w:bookmarkStart w:id="66" w:name="fn6"/>
      <w:bookmarkEnd w:id="66"/>
      <w:r>
        <w:fldChar w:fldCharType="begin"/>
      </w:r>
      <w:r>
        <w:instrText xml:space="preserve"> HYPERLINK "https://www.iotworldtoday.com/iiot/hannover-highlights-fraunhofer-demonstrates-flexible-manufacturing-robots" \h </w:instrText>
      </w:r>
      <w:r>
        <w:fldChar w:fldCharType="separate"/>
      </w:r>
      <w:r>
        <w:rPr>
          <w:rFonts w:ascii="inter" w:hAnsi="inter" w:eastAsia="inter" w:cs="inter"/>
          <w:color w:val="000000"/>
          <w:sz w:val="18"/>
          <w:u w:val="single"/>
        </w:rPr>
        <w:t>https://www.iotworldtoday.com/iiot/hannover-highlights-fraunhofer-demonstrates-flexible-manufacturing-robots</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2D9085C">
      <w:pPr>
        <w:numPr>
          <w:ilvl w:val="0"/>
          <w:numId w:val="34"/>
        </w:numPr>
        <w:spacing w:after="210" w:line="360" w:lineRule="auto"/>
      </w:pPr>
      <w:bookmarkStart w:id="67" w:name="fn7"/>
      <w:bookmarkEnd w:id="67"/>
      <w:r>
        <w:fldChar w:fldCharType="begin"/>
      </w:r>
      <w:r>
        <w:instrText xml:space="preserve"> HYPERLINK "https://www.iosb.fraunhofer.de/en/press/press-releases/2021/self-organizing-flexible-production-future-car-factory.html" \h </w:instrText>
      </w:r>
      <w:r>
        <w:fldChar w:fldCharType="separate"/>
      </w:r>
      <w:r>
        <w:rPr>
          <w:rFonts w:ascii="inter" w:hAnsi="inter" w:eastAsia="inter" w:cs="inter"/>
          <w:color w:val="000000"/>
          <w:sz w:val="18"/>
          <w:u w:val="single"/>
        </w:rPr>
        <w:t>https://www.iosb.fraunhofer.de/en/press/press-releases/2021/self-organizing-flexible-production-future-car-factory.html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F77AA78">
      <w:pPr>
        <w:numPr>
          <w:ilvl w:val="0"/>
          <w:numId w:val="34"/>
        </w:numPr>
        <w:spacing w:after="210" w:line="360" w:lineRule="auto"/>
      </w:pPr>
      <w:bookmarkStart w:id="68" w:name="fn8"/>
      <w:bookmarkEnd w:id="68"/>
      <w:r>
        <w:fldChar w:fldCharType="begin"/>
      </w:r>
      <w:r>
        <w:instrText xml:space="preserve"> HYPERLINK "https://theintellify.com/ai-smart-factory-solutions-germany/" \h </w:instrText>
      </w:r>
      <w:r>
        <w:fldChar w:fldCharType="separate"/>
      </w:r>
      <w:r>
        <w:rPr>
          <w:rFonts w:ascii="inter" w:hAnsi="inter" w:eastAsia="inter" w:cs="inter"/>
          <w:color w:val="000000"/>
          <w:sz w:val="18"/>
          <w:u w:val="single"/>
        </w:rPr>
        <w:t>https://theintellify.com/ai-smart-factory-solutions-germany/</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CC69CF3">
      <w:pPr>
        <w:numPr>
          <w:ilvl w:val="0"/>
          <w:numId w:val="34"/>
        </w:numPr>
        <w:spacing w:after="210" w:line="360" w:lineRule="auto"/>
      </w:pPr>
      <w:bookmarkStart w:id="69" w:name="fn9"/>
      <w:bookmarkEnd w:id="69"/>
      <w:r>
        <w:fldChar w:fldCharType="begin"/>
      </w:r>
      <w:r>
        <w:instrText xml:space="preserve"> HYPERLINK "https://globalgoals.org/goals/9-industry-innovation-and-infrastructure/" \h </w:instrText>
      </w:r>
      <w:r>
        <w:fldChar w:fldCharType="separate"/>
      </w:r>
      <w:r>
        <w:rPr>
          <w:rFonts w:ascii="inter" w:hAnsi="inter" w:eastAsia="inter" w:cs="inter"/>
          <w:color w:val="000000"/>
          <w:sz w:val="18"/>
          <w:u w:val="single"/>
        </w:rPr>
        <w:t>https://globalgoals.org/goals/9-industry-innovation-and-infrastructure/</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5044DF6">
      <w:pPr>
        <w:numPr>
          <w:ilvl w:val="0"/>
          <w:numId w:val="34"/>
        </w:numPr>
        <w:spacing w:after="210" w:line="360" w:lineRule="auto"/>
      </w:pPr>
      <w:bookmarkStart w:id="70" w:name="fn10"/>
      <w:bookmarkEnd w:id="70"/>
      <w:r>
        <w:fldChar w:fldCharType="begin"/>
      </w:r>
      <w:r>
        <w:instrText xml:space="preserve"> HYPERLINK "https://agenda2030lac.org/en/sdg/9-industry-innovation-and-infrastructure" \h </w:instrText>
      </w:r>
      <w:r>
        <w:fldChar w:fldCharType="separate"/>
      </w:r>
      <w:r>
        <w:rPr>
          <w:rFonts w:ascii="inter" w:hAnsi="inter" w:eastAsia="inter" w:cs="inter"/>
          <w:color w:val="000000"/>
          <w:sz w:val="18"/>
          <w:u w:val="single"/>
        </w:rPr>
        <w:t>https://agenda2030lac.org/en/sdg/9-industry-innovation-and-infrastructure</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F5DE47F">
      <w:pPr>
        <w:numPr>
          <w:ilvl w:val="0"/>
          <w:numId w:val="34"/>
        </w:numPr>
        <w:spacing w:after="210" w:line="360" w:lineRule="auto"/>
      </w:pPr>
      <w:bookmarkStart w:id="71" w:name="fn11"/>
      <w:bookmarkEnd w:id="71"/>
      <w:r>
        <w:fldChar w:fldCharType="begin"/>
      </w:r>
      <w:r>
        <w:instrText xml:space="preserve"> HYPERLINK "https://share.ansi.org/Shared%20Documents/News%20and%20Publications/Links%20Within%20Stories/ISO+IEC+Guide+59-2019.pdf" \h </w:instrText>
      </w:r>
      <w:r>
        <w:fldChar w:fldCharType="separate"/>
      </w:r>
      <w:r>
        <w:rPr>
          <w:rFonts w:ascii="inter" w:hAnsi="inter" w:eastAsia="inter" w:cs="inter"/>
          <w:color w:val="000000"/>
          <w:sz w:val="18"/>
          <w:u w:val="single"/>
        </w:rPr>
        <w:t>https://share.ansi.org/Shared Documents/News and Publications/Links Within Stories/ISO+IEC+Guide+59-2019.pdf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9D8443C">
      <w:pPr>
        <w:numPr>
          <w:ilvl w:val="0"/>
          <w:numId w:val="34"/>
        </w:numPr>
        <w:spacing w:after="210" w:line="360" w:lineRule="auto"/>
      </w:pPr>
      <w:bookmarkStart w:id="72" w:name="fn12"/>
      <w:bookmarkEnd w:id="72"/>
      <w:r>
        <w:fldChar w:fldCharType="begin"/>
      </w:r>
      <w:r>
        <w:instrText xml:space="preserve"> HYPERLINK "https://www.greenlight.guru/blog/iso-standards" \h </w:instrText>
      </w:r>
      <w:r>
        <w:fldChar w:fldCharType="separate"/>
      </w:r>
      <w:r>
        <w:rPr>
          <w:rFonts w:ascii="inter" w:hAnsi="inter" w:eastAsia="inter" w:cs="inter"/>
          <w:color w:val="000000"/>
          <w:sz w:val="18"/>
          <w:u w:val="single"/>
        </w:rPr>
        <w:t>https://www.greenlight.guru/blog/iso-standards</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D005503">
      <w:pPr>
        <w:numPr>
          <w:ilvl w:val="0"/>
          <w:numId w:val="34"/>
        </w:numPr>
        <w:spacing w:after="210" w:line="360" w:lineRule="auto"/>
      </w:pPr>
      <w:bookmarkStart w:id="73" w:name="fn13"/>
      <w:bookmarkEnd w:id="73"/>
      <w:r>
        <w:fldChar w:fldCharType="begin"/>
      </w:r>
      <w:r>
        <w:instrText xml:space="preserve"> HYPERLINK "http://sdgs.un.org/topics/industry" \h </w:instrText>
      </w:r>
      <w:r>
        <w:fldChar w:fldCharType="separate"/>
      </w:r>
      <w:r>
        <w:rPr>
          <w:rFonts w:ascii="inter" w:hAnsi="inter" w:eastAsia="inter" w:cs="inter"/>
          <w:color w:val="000000"/>
          <w:sz w:val="18"/>
          <w:u w:val="single"/>
        </w:rPr>
        <w:t>http://sdgs.un.org/topics/industry</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1431554">
      <w:pPr>
        <w:numPr>
          <w:ilvl w:val="0"/>
          <w:numId w:val="34"/>
        </w:numPr>
        <w:spacing w:after="210" w:line="360" w:lineRule="auto"/>
      </w:pPr>
      <w:bookmarkStart w:id="74" w:name="fn14"/>
      <w:bookmarkEnd w:id="74"/>
      <w:r>
        <w:fldChar w:fldCharType="begin"/>
      </w:r>
      <w:r>
        <w:instrText xml:space="preserve"> HYPERLINK "https://publica.fraunhofer.de/bitstreams/dd6b25e2-a8c0-422d-8943-2d0f8cd78222/download" \h </w:instrText>
      </w:r>
      <w:r>
        <w:fldChar w:fldCharType="separate"/>
      </w:r>
      <w:r>
        <w:rPr>
          <w:rFonts w:ascii="inter" w:hAnsi="inter" w:eastAsia="inter" w:cs="inter"/>
          <w:color w:val="000000"/>
          <w:sz w:val="18"/>
          <w:u w:val="single"/>
        </w:rPr>
        <w:t>https://publica.fraunhofer.de/bitstreams/dd6b25e2-a8c0-422d-8943-2d0f8cd78222/download</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0FD2135">
      <w:pPr>
        <w:numPr>
          <w:ilvl w:val="0"/>
          <w:numId w:val="34"/>
        </w:numPr>
        <w:spacing w:after="210" w:line="360" w:lineRule="auto"/>
      </w:pPr>
      <w:bookmarkStart w:id="75" w:name="fn15"/>
      <w:bookmarkEnd w:id="75"/>
      <w:r>
        <w:fldChar w:fldCharType="begin"/>
      </w:r>
      <w:r>
        <w:instrText xml:space="preserve"> HYPERLINK "http://sdgs.un.org/goals/goal9" \h </w:instrText>
      </w:r>
      <w:r>
        <w:fldChar w:fldCharType="separate"/>
      </w:r>
      <w:r>
        <w:rPr>
          <w:rFonts w:ascii="inter" w:hAnsi="inter" w:eastAsia="inter" w:cs="inter"/>
          <w:color w:val="000000"/>
          <w:sz w:val="18"/>
          <w:u w:val="single"/>
        </w:rPr>
        <w:t>http://sdgs.un.org/goals/goal9</w:t>
      </w:r>
      <w:r>
        <w:rPr>
          <w:rFonts w:ascii="inter" w:hAnsi="inter" w:eastAsia="inter" w:cs="inter"/>
          <w:color w:val="000000"/>
          <w:sz w:val="18"/>
          <w:u w:val="single"/>
        </w:rPr>
        <w:fldChar w:fldCharType="end"/>
      </w:r>
      <w:r>
        <w:rPr>
          <w:rFonts w:ascii="inter" w:hAnsi="inter" w:eastAsia="inter" w:cs="inter"/>
          <w:color w:val="000000"/>
          <w:sz w:val="18"/>
        </w:rPr>
        <w:t xml:space="preserve"> </w:t>
      </w:r>
    </w:p>
    <w:sectPr>
      <w:pgSz w:w="12240" w:h="15840"/>
      <w:pgMar w:top="1365" w:right="1365" w:bottom="1365" w:left="1365"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Georgia">
    <w:panose1 w:val="02040502050405020303"/>
    <w:charset w:val="00"/>
    <w:family w:val="auto"/>
    <w:pitch w:val="default"/>
    <w:sig w:usb0="00000287" w:usb1="00000000" w:usb2="00000000" w:usb3="00000000" w:csb0="2000009F" w:csb1="00000000"/>
  </w:font>
  <w:font w:name="Consolas">
    <w:panose1 w:val="020B0609020204030204"/>
    <w:charset w:val="00"/>
    <w:family w:val="auto"/>
    <w:pitch w:val="default"/>
    <w:sig w:usb0="E00006FF" w:usb1="0000FCFF" w:usb2="00000001" w:usb3="00000000" w:csb0="6000019F" w:csb1="DFD70000"/>
  </w:font>
  <w:font w:name="inter">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Calibri">
    <w:panose1 w:val="020F0502020204030204"/>
    <w:charset w:val="00"/>
    <w:family w:val="auto"/>
    <w:pitch w:val="default"/>
    <w:sig w:usb0="E4002EFF" w:usb1="C200247B" w:usb2="00000009" w:usb3="00000000" w:csb0="200001F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3A4B87"/>
    <w:multiLevelType w:val="singleLevel"/>
    <w:tmpl w:val="813A4B87"/>
    <w:lvl w:ilvl="0" w:tentative="0">
      <w:start w:val="1"/>
      <w:numFmt w:val="decimal"/>
      <w:lvlText w:val="%1."/>
      <w:lvlJc w:val="left"/>
      <w:pPr>
        <w:tabs>
          <w:tab w:val="left" w:pos="900"/>
        </w:tabs>
        <w:ind w:left="540" w:hanging="360"/>
      </w:pPr>
    </w:lvl>
  </w:abstractNum>
  <w:abstractNum w:abstractNumId="1">
    <w:nsid w:val="8461FADE"/>
    <w:multiLevelType w:val="singleLevel"/>
    <w:tmpl w:val="8461FADE"/>
    <w:lvl w:ilvl="0" w:tentative="0">
      <w:start w:val="2"/>
      <w:numFmt w:val="decimal"/>
      <w:lvlText w:val="%1."/>
      <w:lvlJc w:val="left"/>
      <w:pPr>
        <w:tabs>
          <w:tab w:val="left" w:pos="900"/>
        </w:tabs>
        <w:ind w:left="540" w:hanging="360"/>
      </w:pPr>
    </w:lvl>
  </w:abstractNum>
  <w:abstractNum w:abstractNumId="2">
    <w:nsid w:val="9239341B"/>
    <w:multiLevelType w:val="singleLevel"/>
    <w:tmpl w:val="9239341B"/>
    <w:lvl w:ilvl="0" w:tentative="0">
      <w:start w:val="7"/>
      <w:numFmt w:val="decimal"/>
      <w:lvlText w:val="%1."/>
      <w:lvlJc w:val="left"/>
      <w:pPr>
        <w:tabs>
          <w:tab w:val="left" w:pos="900"/>
        </w:tabs>
        <w:ind w:left="540" w:hanging="360"/>
      </w:pPr>
    </w:lvl>
  </w:abstractNum>
  <w:abstractNum w:abstractNumId="3">
    <w:nsid w:val="9288B902"/>
    <w:multiLevelType w:val="singleLevel"/>
    <w:tmpl w:val="9288B902"/>
    <w:lvl w:ilvl="0" w:tentative="0">
      <w:start w:val="2"/>
      <w:numFmt w:val="decimal"/>
      <w:lvlText w:val="%1."/>
      <w:lvlJc w:val="left"/>
      <w:pPr>
        <w:tabs>
          <w:tab w:val="left" w:pos="900"/>
        </w:tabs>
        <w:ind w:left="540" w:hanging="360"/>
      </w:pPr>
    </w:lvl>
  </w:abstractNum>
  <w:abstractNum w:abstractNumId="4">
    <w:nsid w:val="9C8AC8EF"/>
    <w:multiLevelType w:val="singleLevel"/>
    <w:tmpl w:val="9C8AC8EF"/>
    <w:lvl w:ilvl="0" w:tentative="0">
      <w:start w:val="1"/>
      <w:numFmt w:val="decimal"/>
      <w:lvlText w:val="%1."/>
      <w:lvlJc w:val="left"/>
      <w:pPr>
        <w:tabs>
          <w:tab w:val="left" w:pos="900"/>
        </w:tabs>
        <w:ind w:left="540" w:hanging="360"/>
      </w:pPr>
    </w:lvl>
  </w:abstractNum>
  <w:abstractNum w:abstractNumId="5">
    <w:nsid w:val="B0F1ACD9"/>
    <w:multiLevelType w:val="singleLevel"/>
    <w:tmpl w:val="B0F1ACD9"/>
    <w:lvl w:ilvl="0" w:tentative="0">
      <w:start w:val="1"/>
      <w:numFmt w:val="decimal"/>
      <w:lvlText w:val="%1."/>
      <w:lvlJc w:val="left"/>
      <w:pPr>
        <w:tabs>
          <w:tab w:val="left" w:pos="900"/>
        </w:tabs>
        <w:ind w:left="540" w:hanging="360"/>
      </w:pPr>
    </w:lvl>
  </w:abstractNum>
  <w:abstractNum w:abstractNumId="6">
    <w:nsid w:val="B5E306ED"/>
    <w:multiLevelType w:val="singleLevel"/>
    <w:tmpl w:val="B5E306ED"/>
    <w:lvl w:ilvl="0" w:tentative="0">
      <w:start w:val="2"/>
      <w:numFmt w:val="decimal"/>
      <w:lvlText w:val="%1."/>
      <w:lvlJc w:val="left"/>
      <w:pPr>
        <w:tabs>
          <w:tab w:val="left" w:pos="900"/>
        </w:tabs>
        <w:ind w:left="540" w:hanging="360"/>
      </w:pPr>
    </w:lvl>
  </w:abstractNum>
  <w:abstractNum w:abstractNumId="7">
    <w:nsid w:val="BE923771"/>
    <w:multiLevelType w:val="singleLevel"/>
    <w:tmpl w:val="BE923771"/>
    <w:lvl w:ilvl="0" w:tentative="0">
      <w:start w:val="2"/>
      <w:numFmt w:val="decimal"/>
      <w:lvlText w:val="%1."/>
      <w:lvlJc w:val="left"/>
      <w:pPr>
        <w:tabs>
          <w:tab w:val="left" w:pos="900"/>
        </w:tabs>
        <w:ind w:left="540" w:hanging="360"/>
      </w:pPr>
    </w:lvl>
  </w:abstractNum>
  <w:abstractNum w:abstractNumId="8">
    <w:nsid w:val="BF205925"/>
    <w:multiLevelType w:val="singleLevel"/>
    <w:tmpl w:val="BF205925"/>
    <w:lvl w:ilvl="0" w:tentative="0">
      <w:start w:val="1"/>
      <w:numFmt w:val="decimal"/>
      <w:lvlText w:val="%1."/>
      <w:lvlJc w:val="left"/>
      <w:pPr>
        <w:tabs>
          <w:tab w:val="left" w:pos="900"/>
        </w:tabs>
        <w:ind w:left="540" w:hanging="360"/>
      </w:pPr>
    </w:lvl>
  </w:abstractNum>
  <w:abstractNum w:abstractNumId="9">
    <w:nsid w:val="C8879AEF"/>
    <w:multiLevelType w:val="singleLevel"/>
    <w:tmpl w:val="C8879AEF"/>
    <w:lvl w:ilvl="0" w:tentative="0">
      <w:start w:val="2"/>
      <w:numFmt w:val="decimal"/>
      <w:lvlText w:val="%1."/>
      <w:lvlJc w:val="left"/>
      <w:pPr>
        <w:tabs>
          <w:tab w:val="left" w:pos="900"/>
        </w:tabs>
        <w:ind w:left="540" w:hanging="360"/>
      </w:pPr>
    </w:lvl>
  </w:abstractNum>
  <w:abstractNum w:abstractNumId="10">
    <w:nsid w:val="CF092B84"/>
    <w:multiLevelType w:val="singleLevel"/>
    <w:tmpl w:val="CF092B84"/>
    <w:lvl w:ilvl="0" w:tentative="0">
      <w:start w:val="2"/>
      <w:numFmt w:val="decimal"/>
      <w:lvlText w:val="%1."/>
      <w:lvlJc w:val="left"/>
      <w:pPr>
        <w:tabs>
          <w:tab w:val="left" w:pos="900"/>
        </w:tabs>
        <w:ind w:left="540" w:hanging="360"/>
      </w:pPr>
    </w:lvl>
  </w:abstractNum>
  <w:abstractNum w:abstractNumId="11">
    <w:nsid w:val="D7F9FE59"/>
    <w:multiLevelType w:val="singleLevel"/>
    <w:tmpl w:val="D7F9FE59"/>
    <w:lvl w:ilvl="0" w:tentative="0">
      <w:start w:val="1"/>
      <w:numFmt w:val="decimal"/>
      <w:lvlText w:val="%1."/>
      <w:lvlJc w:val="left"/>
      <w:pPr>
        <w:tabs>
          <w:tab w:val="left" w:pos="900"/>
        </w:tabs>
        <w:ind w:left="540" w:hanging="360"/>
      </w:pPr>
    </w:lvl>
  </w:abstractNum>
  <w:abstractNum w:abstractNumId="12">
    <w:nsid w:val="DCBA6B53"/>
    <w:multiLevelType w:val="singleLevel"/>
    <w:tmpl w:val="DCBA6B53"/>
    <w:lvl w:ilvl="0" w:tentative="0">
      <w:start w:val="2"/>
      <w:numFmt w:val="decimal"/>
      <w:lvlText w:val="%1."/>
      <w:lvlJc w:val="left"/>
      <w:pPr>
        <w:tabs>
          <w:tab w:val="left" w:pos="900"/>
        </w:tabs>
        <w:ind w:left="540" w:hanging="360"/>
      </w:pPr>
    </w:lvl>
  </w:abstractNum>
  <w:abstractNum w:abstractNumId="13">
    <w:nsid w:val="F4B5D9F5"/>
    <w:multiLevelType w:val="singleLevel"/>
    <w:tmpl w:val="F4B5D9F5"/>
    <w:lvl w:ilvl="0" w:tentative="0">
      <w:start w:val="2"/>
      <w:numFmt w:val="decimal"/>
      <w:lvlText w:val="%1."/>
      <w:lvlJc w:val="left"/>
      <w:pPr>
        <w:tabs>
          <w:tab w:val="left" w:pos="900"/>
        </w:tabs>
        <w:ind w:left="540" w:hanging="360"/>
      </w:pPr>
    </w:lvl>
  </w:abstractNum>
  <w:abstractNum w:abstractNumId="14">
    <w:nsid w:val="0053208E"/>
    <w:multiLevelType w:val="singleLevel"/>
    <w:tmpl w:val="0053208E"/>
    <w:lvl w:ilvl="0" w:tentative="0">
      <w:start w:val="1"/>
      <w:numFmt w:val="decimal"/>
      <w:lvlText w:val="%1."/>
      <w:lvlJc w:val="left"/>
      <w:pPr>
        <w:tabs>
          <w:tab w:val="left" w:pos="900"/>
        </w:tabs>
        <w:ind w:left="540" w:hanging="360"/>
      </w:pPr>
    </w:lvl>
  </w:abstractNum>
  <w:abstractNum w:abstractNumId="15">
    <w:nsid w:val="0248C179"/>
    <w:multiLevelType w:val="singleLevel"/>
    <w:tmpl w:val="0248C179"/>
    <w:lvl w:ilvl="0" w:tentative="0">
      <w:start w:val="6"/>
      <w:numFmt w:val="decimal"/>
      <w:lvlText w:val="%1."/>
      <w:lvlJc w:val="left"/>
      <w:pPr>
        <w:tabs>
          <w:tab w:val="left" w:pos="900"/>
        </w:tabs>
        <w:ind w:left="540" w:hanging="360"/>
      </w:pPr>
    </w:lvl>
  </w:abstractNum>
  <w:abstractNum w:abstractNumId="16">
    <w:nsid w:val="03D62ECE"/>
    <w:multiLevelType w:val="singleLevel"/>
    <w:tmpl w:val="03D62ECE"/>
    <w:lvl w:ilvl="0" w:tentative="0">
      <w:start w:val="3"/>
      <w:numFmt w:val="decimal"/>
      <w:lvlText w:val="%1."/>
      <w:lvlJc w:val="left"/>
      <w:pPr>
        <w:tabs>
          <w:tab w:val="left" w:pos="900"/>
        </w:tabs>
        <w:ind w:left="540" w:hanging="360"/>
      </w:pPr>
    </w:lvl>
  </w:abstractNum>
  <w:abstractNum w:abstractNumId="17">
    <w:nsid w:val="0E640482"/>
    <w:multiLevelType w:val="singleLevel"/>
    <w:tmpl w:val="0E640482"/>
    <w:lvl w:ilvl="0" w:tentative="0">
      <w:start w:val="1"/>
      <w:numFmt w:val="decimal"/>
      <w:lvlText w:val="%1."/>
      <w:lvlJc w:val="left"/>
      <w:pPr>
        <w:tabs>
          <w:tab w:val="left" w:pos="900"/>
        </w:tabs>
        <w:ind w:left="540" w:hanging="360"/>
      </w:pPr>
    </w:lvl>
  </w:abstractNum>
  <w:abstractNum w:abstractNumId="18">
    <w:nsid w:val="2470EC97"/>
    <w:multiLevelType w:val="singleLevel"/>
    <w:tmpl w:val="2470EC97"/>
    <w:lvl w:ilvl="0" w:tentative="0">
      <w:start w:val="1"/>
      <w:numFmt w:val="decimal"/>
      <w:lvlText w:val="%1."/>
      <w:lvlJc w:val="left"/>
      <w:pPr>
        <w:tabs>
          <w:tab w:val="left" w:pos="900"/>
        </w:tabs>
        <w:ind w:left="540" w:hanging="360"/>
      </w:pPr>
    </w:lvl>
  </w:abstractNum>
  <w:abstractNum w:abstractNumId="19">
    <w:nsid w:val="25B654F3"/>
    <w:multiLevelType w:val="singleLevel"/>
    <w:tmpl w:val="25B654F3"/>
    <w:lvl w:ilvl="0" w:tentative="0">
      <w:start w:val="4"/>
      <w:numFmt w:val="decimal"/>
      <w:lvlText w:val="%1."/>
      <w:lvlJc w:val="left"/>
      <w:pPr>
        <w:tabs>
          <w:tab w:val="left" w:pos="900"/>
        </w:tabs>
        <w:ind w:left="540" w:hanging="360"/>
      </w:pPr>
    </w:lvl>
  </w:abstractNum>
  <w:abstractNum w:abstractNumId="20">
    <w:nsid w:val="2A8F537B"/>
    <w:multiLevelType w:val="singleLevel"/>
    <w:tmpl w:val="2A8F537B"/>
    <w:lvl w:ilvl="0" w:tentative="0">
      <w:start w:val="8"/>
      <w:numFmt w:val="decimal"/>
      <w:lvlText w:val="%1."/>
      <w:lvlJc w:val="left"/>
      <w:pPr>
        <w:tabs>
          <w:tab w:val="left" w:pos="900"/>
        </w:tabs>
        <w:ind w:left="540" w:hanging="360"/>
      </w:pPr>
    </w:lvl>
  </w:abstractNum>
  <w:abstractNum w:abstractNumId="21">
    <w:nsid w:val="39A0D9AC"/>
    <w:multiLevelType w:val="singleLevel"/>
    <w:tmpl w:val="39A0D9AC"/>
    <w:lvl w:ilvl="0" w:tentative="0">
      <w:start w:val="1"/>
      <w:numFmt w:val="decimal"/>
      <w:lvlText w:val="%1."/>
      <w:lvlJc w:val="left"/>
      <w:pPr>
        <w:tabs>
          <w:tab w:val="left" w:pos="900"/>
        </w:tabs>
        <w:ind w:left="540" w:hanging="360"/>
      </w:pPr>
    </w:lvl>
  </w:abstractNum>
  <w:abstractNum w:abstractNumId="22">
    <w:nsid w:val="46A08BB8"/>
    <w:multiLevelType w:val="singleLevel"/>
    <w:tmpl w:val="46A08BB8"/>
    <w:lvl w:ilvl="0" w:tentative="0">
      <w:start w:val="2"/>
      <w:numFmt w:val="decimal"/>
      <w:lvlText w:val="%1."/>
      <w:lvlJc w:val="left"/>
      <w:pPr>
        <w:tabs>
          <w:tab w:val="left" w:pos="900"/>
        </w:tabs>
        <w:ind w:left="540" w:hanging="360"/>
      </w:pPr>
    </w:lvl>
  </w:abstractNum>
  <w:abstractNum w:abstractNumId="23">
    <w:nsid w:val="4C1BAE26"/>
    <w:multiLevelType w:val="singleLevel"/>
    <w:tmpl w:val="4C1BAE26"/>
    <w:lvl w:ilvl="0" w:tentative="0">
      <w:start w:val="1"/>
      <w:numFmt w:val="bullet"/>
      <w:lvlText w:val=""/>
      <w:lvlJc w:val="left"/>
      <w:pPr>
        <w:tabs>
          <w:tab w:val="left" w:pos="900"/>
        </w:tabs>
        <w:ind w:left="540" w:hanging="360"/>
      </w:pPr>
      <w:rPr>
        <w:rFonts w:hint="default" w:ascii="Symbol" w:hAnsi="Symbol"/>
      </w:rPr>
    </w:lvl>
  </w:abstractNum>
  <w:abstractNum w:abstractNumId="24">
    <w:nsid w:val="4D4DC07F"/>
    <w:multiLevelType w:val="singleLevel"/>
    <w:tmpl w:val="4D4DC07F"/>
    <w:lvl w:ilvl="0" w:tentative="0">
      <w:start w:val="1"/>
      <w:numFmt w:val="decimal"/>
      <w:lvlText w:val="%1."/>
      <w:lvlJc w:val="left"/>
      <w:pPr>
        <w:tabs>
          <w:tab w:val="left" w:pos="900"/>
        </w:tabs>
        <w:ind w:left="540" w:hanging="360"/>
      </w:pPr>
    </w:lvl>
  </w:abstractNum>
  <w:abstractNum w:abstractNumId="25">
    <w:nsid w:val="58765686"/>
    <w:multiLevelType w:val="singleLevel"/>
    <w:tmpl w:val="58765686"/>
    <w:lvl w:ilvl="0" w:tentative="0">
      <w:start w:val="3"/>
      <w:numFmt w:val="decimal"/>
      <w:lvlText w:val="%1."/>
      <w:lvlJc w:val="left"/>
      <w:pPr>
        <w:tabs>
          <w:tab w:val="left" w:pos="900"/>
        </w:tabs>
        <w:ind w:left="540" w:hanging="360"/>
      </w:pPr>
    </w:lvl>
  </w:abstractNum>
  <w:abstractNum w:abstractNumId="26">
    <w:nsid w:val="59ADCABA"/>
    <w:multiLevelType w:val="singleLevel"/>
    <w:tmpl w:val="59ADCABA"/>
    <w:lvl w:ilvl="0" w:tentative="0">
      <w:start w:val="1"/>
      <w:numFmt w:val="bullet"/>
      <w:lvlText w:val=""/>
      <w:lvlJc w:val="left"/>
      <w:pPr>
        <w:tabs>
          <w:tab w:val="left" w:pos="900"/>
        </w:tabs>
        <w:ind w:left="540" w:hanging="360"/>
      </w:pPr>
      <w:rPr>
        <w:rFonts w:hint="default" w:ascii="Symbol" w:hAnsi="Symbol"/>
      </w:rPr>
    </w:lvl>
  </w:abstractNum>
  <w:abstractNum w:abstractNumId="27">
    <w:nsid w:val="5A241D34"/>
    <w:multiLevelType w:val="singleLevel"/>
    <w:tmpl w:val="5A241D34"/>
    <w:lvl w:ilvl="0" w:tentative="0">
      <w:start w:val="1"/>
      <w:numFmt w:val="decimal"/>
      <w:lvlText w:val="%1."/>
      <w:lvlJc w:val="left"/>
      <w:pPr>
        <w:tabs>
          <w:tab w:val="left" w:pos="900"/>
        </w:tabs>
        <w:ind w:left="540" w:hanging="360"/>
      </w:pPr>
    </w:lvl>
  </w:abstractNum>
  <w:abstractNum w:abstractNumId="28">
    <w:nsid w:val="60382F6E"/>
    <w:multiLevelType w:val="singleLevel"/>
    <w:tmpl w:val="60382F6E"/>
    <w:lvl w:ilvl="0" w:tentative="0">
      <w:start w:val="2"/>
      <w:numFmt w:val="decimal"/>
      <w:lvlText w:val="%1."/>
      <w:lvlJc w:val="left"/>
      <w:pPr>
        <w:tabs>
          <w:tab w:val="left" w:pos="900"/>
        </w:tabs>
        <w:ind w:left="540" w:hanging="360"/>
      </w:pPr>
    </w:lvl>
  </w:abstractNum>
  <w:abstractNum w:abstractNumId="29">
    <w:nsid w:val="629F7852"/>
    <w:multiLevelType w:val="singleLevel"/>
    <w:tmpl w:val="629F7852"/>
    <w:lvl w:ilvl="0" w:tentative="0">
      <w:start w:val="1"/>
      <w:numFmt w:val="decimal"/>
      <w:lvlText w:val="%1."/>
      <w:lvlJc w:val="left"/>
      <w:pPr>
        <w:tabs>
          <w:tab w:val="left" w:pos="900"/>
        </w:tabs>
        <w:ind w:left="540" w:hanging="360"/>
      </w:pPr>
    </w:lvl>
  </w:abstractNum>
  <w:abstractNum w:abstractNumId="30">
    <w:nsid w:val="72183CF9"/>
    <w:multiLevelType w:val="singleLevel"/>
    <w:tmpl w:val="72183CF9"/>
    <w:lvl w:ilvl="0" w:tentative="0">
      <w:start w:val="5"/>
      <w:numFmt w:val="decimal"/>
      <w:lvlText w:val="%1."/>
      <w:lvlJc w:val="left"/>
      <w:pPr>
        <w:tabs>
          <w:tab w:val="left" w:pos="900"/>
        </w:tabs>
        <w:ind w:left="540" w:hanging="360"/>
      </w:pPr>
    </w:lvl>
  </w:abstractNum>
  <w:abstractNum w:abstractNumId="31">
    <w:nsid w:val="77ECEA79"/>
    <w:multiLevelType w:val="singleLevel"/>
    <w:tmpl w:val="77ECEA79"/>
    <w:lvl w:ilvl="0" w:tentative="0">
      <w:start w:val="1"/>
      <w:numFmt w:val="decimal"/>
      <w:lvlText w:val="%1."/>
      <w:lvlJc w:val="left"/>
      <w:pPr>
        <w:tabs>
          <w:tab w:val="left" w:pos="900"/>
        </w:tabs>
        <w:ind w:left="540" w:hanging="360"/>
      </w:pPr>
    </w:lvl>
  </w:abstractNum>
  <w:abstractNum w:abstractNumId="32">
    <w:nsid w:val="7C246926"/>
    <w:multiLevelType w:val="singleLevel"/>
    <w:tmpl w:val="7C246926"/>
    <w:lvl w:ilvl="0" w:tentative="0">
      <w:start w:val="2"/>
      <w:numFmt w:val="decimal"/>
      <w:lvlText w:val="%1."/>
      <w:lvlJc w:val="left"/>
      <w:pPr>
        <w:tabs>
          <w:tab w:val="left" w:pos="900"/>
        </w:tabs>
        <w:ind w:left="540" w:hanging="360"/>
      </w:pPr>
    </w:lvl>
  </w:abstractNum>
  <w:abstractNum w:abstractNumId="33">
    <w:nsid w:val="7DEC2089"/>
    <w:multiLevelType w:val="singleLevel"/>
    <w:tmpl w:val="7DEC2089"/>
    <w:lvl w:ilvl="0" w:tentative="0">
      <w:start w:val="4"/>
      <w:numFmt w:val="decimal"/>
      <w:lvlText w:val="%1."/>
      <w:lvlJc w:val="left"/>
      <w:pPr>
        <w:tabs>
          <w:tab w:val="left" w:pos="900"/>
        </w:tabs>
        <w:ind w:left="540" w:hanging="360"/>
      </w:pPr>
    </w:lvl>
  </w:abstractNum>
  <w:num w:numId="1">
    <w:abstractNumId w:val="14"/>
  </w:num>
  <w:num w:numId="2">
    <w:abstractNumId w:val="10"/>
  </w:num>
  <w:num w:numId="3">
    <w:abstractNumId w:val="26"/>
  </w:num>
  <w:num w:numId="4">
    <w:abstractNumId w:val="8"/>
  </w:num>
  <w:num w:numId="5">
    <w:abstractNumId w:val="6"/>
  </w:num>
  <w:num w:numId="6">
    <w:abstractNumId w:val="16"/>
  </w:num>
  <w:num w:numId="7">
    <w:abstractNumId w:val="19"/>
  </w:num>
  <w:num w:numId="8">
    <w:abstractNumId w:val="30"/>
  </w:num>
  <w:num w:numId="9">
    <w:abstractNumId w:val="15"/>
  </w:num>
  <w:num w:numId="10">
    <w:abstractNumId w:val="2"/>
  </w:num>
  <w:num w:numId="11">
    <w:abstractNumId w:val="20"/>
  </w:num>
  <w:num w:numId="12">
    <w:abstractNumId w:val="27"/>
  </w:num>
  <w:num w:numId="13">
    <w:abstractNumId w:val="9"/>
  </w:num>
  <w:num w:numId="14">
    <w:abstractNumId w:val="24"/>
  </w:num>
  <w:num w:numId="15">
    <w:abstractNumId w:val="13"/>
  </w:num>
  <w:num w:numId="16">
    <w:abstractNumId w:val="18"/>
  </w:num>
  <w:num w:numId="17">
    <w:abstractNumId w:val="12"/>
  </w:num>
  <w:num w:numId="18">
    <w:abstractNumId w:val="11"/>
  </w:num>
  <w:num w:numId="19">
    <w:abstractNumId w:val="4"/>
  </w:num>
  <w:num w:numId="20">
    <w:abstractNumId w:val="23"/>
  </w:num>
  <w:num w:numId="21">
    <w:abstractNumId w:val="28"/>
  </w:num>
  <w:num w:numId="22">
    <w:abstractNumId w:val="17"/>
  </w:num>
  <w:num w:numId="23">
    <w:abstractNumId w:val="22"/>
  </w:num>
  <w:num w:numId="24">
    <w:abstractNumId w:val="5"/>
  </w:num>
  <w:num w:numId="25">
    <w:abstractNumId w:val="32"/>
  </w:num>
  <w:num w:numId="26">
    <w:abstractNumId w:val="31"/>
  </w:num>
  <w:num w:numId="27">
    <w:abstractNumId w:val="7"/>
  </w:num>
  <w:num w:numId="28">
    <w:abstractNumId w:val="29"/>
  </w:num>
  <w:num w:numId="29">
    <w:abstractNumId w:val="3"/>
  </w:num>
  <w:num w:numId="30">
    <w:abstractNumId w:val="21"/>
  </w:num>
  <w:num w:numId="31">
    <w:abstractNumId w:val="1"/>
  </w:num>
  <w:num w:numId="32">
    <w:abstractNumId w:val="25"/>
  </w:num>
  <w:num w:numId="33">
    <w:abstractNumId w:val="33"/>
  </w:num>
  <w:num w:numId="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3"/>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6DA702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Georgia" w:hAnsiTheme="minorHAnsi" w:eastAsiaTheme="minorHAnsi" w:cstheme="minorBidi"/>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after="120" w:line="240" w:lineRule="atLeast"/>
    </w:pPr>
    <w:rPr>
      <w:rFonts w:ascii="Georgia" w:hAnsiTheme="minorHAnsi" w:eastAsiaTheme="minorHAnsi" w:cstheme="minorBidi"/>
      <w:sz w:val="21"/>
      <w:szCs w:val="22"/>
      <w:lang w:val="zh-CN" w:eastAsia="zh-CN" w:bidi="ar-SA"/>
    </w:rPr>
  </w:style>
  <w:style w:type="character" w:default="1" w:styleId="3">
    <w:name w:val="Default Paragraph Font"/>
    <w:semiHidden/>
    <w:uiPriority w:val="0"/>
  </w:style>
  <w:style w:type="table" w:default="1" w:styleId="2">
    <w:name w:val="Normal Table"/>
    <w:semiHidden/>
    <w:unhideWhenUsed/>
    <w:uiPriority w:val="99"/>
    <w:tblPr>
      <w:tblCellMar>
        <w:top w:w="80" w:type="dxa"/>
        <w:left w:w="160" w:type="dxa"/>
        <w:bottom w:w="80" w:type="dxa"/>
        <w:right w:w="160" w:type="dxa"/>
      </w:tblCellMar>
    </w:tblPr>
  </w:style>
  <w:style w:type="character" w:customStyle="1" w:styleId="4">
    <w:name w:val="Verbatim Char"/>
    <w:uiPriority w:val="0"/>
    <w:rPr>
      <w:rFonts w:ascii="Consolas" w:hAnsi="Consolas"/>
      <w:sz w:val="22"/>
    </w:rPr>
  </w:style>
  <w:style w:type="table" w:customStyle="1" w:styleId="5">
    <w:name w:val="Normal Grid"/>
    <w:basedOn w:val="2"/>
    <w:qFormat/>
    <w:uiPriority w:val="39"/>
    <w:pPr>
      <w:spacing w:after="0" w:line="240" w:lineRule="auto"/>
    </w:pPr>
    <w:tblPr>
      <w:tblCellMar>
        <w:top w:w="80" w:type="dxa"/>
        <w:left w:w="160" w:type="dxa"/>
        <w:bottom w:w="80" w:type="dxa"/>
        <w:right w:w="160"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Info spid="_x0000_s1027"/>
    <customShpInfo spid="_x0000_s1028"/>
    <customShpInfo spid="_x0000_s1029"/>
    <customShpInfo spid="_x0000_s1030"/>
    <customShpInfo spid="_x0000_s1031"/>
    <customShpInfo spid="_x0000_s1032"/>
    <customShpInfo spid="_x0000_s1033"/>
    <customShpInfo spid="_x0000_s1034"/>
    <customShpInfo spid="_x0000_s1035"/>
    <customShpInfo spid="_x0000_s1036"/>
    <customShpInfo spid="_x0000_s1037"/>
    <customShpInfo spid="_x0000_s1038"/>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17</Pages>
  <Words>2783</Words>
  <Characters>2999</Characters>
  <TotalTime>0</TotalTime>
  <ScaleCrop>false</ScaleCrop>
  <LinksUpToDate>false</LinksUpToDate>
  <CharactersWithSpaces>3062</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2026-01-14T17:15:00Z</dcterms:created>
  <dc:creator>html-to-docx</dc:creator>
  <cp:keywords>html-to-docx</cp:keywords>
  <cp:lastModifiedBy>dyx</cp:lastModifiedBy>
  <dcterms:modified xsi:type="dcterms:W3CDTF">2026-01-17T16:39:08Z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eyJoZGlkIjoiMzEwNTM5NzYwMDRjMzkwZTVkZjY2ODkwMGIxNGU0OTUiLCJ1c2VySWQiOiIxMzIzODQxOTU2In0=</vt:lpwstr>
  </property>
  <property fmtid="{D5CDD505-2E9C-101B-9397-08002B2CF9AE}" pid="3" name="KSOProductBuildVer">
    <vt:lpwstr>2052-12.1.0.23542</vt:lpwstr>
  </property>
  <property fmtid="{D5CDD505-2E9C-101B-9397-08002B2CF9AE}" pid="4" name="ICV">
    <vt:lpwstr>379B9764207B4937BAB7A2295AEC5F67_12</vt:lpwstr>
  </property>
</Properties>
</file>