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2298"/>
        <w:spacing w:before="81" w:line="217" w:lineRule="auto"/>
        <w:outlineLvl w:val="0"/>
        <w:rPr>
          <w:sz w:val="40"/>
          <w:szCs w:val="40"/>
        </w:rPr>
      </w:pPr>
      <w:r>
        <w:rPr>
          <w:sz w:val="40"/>
          <w:szCs w:val="40"/>
          <w:spacing w:val="6"/>
        </w:rPr>
        <w:t>2021-2024年珠宝设计流行趋势变化分析</w:t>
      </w:r>
      <w:r>
        <w:rPr>
          <w:sz w:val="40"/>
          <w:szCs w:val="40"/>
          <w:spacing w:val="2"/>
        </w:rPr>
        <w:t xml:space="preserve"> </w:t>
      </w:r>
      <w:r>
        <w:rPr>
          <w:sz w:val="40"/>
          <w:szCs w:val="40"/>
          <w:spacing w:val="15"/>
        </w:rPr>
        <w:t>报告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4" w:line="223" w:lineRule="auto"/>
        <w:rPr>
          <w:sz w:val="32"/>
          <w:szCs w:val="32"/>
        </w:rPr>
      </w:pPr>
      <w:r>
        <w:rPr>
          <w:sz w:val="32"/>
          <w:szCs w:val="32"/>
          <w:b/>
          <w:bCs/>
        </w:rPr>
        <w:t>引言</w:t>
      </w:r>
    </w:p>
    <w:p>
      <w:pPr>
        <w:pStyle w:val="BodyText"/>
        <w:spacing w:before="161" w:line="213" w:lineRule="auto"/>
        <w:rPr/>
      </w:pPr>
      <w:r>
        <w:rPr>
          <w:spacing w:val="2"/>
        </w:rPr>
        <w:t>本报告聚焦2021-2024年间珠宝设计流行趋势的变化，研</w:t>
      </w:r>
      <w:r>
        <w:rPr>
          <w:spacing w:val="1"/>
        </w:rPr>
        <w:t>究对象严格限定为两</w:t>
      </w:r>
    </w:p>
    <w:p>
      <w:pPr>
        <w:pStyle w:val="BodyText"/>
        <w:spacing w:before="122" w:line="217" w:lineRule="auto"/>
        <w:rPr>
          <w:rFonts w:ascii="SimSun" w:hAnsi="SimSun" w:eastAsia="SimSun" w:cs="SimSun"/>
        </w:rPr>
      </w:pPr>
      <w:r>
        <w:rPr>
          <w:spacing w:val="11"/>
        </w:rPr>
        <w:t>类：(1)高奢品牌珠宝(以</w:t>
      </w:r>
      <w:r>
        <w:rPr>
          <w:rFonts w:ascii="SimSun" w:hAnsi="SimSun" w:eastAsia="SimSun" w:cs="SimSun"/>
        </w:rPr>
        <w:t>Cartier</w:t>
      </w:r>
      <w:r>
        <w:rPr>
          <w:rFonts w:ascii="SimSun" w:hAnsi="SimSun" w:eastAsia="SimSun" w:cs="SimSun"/>
          <w:spacing w:val="11"/>
        </w:rPr>
        <w:t>、</w:t>
      </w:r>
      <w:r>
        <w:rPr>
          <w:rFonts w:ascii="SimSun" w:hAnsi="SimSun" w:eastAsia="SimSun" w:cs="SimSun"/>
        </w:rPr>
        <w:t>Van</w:t>
      </w:r>
      <w:r>
        <w:rPr>
          <w:rFonts w:ascii="SimSun" w:hAnsi="SimSun" w:eastAsia="SimSun" w:cs="SimSun"/>
          <w:spacing w:val="11"/>
        </w:rPr>
        <w:t xml:space="preserve"> </w:t>
      </w:r>
      <w:r>
        <w:rPr>
          <w:rFonts w:ascii="SimSun" w:hAnsi="SimSun" w:eastAsia="SimSun" w:cs="SimSun"/>
        </w:rPr>
        <w:t>Cleef</w:t>
      </w:r>
      <w:r>
        <w:rPr>
          <w:rFonts w:ascii="SimSun" w:hAnsi="SimSun" w:eastAsia="SimSun" w:cs="SimSun"/>
          <w:spacing w:val="11"/>
        </w:rPr>
        <w:t xml:space="preserve"> &amp;</w:t>
      </w:r>
      <w:r>
        <w:rPr>
          <w:rFonts w:ascii="SimSun" w:hAnsi="SimSun" w:eastAsia="SimSun" w:cs="SimSun"/>
        </w:rPr>
        <w:t>Arpels</w:t>
      </w:r>
      <w:r>
        <w:rPr>
          <w:rFonts w:ascii="SimSun" w:hAnsi="SimSun" w:eastAsia="SimSun" w:cs="SimSun"/>
          <w:spacing w:val="11"/>
        </w:rPr>
        <w:t>、</w:t>
      </w:r>
      <w:r>
        <w:rPr>
          <w:rFonts w:ascii="SimSun" w:hAnsi="SimSun" w:eastAsia="SimSun" w:cs="SimSun"/>
        </w:rPr>
        <w:t>Tiffany</w:t>
      </w:r>
      <w:r>
        <w:rPr>
          <w:rFonts w:ascii="SimSun" w:hAnsi="SimSun" w:eastAsia="SimSun" w:cs="SimSun"/>
          <w:spacing w:val="11"/>
        </w:rPr>
        <w:t xml:space="preserve"> &amp;</w:t>
      </w:r>
      <w:r>
        <w:rPr>
          <w:rFonts w:ascii="SimSun" w:hAnsi="SimSun" w:eastAsia="SimSun" w:cs="SimSun"/>
        </w:rPr>
        <w:t>Co</w:t>
      </w:r>
      <w:r>
        <w:rPr>
          <w:rFonts w:ascii="SimSun" w:hAnsi="SimSun" w:eastAsia="SimSun" w:cs="SimSun"/>
          <w:spacing w:val="11"/>
        </w:rPr>
        <w:t>.</w:t>
      </w:r>
    </w:p>
    <w:p>
      <w:pPr>
        <w:pStyle w:val="BodyText"/>
        <w:ind w:right="2133"/>
        <w:spacing w:before="113" w:line="310" w:lineRule="auto"/>
        <w:rPr/>
      </w:pPr>
      <w:r>
        <w:rPr>
          <w:rFonts w:ascii="SimSun" w:hAnsi="SimSun" w:eastAsia="SimSun" w:cs="SimSun"/>
        </w:rPr>
        <w:t>Bulgari</w:t>
      </w:r>
      <w:r>
        <w:rPr>
          <w:spacing w:val="15"/>
        </w:rPr>
        <w:t>等代表品牌的当代高定珠宝系列为主);(2)高定竞拍品</w:t>
      </w:r>
      <w:r>
        <w:rPr>
          <w:spacing w:val="14"/>
        </w:rPr>
        <w:t>(佳士得、苏</w:t>
      </w:r>
      <w:r>
        <w:rPr/>
        <w:t xml:space="preserve"> </w:t>
      </w:r>
      <w:r>
        <w:rPr>
          <w:spacing w:val="2"/>
        </w:rPr>
        <w:t>富比等主要拍卖行成交的顶级珠宝作品，包括历史与当代稀有件)。</w:t>
      </w:r>
    </w:p>
    <w:p>
      <w:pPr>
        <w:pStyle w:val="BodyText"/>
        <w:ind w:right="2054"/>
        <w:spacing w:before="141" w:line="323" w:lineRule="auto"/>
        <w:jc w:val="both"/>
        <w:rPr/>
      </w:pPr>
      <w:r>
        <w:rPr>
          <w:spacing w:val="1"/>
        </w:rPr>
        <w:t>分析从材质、工艺、主题、风格等多维度展开，明确总结两者共</w:t>
      </w:r>
      <w:r>
        <w:rPr/>
        <w:t>通趋势，并分别</w:t>
      </w:r>
      <w:r>
        <w:rPr/>
        <w:t xml:space="preserve"> </w:t>
      </w:r>
      <w:r>
        <w:rPr>
          <w:spacing w:val="2"/>
        </w:rPr>
        <w:t>提炼各自特色亮点。时间范围严格控制在202</w:t>
      </w:r>
      <w:r>
        <w:rPr>
          <w:spacing w:val="1"/>
        </w:rPr>
        <w:t>1-2024年，基于行业收藏发布、拍</w:t>
      </w:r>
      <w:r>
        <w:rPr/>
        <w:t xml:space="preserve"> </w:t>
      </w:r>
      <w:r>
        <w:rPr>
          <w:spacing w:val="-2"/>
        </w:rPr>
        <w:t>卖记录及市场观察，揭示趋势演变及其深层驱动因素。</w:t>
      </w:r>
    </w:p>
    <w:p>
      <w:pPr>
        <w:spacing w:line="397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5" w:line="221" w:lineRule="auto"/>
        <w:outlineLvl w:val="1"/>
        <w:rPr>
          <w:sz w:val="32"/>
          <w:szCs w:val="32"/>
        </w:rPr>
      </w:pPr>
      <w:r>
        <w:rPr>
          <w:sz w:val="32"/>
          <w:szCs w:val="32"/>
          <w:b/>
          <w:bCs/>
          <w:spacing w:val="-8"/>
        </w:rPr>
        <w:t>一、共通流行趋势</w:t>
      </w:r>
    </w:p>
    <w:p>
      <w:pPr>
        <w:pStyle w:val="BodyText"/>
        <w:ind w:right="2135"/>
        <w:spacing w:before="169" w:line="317" w:lineRule="auto"/>
        <w:rPr/>
      </w:pPr>
      <w:r>
        <w:rPr>
          <w:spacing w:val="1"/>
        </w:rPr>
        <w:t>2021-2024年间，高奢品牌珠宝与高定竞拍品呈现显著共通趋势，体现为从后疫</w:t>
      </w:r>
      <w:r>
        <w:rPr>
          <w:spacing w:val="13"/>
        </w:rPr>
        <w:t xml:space="preserve"> </w:t>
      </w:r>
      <w:r>
        <w:rPr>
          <w:spacing w:val="-18"/>
        </w:rPr>
        <w:t>情时代的“色彩疗愈“向更成熟的“自然表达与稀有</w:t>
      </w:r>
      <w:r>
        <w:rPr>
          <w:spacing w:val="-19"/>
        </w:rPr>
        <w:t>投资“转型。</w:t>
      </w:r>
    </w:p>
    <w:p>
      <w:pPr>
        <w:pStyle w:val="BodyText"/>
        <w:ind w:left="322"/>
        <w:spacing w:before="137" w:line="222" w:lineRule="auto"/>
        <w:outlineLvl w:val="4"/>
        <w:rPr/>
      </w:pPr>
      <w:r>
        <w:rPr>
          <w:rFonts w:ascii="SimSun" w:hAnsi="SimSun" w:eastAsia="SimSun" w:cs="SimSun"/>
          <w:b/>
          <w:bCs/>
          <w:spacing w:val="-1"/>
        </w:rPr>
        <w:t>1.</w:t>
      </w:r>
      <w:r>
        <w:rPr>
          <w:b/>
          <w:bCs/>
          <w:spacing w:val="-1"/>
        </w:rPr>
        <w:t>彩色宝石与钻石的主导地位</w:t>
      </w:r>
    </w:p>
    <w:p>
      <w:pPr>
        <w:pStyle w:val="BodyText"/>
        <w:ind w:left="529" w:right="2045"/>
        <w:spacing w:before="79" w:line="329" w:lineRule="auto"/>
        <w:rPr/>
      </w:pPr>
      <w:r>
        <w:rPr>
          <w:spacing w:val="3"/>
        </w:rPr>
        <w:t>白钻主导的时代渐退，彩色宝石(祖母绿、红宝石、蓝宝石、帕拉伊巴碧</w:t>
      </w:r>
      <w:r>
        <w:rPr>
          <w:spacing w:val="8"/>
        </w:rPr>
        <w:t xml:space="preserve">  </w:t>
      </w:r>
      <w:r>
        <w:rPr>
          <w:spacing w:val="6"/>
        </w:rPr>
        <w:t>玺</w:t>
      </w:r>
      <w:r>
        <w:rPr>
          <w:spacing w:val="-40"/>
        </w:rPr>
        <w:t xml:space="preserve"> </w:t>
      </w:r>
      <w:r>
        <w:rPr>
          <w:spacing w:val="6"/>
        </w:rPr>
        <w:t>)</w:t>
      </w:r>
      <w:r>
        <w:rPr>
          <w:spacing w:val="-36"/>
        </w:rPr>
        <w:t xml:space="preserve"> </w:t>
      </w:r>
      <w:r>
        <w:rPr>
          <w:spacing w:val="6"/>
        </w:rPr>
        <w:t>和</w:t>
      </w:r>
      <w:r>
        <w:rPr>
          <w:rFonts w:ascii="SimSun" w:hAnsi="SimSun" w:eastAsia="SimSun" w:cs="SimSun"/>
        </w:rPr>
        <w:t>fancy</w:t>
      </w:r>
      <w:r>
        <w:rPr>
          <w:spacing w:val="6"/>
        </w:rPr>
        <w:t>彩钻(尤其粉钻、蓝钻、黄钻)成为核心。202</w:t>
      </w:r>
      <w:r>
        <w:rPr>
          <w:spacing w:val="5"/>
        </w:rPr>
        <w:t>1-2022年彩色</w:t>
      </w:r>
      <w:r>
        <w:rPr/>
        <w:t xml:space="preserve">  </w:t>
      </w:r>
      <w:r>
        <w:rPr>
          <w:spacing w:val="-5"/>
        </w:rPr>
        <w:t>元素初现”喜悦补偿”意味，2023-2024年则强化为市场主流，反映消费者对</w:t>
      </w:r>
      <w:r>
        <w:rPr>
          <w:spacing w:val="12"/>
        </w:rPr>
        <w:t xml:space="preserve"> </w:t>
      </w:r>
      <w:r>
        <w:rPr>
          <w:spacing w:val="-1"/>
        </w:rPr>
        <w:t>活力与个性的追求。</w:t>
      </w:r>
    </w:p>
    <w:p>
      <w:pPr>
        <w:pStyle w:val="BodyText"/>
        <w:ind w:left="322"/>
        <w:spacing w:before="120" w:line="222" w:lineRule="auto"/>
        <w:outlineLvl w:val="4"/>
        <w:rPr/>
      </w:pPr>
      <w:r>
        <w:rPr>
          <w:rFonts w:ascii="SimSun" w:hAnsi="SimSun" w:eastAsia="SimSun" w:cs="SimSun"/>
          <w:b/>
          <w:bCs/>
          <w:spacing w:val="-2"/>
        </w:rPr>
        <w:t>2.</w:t>
      </w:r>
      <w:r>
        <w:rPr>
          <w:b/>
          <w:bCs/>
          <w:spacing w:val="-2"/>
        </w:rPr>
        <w:t>自然与有机主题的盛行</w:t>
      </w:r>
    </w:p>
    <w:p>
      <w:pPr>
        <w:pStyle w:val="BodyText"/>
        <w:ind w:left="529" w:right="2172"/>
        <w:spacing w:before="80" w:line="314" w:lineRule="auto"/>
        <w:rPr/>
      </w:pPr>
      <w:r>
        <w:rPr>
          <w:spacing w:val="7"/>
        </w:rPr>
        <w:t>自然灵感贯穿始终，包括花卉、动物、元素(水、天空、冰川</w:t>
      </w:r>
      <w:r>
        <w:rPr>
          <w:spacing w:val="6"/>
        </w:rPr>
        <w:t>)。高奢系</w:t>
      </w:r>
      <w:r>
        <w:rPr/>
        <w:t xml:space="preserve"> </w:t>
      </w:r>
      <w:r>
        <w:rPr/>
        <w:t>列多以叙事化呈现，高定拍品则通过稀有宝石体现自</w:t>
      </w:r>
      <w:r>
        <w:rPr>
          <w:spacing w:val="-1"/>
        </w:rPr>
        <w:t>然稀缺美感。</w:t>
      </w:r>
    </w:p>
    <w:p>
      <w:pPr>
        <w:pStyle w:val="BodyText"/>
        <w:ind w:left="322"/>
        <w:spacing w:before="153" w:line="221" w:lineRule="auto"/>
        <w:outlineLvl w:val="4"/>
        <w:rPr/>
      </w:pPr>
      <w:r>
        <w:rPr>
          <w:b/>
          <w:bCs/>
          <w:spacing w:val="-1"/>
        </w:rPr>
        <w:t>3.大胆声明式设计与精湛工艺</w:t>
      </w:r>
    </w:p>
    <w:p>
      <w:pPr>
        <w:pStyle w:val="BodyText"/>
        <w:ind w:left="529" w:right="2175"/>
        <w:spacing w:before="66" w:line="311" w:lineRule="auto"/>
        <w:rPr/>
      </w:pPr>
      <w:r>
        <w:rPr>
          <w:spacing w:val="1"/>
        </w:rPr>
        <w:t>作品趋向体积感强、流动</w:t>
      </w:r>
      <w:r>
        <w:rPr>
          <w:spacing w:val="-43"/>
        </w:rPr>
        <w:t xml:space="preserve"> </w:t>
      </w:r>
      <w:r>
        <w:rPr>
          <w:rFonts w:ascii="Arial" w:hAnsi="Arial" w:eastAsia="Arial" w:cs="Arial"/>
        </w:rPr>
        <w:t>articulated</w:t>
      </w:r>
      <w:r>
        <w:rPr>
          <w:rFonts w:ascii="SimSun" w:hAnsi="SimSun" w:eastAsia="SimSun" w:cs="SimSun"/>
          <w:spacing w:val="1"/>
        </w:rPr>
        <w:t>、</w:t>
      </w:r>
      <w:r>
        <w:rPr>
          <w:spacing w:val="1"/>
        </w:rPr>
        <w:t>可转换设计，强调佩戴动态美。工</w:t>
      </w:r>
      <w:r>
        <w:rPr/>
        <w:t xml:space="preserve"> </w:t>
      </w:r>
      <w:r>
        <w:rPr/>
        <w:t>艺上，创新镶嵌、钛金属轻量化、隐秘式扣等技</w:t>
      </w:r>
      <w:r>
        <w:rPr>
          <w:spacing w:val="-1"/>
        </w:rPr>
        <w:t>术广泛应用。</w:t>
      </w:r>
    </w:p>
    <w:p>
      <w:pPr>
        <w:pStyle w:val="BodyText"/>
        <w:ind w:left="322"/>
        <w:spacing w:before="195" w:line="222" w:lineRule="auto"/>
        <w:outlineLvl w:val="4"/>
        <w:rPr/>
      </w:pPr>
      <w:r>
        <w:rPr>
          <w:b/>
          <w:bCs/>
          <w:spacing w:val="-3"/>
        </w:rPr>
        <w:t>4.可持续性意识的渗透</w:t>
      </w:r>
    </w:p>
    <w:p>
      <w:pPr>
        <w:pStyle w:val="BodyText"/>
        <w:ind w:left="529" w:right="2085"/>
        <w:spacing w:before="100" w:line="325" w:lineRule="auto"/>
        <w:jc w:val="both"/>
        <w:rPr/>
      </w:pPr>
      <w:r>
        <w:rPr>
          <w:spacing w:val="2"/>
        </w:rPr>
        <w:t>虽未完全主导设计语言，但负责任</w:t>
      </w:r>
      <w:r>
        <w:rPr>
          <w:rFonts w:ascii="SimSun" w:hAnsi="SimSun" w:eastAsia="SimSun" w:cs="SimSun"/>
        </w:rPr>
        <w:t>sourcing</w:t>
      </w:r>
      <w:r>
        <w:rPr>
          <w:rFonts w:ascii="SimSun" w:hAnsi="SimSun" w:eastAsia="SimSun" w:cs="SimSun"/>
          <w:spacing w:val="2"/>
        </w:rPr>
        <w:t>、</w:t>
      </w:r>
      <w:r>
        <w:rPr>
          <w:spacing w:val="2"/>
        </w:rPr>
        <w:t>回收贵</w:t>
      </w:r>
      <w:r>
        <w:rPr>
          <w:spacing w:val="1"/>
        </w:rPr>
        <w:t>金属、溯源认证渐成</w:t>
      </w:r>
      <w:r>
        <w:rPr/>
        <w:t xml:space="preserve"> </w:t>
      </w:r>
      <w:r>
        <w:rPr>
          <w:spacing w:val="-3"/>
        </w:rPr>
        <w:t>行业共识，高奢品牌更主动宣传，高定拍品</w:t>
      </w:r>
      <w:r>
        <w:rPr>
          <w:spacing w:val="-4"/>
        </w:rPr>
        <w:t>则通过历史件间接体现“永恒价</w:t>
      </w:r>
      <w:r>
        <w:rPr/>
        <w:t xml:space="preserve"> </w:t>
      </w:r>
      <w:r>
        <w:rPr>
          <w:spacing w:val="-33"/>
        </w:rPr>
        <w:t>值”。</w:t>
      </w:r>
    </w:p>
    <w:p>
      <w:pPr>
        <w:pStyle w:val="BodyText"/>
        <w:spacing w:before="141" w:line="221" w:lineRule="auto"/>
        <w:rPr/>
      </w:pPr>
      <w:r>
        <w:rPr>
          <w:spacing w:val="-14"/>
        </w:rPr>
        <w:t>这些共通点标志珠宝从“地位象征”向“情感表达+投资资产”的双重属性转变。</w:t>
      </w:r>
    </w:p>
    <w:p>
      <w:pPr>
        <w:spacing w:line="221" w:lineRule="auto"/>
        <w:sectPr>
          <w:pgSz w:w="12240" w:h="15840"/>
          <w:pgMar w:top="1151" w:right="1836" w:bottom="0" w:left="970" w:header="0" w:footer="0" w:gutter="0"/>
        </w:sectPr>
        <w:rPr/>
      </w:pP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right="2226" w:firstLine="149"/>
        <w:spacing w:before="65" w:line="360" w:lineRule="auto"/>
        <w:rPr>
          <w:sz w:val="20"/>
          <w:szCs w:val="20"/>
        </w:rPr>
      </w:pPr>
      <w:r>
        <w:rPr>
          <w:sz w:val="20"/>
          <w:szCs w:val="20"/>
          <w:spacing w:val="6"/>
        </w:rPr>
        <w:t>(图：</w:t>
      </w:r>
      <w:r>
        <w:rPr>
          <w:rFonts w:ascii="SimSun" w:hAnsi="SimSun" w:eastAsia="SimSun" w:cs="SimSun"/>
          <w:sz w:val="20"/>
          <w:szCs w:val="20"/>
        </w:rPr>
        <w:t>Cartier</w:t>
      </w:r>
      <w:r>
        <w:rPr>
          <w:sz w:val="20"/>
          <w:szCs w:val="20"/>
          <w:spacing w:val="6"/>
        </w:rPr>
        <w:t>与</w:t>
      </w:r>
      <w:r>
        <w:rPr>
          <w:rFonts w:ascii="SimSun" w:hAnsi="SimSun" w:eastAsia="SimSun" w:cs="SimSun"/>
          <w:sz w:val="20"/>
          <w:szCs w:val="20"/>
        </w:rPr>
        <w:t>Van</w:t>
      </w:r>
      <w:r>
        <w:rPr>
          <w:rFonts w:ascii="SimSun" w:hAnsi="SimSun" w:eastAsia="SimSun" w:cs="SimSun"/>
          <w:sz w:val="20"/>
          <w:szCs w:val="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</w:rPr>
        <w:t>Cleef</w:t>
      </w:r>
      <w:r>
        <w:rPr>
          <w:rFonts w:ascii="SimSun" w:hAnsi="SimSun" w:eastAsia="SimSun" w:cs="SimSun"/>
          <w:sz w:val="20"/>
          <w:szCs w:val="20"/>
          <w:spacing w:val="6"/>
        </w:rPr>
        <w:t>&amp;</w:t>
      </w:r>
      <w:r>
        <w:rPr>
          <w:rFonts w:ascii="SimSun" w:hAnsi="SimSun" w:eastAsia="SimSun" w:cs="SimSun"/>
          <w:sz w:val="20"/>
          <w:szCs w:val="20"/>
        </w:rPr>
        <w:t>Arpels</w:t>
      </w:r>
      <w:r>
        <w:rPr>
          <w:sz w:val="20"/>
          <w:szCs w:val="20"/>
          <w:spacing w:val="6"/>
        </w:rPr>
        <w:t>代表性自然动物主题作品，体现共通的有机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5"/>
        </w:rPr>
        <w:t>流动设计)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4" w:line="221" w:lineRule="auto"/>
        <w:outlineLvl w:val="1"/>
        <w:rPr>
          <w:sz w:val="32"/>
          <w:szCs w:val="32"/>
        </w:rPr>
      </w:pPr>
      <w:r>
        <w:rPr>
          <w:sz w:val="32"/>
          <w:szCs w:val="32"/>
          <w:b/>
          <w:bCs/>
          <w:spacing w:val="-6"/>
        </w:rPr>
        <w:t>二、高奢品牌珠宝的特色亮点</w:t>
      </w:r>
    </w:p>
    <w:p>
      <w:pPr>
        <w:pStyle w:val="BodyText"/>
        <w:ind w:right="2315"/>
        <w:spacing w:before="167" w:line="331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高奢品牌的高定珠宝系列</w:t>
      </w:r>
      <w:r>
        <w:rPr>
          <w:sz w:val="20"/>
          <w:szCs w:val="20"/>
          <w:spacing w:val="-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(</w:t>
      </w:r>
      <w:r>
        <w:rPr>
          <w:rFonts w:ascii="SimSun" w:hAnsi="SimSun" w:eastAsia="SimSun" w:cs="SimSun"/>
          <w:sz w:val="20"/>
          <w:szCs w:val="20"/>
        </w:rPr>
        <w:t>Haute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Joaillerie</w:t>
      </w:r>
      <w:r>
        <w:rPr>
          <w:rFonts w:ascii="SimSun" w:hAnsi="SimSun" w:eastAsia="SimSun" w:cs="SimSun"/>
          <w:sz w:val="20"/>
          <w:szCs w:val="20"/>
          <w:spacing w:val="8"/>
        </w:rPr>
        <w:t>)</w:t>
      </w:r>
      <w:r>
        <w:rPr>
          <w:sz w:val="20"/>
          <w:szCs w:val="20"/>
          <w:spacing w:val="8"/>
        </w:rPr>
        <w:t>强调当代叙事、创新工艺与品牌</w:t>
      </w:r>
      <w:r>
        <w:rPr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DNA</w:t>
      </w:r>
      <w:r>
        <w:rPr>
          <w:rFonts w:ascii="SimSun" w:hAnsi="SimSun" w:eastAsia="SimSun" w:cs="SimSun"/>
          <w:sz w:val="20"/>
          <w:szCs w:val="20"/>
          <w:spacing w:val="37"/>
        </w:rPr>
        <w:t xml:space="preserve"> </w:t>
      </w:r>
      <w:r>
        <w:rPr>
          <w:sz w:val="20"/>
          <w:szCs w:val="20"/>
          <w:spacing w:val="8"/>
        </w:rPr>
        <w:t>延续，作品多为限量或独件，突出可佩戴性与故事性。</w:t>
      </w:r>
    </w:p>
    <w:p>
      <w:pPr>
        <w:pStyle w:val="BodyText"/>
        <w:ind w:left="342"/>
        <w:spacing w:before="124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.</w:t>
      </w:r>
      <w:r>
        <w:rPr>
          <w:rFonts w:ascii="SimSun" w:hAnsi="SimSun" w:eastAsia="SimSun" w:cs="SimSun"/>
          <w:sz w:val="20"/>
          <w:szCs w:val="20"/>
          <w:b/>
          <w:bCs/>
        </w:rPr>
        <w:t>Cartier</w:t>
      </w:r>
      <w:r>
        <w:rPr>
          <w:rFonts w:ascii="SimSun" w:hAnsi="SimSun" w:eastAsia="SimSun" w:cs="SimSun"/>
          <w:sz w:val="20"/>
          <w:szCs w:val="20"/>
          <w:b/>
          <w:bCs/>
          <w:spacing w:val="5"/>
        </w:rPr>
        <w:t>:</w:t>
      </w:r>
      <w:r>
        <w:rPr>
          <w:rFonts w:ascii="SimSun" w:hAnsi="SimSun" w:eastAsia="SimSun" w:cs="SimSun"/>
          <w:sz w:val="20"/>
          <w:szCs w:val="20"/>
          <w:spacing w:val="-54"/>
        </w:rPr>
        <w:t xml:space="preserve"> </w:t>
      </w:r>
      <w:r>
        <w:rPr>
          <w:sz w:val="20"/>
          <w:szCs w:val="20"/>
          <w:spacing w:val="5"/>
        </w:rPr>
        <w:t>动物主题持续强化，尤其是</w:t>
      </w:r>
      <w:r>
        <w:rPr>
          <w:rFonts w:ascii="SimSun" w:hAnsi="SimSun" w:eastAsia="SimSun" w:cs="SimSun"/>
          <w:sz w:val="20"/>
          <w:szCs w:val="20"/>
        </w:rPr>
        <w:t>Panther</w:t>
      </w:r>
      <w:r>
        <w:rPr>
          <w:sz w:val="20"/>
          <w:szCs w:val="20"/>
          <w:spacing w:val="5"/>
        </w:rPr>
        <w:t>系列。2023-2024年</w:t>
      </w:r>
      <w:r>
        <w:rPr>
          <w:rFonts w:ascii="SimSun" w:hAnsi="SimSun" w:eastAsia="SimSun" w:cs="SimSun"/>
          <w:sz w:val="20"/>
          <w:szCs w:val="20"/>
          <w:spacing w:val="5"/>
        </w:rPr>
        <w:t>“</w:t>
      </w:r>
      <w:r>
        <w:rPr>
          <w:rFonts w:ascii="SimSun" w:hAnsi="SimSun" w:eastAsia="SimSun" w:cs="SimSun"/>
          <w:sz w:val="20"/>
          <w:szCs w:val="20"/>
        </w:rPr>
        <w:t>Nature</w:t>
      </w:r>
    </w:p>
    <w:p>
      <w:pPr>
        <w:pStyle w:val="BodyText"/>
        <w:ind w:left="419"/>
        <w:spacing w:before="116" w:line="212" w:lineRule="auto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>Sauvage</w:t>
      </w:r>
      <w:r>
        <w:rPr>
          <w:rFonts w:ascii="Times New Roman" w:hAnsi="Times New Roman" w:eastAsia="Times New Roman" w:cs="Times New Roman"/>
          <w:sz w:val="20"/>
          <w:szCs w:val="20"/>
          <w:spacing w:val="8"/>
        </w:rPr>
        <w:t>”  </w:t>
      </w:r>
      <w:r>
        <w:rPr>
          <w:sz w:val="20"/>
          <w:szCs w:val="20"/>
          <w:spacing w:val="8"/>
        </w:rPr>
        <w:t>系列以豹、斑马等野生动物为灵感，结合几何抽象</w:t>
      </w:r>
      <w:r>
        <w:rPr>
          <w:sz w:val="20"/>
          <w:szCs w:val="20"/>
          <w:spacing w:val="7"/>
        </w:rPr>
        <w:t>与流动镶嵌，</w:t>
      </w:r>
    </w:p>
    <w:p>
      <w:pPr>
        <w:pStyle w:val="BodyText"/>
        <w:ind w:left="419" w:right="2113"/>
        <w:spacing w:before="152" w:line="333" w:lineRule="auto"/>
        <w:rPr>
          <w:sz w:val="20"/>
          <w:szCs w:val="20"/>
        </w:rPr>
      </w:pPr>
      <w:r>
        <w:rPr>
          <w:sz w:val="20"/>
          <w:szCs w:val="20"/>
          <w:spacing w:val="12"/>
        </w:rPr>
        <w:t>展现”野性优雅”。特色在于可转换设计(如项链变手链</w:t>
      </w:r>
      <w:r>
        <w:rPr>
          <w:sz w:val="20"/>
          <w:szCs w:val="20"/>
          <w:spacing w:val="11"/>
        </w:rPr>
        <w:t>),体现品牌对功能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美学的追求。</w:t>
      </w:r>
    </w:p>
    <w:p>
      <w:pPr>
        <w:pStyle w:val="BodyText"/>
        <w:ind w:left="419" w:right="2223" w:hanging="77"/>
        <w:spacing w:before="130" w:line="330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.</w:t>
      </w:r>
      <w:r>
        <w:rPr>
          <w:rFonts w:ascii="SimSun" w:hAnsi="SimSun" w:eastAsia="SimSun" w:cs="SimSun"/>
          <w:sz w:val="20"/>
          <w:szCs w:val="20"/>
          <w:b/>
          <w:bCs/>
        </w:rPr>
        <w:t>Van</w:t>
      </w:r>
      <w:r>
        <w:rPr>
          <w:rFonts w:ascii="SimSun" w:hAnsi="SimSun" w:eastAsia="SimSun" w:cs="SimSun"/>
          <w:sz w:val="20"/>
          <w:szCs w:val="20"/>
          <w:spacing w:val="5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</w:rPr>
        <w:t>Cleef</w:t>
      </w:r>
      <w:r>
        <w:rPr>
          <w:rFonts w:ascii="SimSun" w:hAnsi="SimSun" w:eastAsia="SimSun" w:cs="SimSun"/>
          <w:sz w:val="20"/>
          <w:szCs w:val="20"/>
          <w:spacing w:val="44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7"/>
        </w:rPr>
        <w:t>&amp;</w:t>
      </w:r>
      <w:r>
        <w:rPr>
          <w:rFonts w:ascii="SimSun" w:hAnsi="SimSun" w:eastAsia="SimSun" w:cs="SimSun"/>
          <w:sz w:val="20"/>
          <w:szCs w:val="20"/>
          <w:b/>
          <w:bCs/>
        </w:rPr>
        <w:t>Arpels</w:t>
      </w:r>
      <w:r>
        <w:rPr>
          <w:sz w:val="20"/>
          <w:szCs w:val="20"/>
          <w:spacing w:val="7"/>
        </w:rPr>
        <w:t>: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7"/>
        </w:rPr>
        <w:t>诗意自然主义代表。2021-2024年持续深化花卉、芭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0"/>
        </w:rPr>
        <w:t>蕾仙子与四叶草主题，工艺上以</w:t>
      </w:r>
      <w:r>
        <w:rPr>
          <w:rFonts w:ascii="SimSun" w:hAnsi="SimSun" w:eastAsia="SimSun" w:cs="SimSun"/>
          <w:sz w:val="20"/>
          <w:szCs w:val="20"/>
        </w:rPr>
        <w:t>Mystery</w:t>
      </w:r>
      <w:r>
        <w:rPr>
          <w:rFonts w:ascii="SimSun" w:hAnsi="SimSun" w:eastAsia="SimSun" w:cs="SimSun"/>
          <w:sz w:val="20"/>
          <w:szCs w:val="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Set</w:t>
      </w:r>
      <w:r>
        <w:rPr>
          <w:sz w:val="20"/>
          <w:szCs w:val="20"/>
          <w:spacing w:val="10"/>
        </w:rPr>
        <w:t>隐秘镶嵌与柔性链带闻名。亮</w:t>
      </w:r>
      <w:r>
        <w:rPr>
          <w:sz w:val="20"/>
          <w:szCs w:val="20"/>
          <w:spacing w:val="9"/>
        </w:rPr>
        <w:t xml:space="preserve"> </w:t>
      </w:r>
      <w:r>
        <w:rPr>
          <w:sz w:val="20"/>
          <w:szCs w:val="20"/>
          <w:spacing w:val="3"/>
        </w:rPr>
        <w:t>点在于“诗意叙事”,作品如雪花或仙子系列，传递轻盈梦幻感。</w:t>
      </w:r>
    </w:p>
    <w:p>
      <w:pPr>
        <w:pStyle w:val="BodyText"/>
        <w:ind w:left="419" w:right="2196" w:hanging="77"/>
        <w:spacing w:before="138" w:line="320" w:lineRule="auto"/>
        <w:jc w:val="both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.</w:t>
      </w:r>
      <w:r>
        <w:rPr>
          <w:rFonts w:ascii="SimSun" w:hAnsi="SimSun" w:eastAsia="SimSun" w:cs="SimSun"/>
          <w:sz w:val="20"/>
          <w:szCs w:val="20"/>
          <w:b/>
          <w:bCs/>
        </w:rPr>
        <w:t>Bulgari</w:t>
      </w:r>
      <w:r>
        <w:rPr>
          <w:rFonts w:ascii="SimSun" w:hAnsi="SimSun" w:eastAsia="SimSun" w:cs="SimSun"/>
          <w:sz w:val="20"/>
          <w:szCs w:val="20"/>
          <w:b/>
          <w:bCs/>
          <w:spacing w:val="3"/>
        </w:rPr>
        <w:t>:</w:t>
      </w:r>
      <w:r>
        <w:rPr>
          <w:rFonts w:ascii="SimSun" w:hAnsi="SimSun" w:eastAsia="SimSun" w:cs="SimSun"/>
          <w:sz w:val="20"/>
          <w:szCs w:val="20"/>
          <w:spacing w:val="-40"/>
        </w:rPr>
        <w:t xml:space="preserve"> </w:t>
      </w:r>
      <w:r>
        <w:rPr>
          <w:sz w:val="20"/>
          <w:szCs w:val="20"/>
          <w:spacing w:val="3"/>
        </w:rPr>
        <w:t>色彩与建筑感并重。2024年</w:t>
      </w:r>
      <w:r>
        <w:rPr>
          <w:rFonts w:ascii="SimSun" w:hAnsi="SimSun" w:eastAsia="SimSun" w:cs="SimSun"/>
          <w:sz w:val="20"/>
          <w:szCs w:val="20"/>
          <w:spacing w:val="3"/>
        </w:rPr>
        <w:t>“</w:t>
      </w:r>
      <w:r>
        <w:rPr>
          <w:rFonts w:ascii="SimSun" w:hAnsi="SimSun" w:eastAsia="SimSun" w:cs="SimSun"/>
          <w:sz w:val="20"/>
          <w:szCs w:val="20"/>
        </w:rPr>
        <w:t>Aeterna</w:t>
      </w:r>
      <w:r>
        <w:rPr>
          <w:sz w:val="20"/>
          <w:szCs w:val="20"/>
          <w:spacing w:val="3"/>
        </w:rPr>
        <w:t>“系列庆祝140周</w:t>
      </w:r>
      <w:r>
        <w:rPr>
          <w:sz w:val="20"/>
          <w:szCs w:val="20"/>
          <w:spacing w:val="2"/>
        </w:rPr>
        <w:t>年，使用大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量</w:t>
      </w:r>
      <w:r>
        <w:rPr>
          <w:rFonts w:ascii="Arial" w:hAnsi="Arial" w:eastAsia="Arial" w:cs="Arial"/>
          <w:sz w:val="20"/>
          <w:szCs w:val="20"/>
        </w:rPr>
        <w:t>D</w:t>
      </w:r>
      <w:r>
        <w:rPr>
          <w:rFonts w:ascii="Arial" w:hAnsi="Arial" w:eastAsia="Arial" w:cs="Arial"/>
          <w:sz w:val="20"/>
          <w:szCs w:val="20"/>
          <w:spacing w:val="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flawless</w:t>
      </w:r>
      <w:r>
        <w:rPr>
          <w:sz w:val="20"/>
          <w:szCs w:val="20"/>
          <w:spacing w:val="1"/>
        </w:rPr>
        <w:t>钻石与彩宝，</w:t>
      </w:r>
      <w:r>
        <w:rPr>
          <w:sz w:val="20"/>
          <w:szCs w:val="20"/>
          <w:spacing w:val="-11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Serpenti</w:t>
      </w:r>
      <w:r>
        <w:rPr>
          <w:rFonts w:ascii="Arial" w:hAnsi="Arial" w:eastAsia="Arial" w:cs="Arial"/>
          <w:sz w:val="20"/>
          <w:szCs w:val="20"/>
          <w:spacing w:val="-11"/>
        </w:rPr>
        <w:t xml:space="preserve"> </w:t>
      </w:r>
      <w:r>
        <w:rPr>
          <w:sz w:val="20"/>
          <w:szCs w:val="20"/>
          <w:spacing w:val="1"/>
        </w:rPr>
        <w:t>蛇形延续大胆卷曲造型。特色为“罗马式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6"/>
        </w:rPr>
        <w:t>奢华”,融合古罗马遗风与现代3</w:t>
      </w:r>
      <w:r>
        <w:rPr>
          <w:rFonts w:ascii="SimSun" w:hAnsi="SimSun" w:eastAsia="SimSun" w:cs="SimSun"/>
          <w:sz w:val="20"/>
          <w:szCs w:val="20"/>
          <w:spacing w:val="6"/>
        </w:rPr>
        <w:t>D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sz w:val="20"/>
          <w:szCs w:val="20"/>
          <w:spacing w:val="6"/>
        </w:rPr>
        <w:t>波浪结构。</w:t>
      </w:r>
    </w:p>
    <w:p>
      <w:pPr>
        <w:pStyle w:val="BodyText"/>
        <w:ind w:left="342"/>
        <w:spacing w:before="171" w:line="21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</w:rPr>
        <w:t>.Tiffany</w:t>
      </w:r>
      <w:r>
        <w:rPr>
          <w:rFonts w:ascii="SimSun" w:hAnsi="SimSun" w:eastAsia="SimSun" w:cs="SimSun"/>
          <w:sz w:val="20"/>
          <w:szCs w:val="20"/>
          <w:spacing w:val="51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</w:rPr>
        <w:t>&amp;Co.: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Jean</w:t>
      </w:r>
      <w:r>
        <w:rPr>
          <w:rFonts w:ascii="SimSun" w:hAnsi="SimSun" w:eastAsia="SimSun" w:cs="SimSun"/>
          <w:sz w:val="20"/>
          <w:szCs w:val="20"/>
          <w:spacing w:val="44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Schlumbe</w:t>
      </w:r>
      <w:r>
        <w:rPr>
          <w:rFonts w:ascii="SimSun" w:hAnsi="SimSun" w:eastAsia="SimSun" w:cs="SimSun"/>
          <w:sz w:val="20"/>
          <w:szCs w:val="20"/>
          <w:spacing w:val="-1"/>
        </w:rPr>
        <w:t>rger</w:t>
      </w:r>
      <w:r>
        <w:rPr>
          <w:sz w:val="20"/>
          <w:szCs w:val="20"/>
          <w:spacing w:val="-1"/>
        </w:rPr>
        <w:t>遗产复兴。2023-2024年</w:t>
      </w:r>
      <w:r>
        <w:rPr>
          <w:rFonts w:ascii="SimSun" w:hAnsi="SimSun" w:eastAsia="SimSun" w:cs="SimSun"/>
          <w:sz w:val="20"/>
          <w:szCs w:val="20"/>
          <w:spacing w:val="-1"/>
        </w:rPr>
        <w:t>“Bird on a</w:t>
      </w:r>
    </w:p>
    <w:p>
      <w:pPr>
        <w:pStyle w:val="BodyText"/>
        <w:ind w:left="419" w:right="2096"/>
        <w:spacing w:before="122" w:line="343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Rock</w:t>
      </w:r>
      <w:r>
        <w:rPr>
          <w:rFonts w:ascii="SimSun" w:hAnsi="SimSun" w:eastAsia="SimSun" w:cs="SimSun"/>
          <w:sz w:val="20"/>
          <w:szCs w:val="20"/>
          <w:spacing w:val="4"/>
        </w:rPr>
        <w:t>”</w:t>
      </w:r>
      <w:r>
        <w:rPr>
          <w:sz w:val="20"/>
          <w:szCs w:val="20"/>
          <w:spacing w:val="4"/>
        </w:rPr>
        <w:t>系列以彩宝鸟栖宝石为标志，强调趣味与色</w:t>
      </w:r>
      <w:r>
        <w:rPr>
          <w:sz w:val="20"/>
          <w:szCs w:val="20"/>
          <w:spacing w:val="3"/>
        </w:rPr>
        <w:t>彩层次。亮点在于“美国式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7"/>
        </w:rPr>
        <w:t>乐观主义”,作品活泼且适合日常高定佩戴。</w:t>
      </w:r>
    </w:p>
    <w:p>
      <w:pPr>
        <w:pStyle w:val="BodyText"/>
        <w:ind w:right="2054"/>
        <w:spacing w:before="147" w:line="339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整体而言，高奢品牌亮点在于将传统工艺与当代主题融合，创造</w:t>
      </w:r>
      <w:r>
        <w:rPr>
          <w:sz w:val="20"/>
          <w:szCs w:val="20"/>
          <w:spacing w:val="10"/>
        </w:rPr>
        <w:t>具有品牌辨识度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的“可叙述”珠宝，驱动因素包括周年纪念与文化营销。</w:t>
      </w:r>
    </w:p>
    <w:p>
      <w:pPr>
        <w:spacing w:line="339" w:lineRule="auto"/>
        <w:sectPr>
          <w:pgSz w:w="12240" w:h="15840"/>
          <w:pgMar w:top="1346" w:right="1836" w:bottom="0" w:left="970" w:header="0" w:footer="0" w:gutter="0"/>
        </w:sectPr>
        <w:rPr>
          <w:sz w:val="20"/>
          <w:szCs w:val="20"/>
        </w:rPr>
      </w:pPr>
    </w:p>
    <w:p>
      <w:pPr>
        <w:spacing w:line="307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spacing w:line="308" w:lineRule="auto"/>
        <w:rPr>
          <w:rFonts w:ascii="Arial"/>
          <w:sz w:val="21"/>
        </w:rPr>
      </w:pPr>
      <w:r/>
    </w:p>
    <w:p>
      <w:pPr>
        <w:pStyle w:val="BodyText"/>
        <w:ind w:right="2197" w:firstLine="149"/>
        <w:spacing w:before="65" w:line="323" w:lineRule="auto"/>
        <w:rPr>
          <w:sz w:val="20"/>
          <w:szCs w:val="20"/>
        </w:rPr>
      </w:pPr>
      <w:r>
        <w:rPr>
          <w:sz w:val="20"/>
          <w:szCs w:val="20"/>
        </w:rPr>
        <w:t>(图：</w:t>
      </w:r>
      <w:r>
        <w:rPr>
          <w:rFonts w:ascii="SimSun" w:hAnsi="SimSun" w:eastAsia="SimSun" w:cs="SimSun"/>
          <w:sz w:val="20"/>
          <w:szCs w:val="20"/>
        </w:rPr>
        <w:t>Bulgari Aeterna</w:t>
      </w:r>
      <w:r>
        <w:rPr>
          <w:sz w:val="20"/>
          <w:szCs w:val="20"/>
        </w:rPr>
        <w:t>与</w:t>
      </w:r>
      <w:r>
        <w:rPr>
          <w:rFonts w:ascii="SimSun" w:hAnsi="SimSun" w:eastAsia="SimSun" w:cs="SimSun"/>
          <w:sz w:val="20"/>
          <w:szCs w:val="20"/>
        </w:rPr>
        <w:t>Tiffany Bird on a Roc</w:t>
      </w:r>
      <w:r>
        <w:rPr>
          <w:rFonts w:ascii="SimSun" w:hAnsi="SimSun" w:eastAsia="SimSun" w:cs="SimSun"/>
          <w:sz w:val="20"/>
          <w:szCs w:val="20"/>
          <w:spacing w:val="-1"/>
        </w:rPr>
        <w:t>k,</w:t>
      </w:r>
      <w:r>
        <w:rPr>
          <w:sz w:val="20"/>
          <w:szCs w:val="20"/>
          <w:spacing w:val="-1"/>
        </w:rPr>
        <w:t>展示高奢品牌的色彩大胆与趣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9"/>
        </w:rPr>
        <w:t>味叙事)</w:t>
      </w:r>
    </w:p>
    <w:p>
      <w:pPr>
        <w:spacing w:line="399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4" w:line="222" w:lineRule="auto"/>
        <w:outlineLvl w:val="1"/>
        <w:rPr>
          <w:sz w:val="32"/>
          <w:szCs w:val="32"/>
        </w:rPr>
      </w:pPr>
      <w:r>
        <w:rPr>
          <w:sz w:val="32"/>
          <w:szCs w:val="32"/>
          <w:b/>
          <w:bCs/>
          <w:spacing w:val="-8"/>
        </w:rPr>
        <w:t>三、高定竞拍品的特色亮点</w:t>
      </w:r>
    </w:p>
    <w:p>
      <w:pPr>
        <w:pStyle w:val="BodyText"/>
        <w:ind w:right="2917"/>
        <w:spacing w:before="196" w:line="320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高定竞拍品多为历史或极稀有当代件，亮点在于宝石本身稀缺性、历史</w:t>
      </w:r>
      <w:r>
        <w:rPr>
          <w:sz w:val="20"/>
          <w:szCs w:val="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provenance</w:t>
      </w:r>
      <w:r>
        <w:rPr>
          <w:rFonts w:ascii="SimSun" w:hAnsi="SimSun" w:eastAsia="SimSun" w:cs="SimSun"/>
          <w:sz w:val="20"/>
          <w:szCs w:val="20"/>
          <w:spacing w:val="-4"/>
        </w:rPr>
        <w:t xml:space="preserve"> </w:t>
      </w:r>
      <w:r>
        <w:rPr>
          <w:sz w:val="20"/>
          <w:szCs w:val="20"/>
          <w:spacing w:val="7"/>
        </w:rPr>
        <w:t>与签名价值，成交价格往往创纪录。</w:t>
      </w:r>
    </w:p>
    <w:p>
      <w:pPr>
        <w:pStyle w:val="BodyText"/>
        <w:ind w:left="419" w:right="2056" w:hanging="77"/>
        <w:spacing w:before="138" w:line="328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1"/>
        </w:rPr>
        <w:t>.彩色钻石的绝对统治：</w:t>
      </w:r>
      <w:r>
        <w:rPr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1"/>
        </w:rPr>
        <w:t>2021-2024年，</w:t>
      </w:r>
      <w:r>
        <w:rPr>
          <w:sz w:val="20"/>
          <w:szCs w:val="20"/>
          <w:spacing w:val="-56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fancy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vivid</w:t>
      </w:r>
      <w:r>
        <w:rPr>
          <w:sz w:val="20"/>
          <w:szCs w:val="20"/>
          <w:spacing w:val="1"/>
        </w:rPr>
        <w:t>粉钻、蓝钻</w:t>
      </w:r>
      <w:r>
        <w:rPr>
          <w:sz w:val="20"/>
          <w:szCs w:val="20"/>
        </w:rPr>
        <w:t>主导拍卖。代</w:t>
      </w:r>
      <w:r>
        <w:rPr>
          <w:sz w:val="20"/>
          <w:szCs w:val="20"/>
        </w:rPr>
        <w:t xml:space="preserve">  </w:t>
      </w:r>
      <w:r>
        <w:rPr>
          <w:sz w:val="20"/>
          <w:szCs w:val="20"/>
          <w:spacing w:val="10"/>
        </w:rPr>
        <w:t>表如2024年佳士得10.20克拉”</w:t>
      </w:r>
      <w:r>
        <w:rPr>
          <w:rFonts w:ascii="Arial" w:hAnsi="Arial" w:eastAsia="Arial" w:cs="Arial"/>
          <w:sz w:val="20"/>
          <w:szCs w:val="20"/>
        </w:rPr>
        <w:t>Eden</w:t>
      </w:r>
      <w:r>
        <w:rPr>
          <w:rFonts w:ascii="Arial" w:hAnsi="Arial" w:eastAsia="Arial" w:cs="Arial"/>
          <w:sz w:val="20"/>
          <w:szCs w:val="20"/>
          <w:spacing w:val="10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Rose</w:t>
      </w:r>
      <w:r>
        <w:rPr>
          <w:rFonts w:ascii="Arial" w:hAnsi="Arial" w:eastAsia="Arial" w:cs="Arial"/>
          <w:sz w:val="20"/>
          <w:szCs w:val="20"/>
          <w:spacing w:val="10"/>
        </w:rPr>
        <w:t>”</w:t>
      </w:r>
      <w:r>
        <w:rPr>
          <w:sz w:val="20"/>
          <w:szCs w:val="20"/>
          <w:spacing w:val="10"/>
        </w:rPr>
        <w:t>粉钻戒指(</w:t>
      </w:r>
      <w:r>
        <w:rPr>
          <w:sz w:val="20"/>
          <w:szCs w:val="20"/>
          <w:spacing w:val="9"/>
        </w:rPr>
        <w:t>1330万美元)、5.72克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8"/>
        </w:rPr>
        <w:t>拉蓝钻戒指(880万美元),以及</w:t>
      </w:r>
      <w:r>
        <w:rPr>
          <w:rFonts w:ascii="SimSun" w:hAnsi="SimSun" w:eastAsia="SimSun" w:cs="SimSun"/>
          <w:sz w:val="20"/>
          <w:szCs w:val="20"/>
        </w:rPr>
        <w:t>Phillips</w:t>
      </w:r>
      <w:r>
        <w:rPr>
          <w:rFonts w:ascii="SimSun" w:hAnsi="SimSun" w:eastAsia="SimSun" w:cs="SimSun"/>
          <w:sz w:val="20"/>
          <w:szCs w:val="20"/>
          <w:spacing w:val="18"/>
        </w:rPr>
        <w:t xml:space="preserve"> 6.21</w:t>
      </w:r>
      <w:r>
        <w:rPr>
          <w:sz w:val="20"/>
          <w:szCs w:val="20"/>
          <w:spacing w:val="18"/>
        </w:rPr>
        <w:t>克拉粉钻(1200万美元)。特</w:t>
      </w:r>
      <w:r>
        <w:rPr>
          <w:sz w:val="20"/>
          <w:szCs w:val="20"/>
          <w:spacing w:val="8"/>
        </w:rPr>
        <w:t xml:space="preserve"> </w:t>
      </w:r>
      <w:r>
        <w:rPr>
          <w:sz w:val="20"/>
          <w:szCs w:val="20"/>
          <w:spacing w:val="1"/>
        </w:rPr>
        <w:t>色为“投资级稀缺”,</w:t>
      </w:r>
      <w:r>
        <w:rPr>
          <w:rFonts w:ascii="Times New Roman" w:hAnsi="Times New Roman" w:eastAsia="Times New Roman" w:cs="Times New Roman"/>
          <w:sz w:val="20"/>
          <w:szCs w:val="20"/>
        </w:rPr>
        <w:t>Type</w:t>
      </w:r>
      <w:r>
        <w:rPr>
          <w:rFonts w:ascii="Times New Roman" w:hAnsi="Times New Roman" w:eastAsia="Times New Roman" w:cs="Times New Roman"/>
          <w:sz w:val="20"/>
          <w:szCs w:val="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</w:rPr>
        <w:t>Ila</w:t>
      </w:r>
      <w:r>
        <w:rPr>
          <w:sz w:val="20"/>
          <w:szCs w:val="20"/>
          <w:spacing w:val="1"/>
        </w:rPr>
        <w:t>化学纯净与饱和色泽推动价格。</w:t>
      </w:r>
    </w:p>
    <w:p>
      <w:pPr>
        <w:pStyle w:val="BodyText"/>
        <w:ind w:left="419" w:right="2076" w:hanging="77"/>
        <w:spacing w:before="146" w:line="338" w:lineRule="auto"/>
        <w:jc w:val="both"/>
        <w:rPr>
          <w:sz w:val="20"/>
          <w:szCs w:val="20"/>
        </w:rPr>
      </w:pPr>
      <w:r>
        <w:rPr>
          <w:sz w:val="20"/>
          <w:szCs w:val="20"/>
          <w:b/>
          <w:bCs/>
          <w:spacing w:val="8"/>
        </w:rPr>
        <w:t>.彩色宝石记录频现：</w:t>
      </w:r>
      <w:r>
        <w:rPr>
          <w:sz w:val="20"/>
          <w:szCs w:val="20"/>
          <w:spacing w:val="-46"/>
        </w:rPr>
        <w:t xml:space="preserve"> </w:t>
      </w:r>
      <w:r>
        <w:rPr>
          <w:sz w:val="20"/>
          <w:szCs w:val="20"/>
          <w:spacing w:val="8"/>
        </w:rPr>
        <w:t>祖母绿、红宝石等大型稀</w:t>
      </w:r>
      <w:r>
        <w:rPr>
          <w:sz w:val="20"/>
          <w:szCs w:val="20"/>
          <w:spacing w:val="7"/>
        </w:rPr>
        <w:t>有件表现强劲，如2024年</w:t>
      </w:r>
      <w:r>
        <w:rPr>
          <w:rFonts w:ascii="SimSun" w:hAnsi="SimSun" w:eastAsia="SimSun" w:cs="SimSun"/>
          <w:sz w:val="20"/>
          <w:szCs w:val="20"/>
        </w:rPr>
        <w:t>Aga  </w:t>
      </w:r>
      <w:r>
        <w:rPr>
          <w:rFonts w:ascii="SimSun" w:hAnsi="SimSun" w:eastAsia="SimSun" w:cs="SimSun"/>
          <w:sz w:val="20"/>
          <w:szCs w:val="20"/>
        </w:rPr>
        <w:t>Khan</w:t>
      </w:r>
      <w:r>
        <w:rPr>
          <w:rFonts w:ascii="SimSun" w:hAnsi="SimSun" w:eastAsia="SimSun" w:cs="SimSun"/>
          <w:sz w:val="20"/>
          <w:szCs w:val="20"/>
          <w:spacing w:val="-24"/>
        </w:rPr>
        <w:t xml:space="preserve"> </w:t>
      </w:r>
      <w:r>
        <w:rPr>
          <w:sz w:val="20"/>
          <w:szCs w:val="20"/>
          <w:spacing w:val="15"/>
        </w:rPr>
        <w:t>祖母绿胸针创祖母绿拍卖纪录(880万美元)。历史件</w:t>
      </w:r>
      <w:r>
        <w:rPr>
          <w:rFonts w:ascii="SimSun" w:hAnsi="SimSun" w:eastAsia="SimSun" w:cs="SimSun"/>
          <w:sz w:val="20"/>
          <w:szCs w:val="20"/>
        </w:rPr>
        <w:t>provenance</w:t>
      </w:r>
      <w:r>
        <w:rPr>
          <w:rFonts w:ascii="SimSun" w:hAnsi="SimSun" w:eastAsia="SimSun" w:cs="SimSun"/>
          <w:sz w:val="20"/>
          <w:szCs w:val="20"/>
          <w:spacing w:val="85"/>
        </w:rPr>
        <w:t xml:space="preserve"> </w:t>
      </w:r>
      <w:r>
        <w:rPr>
          <w:sz w:val="20"/>
          <w:szCs w:val="20"/>
          <w:spacing w:val="15"/>
        </w:rPr>
        <w:t>(</w:t>
      </w:r>
      <w:r>
        <w:rPr>
          <w:sz w:val="20"/>
          <w:szCs w:val="20"/>
          <w:spacing w:val="-29"/>
        </w:rPr>
        <w:t xml:space="preserve"> </w:t>
      </w:r>
      <w:r>
        <w:rPr>
          <w:sz w:val="20"/>
          <w:szCs w:val="20"/>
          <w:spacing w:val="15"/>
        </w:rPr>
        <w:t>如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2"/>
        </w:rPr>
        <w:t>玛丽</w:t>
      </w:r>
      <w:r>
        <w:rPr>
          <w:sz w:val="20"/>
          <w:szCs w:val="20"/>
          <w:spacing w:val="-2"/>
        </w:rPr>
        <w:t xml:space="preserve"> </w:t>
      </w:r>
      <w:r>
        <w:rPr>
          <w:sz w:val="20"/>
          <w:szCs w:val="20"/>
          <w:spacing w:val="-2"/>
        </w:rPr>
        <w:t>·</w:t>
      </w:r>
      <w:r>
        <w:rPr>
          <w:sz w:val="20"/>
          <w:szCs w:val="20"/>
          <w:spacing w:val="-80"/>
        </w:rPr>
        <w:t xml:space="preserve"> </w:t>
      </w:r>
      <w:r>
        <w:rPr>
          <w:sz w:val="20"/>
          <w:szCs w:val="20"/>
          <w:spacing w:val="-2"/>
        </w:rPr>
        <w:t>安托瓦内特相关或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Art</w:t>
      </w:r>
      <w:r>
        <w:rPr>
          <w:rFonts w:ascii="Times New Roman" w:hAnsi="Times New Roman" w:eastAsia="Times New Roman" w:cs="Times New Roman"/>
          <w:sz w:val="20"/>
          <w:szCs w:val="20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Deco</w:t>
      </w:r>
      <w:r>
        <w:rPr>
          <w:sz w:val="20"/>
          <w:szCs w:val="20"/>
          <w:spacing w:val="-2"/>
        </w:rPr>
        <w:t>时期)显著加价。</w:t>
      </w:r>
    </w:p>
    <w:p>
      <w:pPr>
        <w:pStyle w:val="BodyText"/>
        <w:ind w:left="340"/>
        <w:spacing w:before="100" w:line="212" w:lineRule="auto"/>
        <w:rPr>
          <w:rFonts w:ascii="Arial" w:hAnsi="Arial" w:eastAsia="Arial" w:cs="Arial"/>
          <w:sz w:val="20"/>
          <w:szCs w:val="20"/>
        </w:rPr>
      </w:pPr>
      <w:r>
        <w:rPr>
          <w:sz w:val="20"/>
          <w:szCs w:val="20"/>
          <w:spacing w:val="2"/>
        </w:rPr>
        <w:t>.签名件</w:t>
      </w:r>
      <w:r>
        <w:rPr>
          <w:sz w:val="20"/>
          <w:szCs w:val="20"/>
          <w:spacing w:val="-5"/>
        </w:rPr>
        <w:t xml:space="preserve"> </w:t>
      </w:r>
      <w:r>
        <w:rPr>
          <w:rFonts w:ascii="Arial" w:hAnsi="Arial" w:eastAsia="Arial" w:cs="Arial"/>
          <w:sz w:val="20"/>
          <w:szCs w:val="20"/>
          <w:spacing w:val="2"/>
        </w:rPr>
        <w:t>(</w:t>
      </w:r>
      <w:r>
        <w:rPr>
          <w:rFonts w:ascii="Arial" w:hAnsi="Arial" w:eastAsia="Arial" w:cs="Arial"/>
          <w:sz w:val="20"/>
          <w:szCs w:val="20"/>
        </w:rPr>
        <w:t>Signed</w:t>
      </w:r>
      <w:r>
        <w:rPr>
          <w:rFonts w:ascii="Arial" w:hAnsi="Arial" w:eastAsia="Arial" w:cs="Arial"/>
          <w:sz w:val="20"/>
          <w:szCs w:val="20"/>
          <w:spacing w:val="2"/>
        </w:rPr>
        <w:t xml:space="preserve">   </w:t>
      </w:r>
      <w:r>
        <w:rPr>
          <w:rFonts w:ascii="Arial" w:hAnsi="Arial" w:eastAsia="Arial" w:cs="Arial"/>
          <w:sz w:val="20"/>
          <w:szCs w:val="20"/>
        </w:rPr>
        <w:t>Jewels</w:t>
      </w:r>
      <w:r>
        <w:rPr>
          <w:rFonts w:ascii="Arial" w:hAnsi="Arial" w:eastAsia="Arial" w:cs="Arial"/>
          <w:sz w:val="20"/>
          <w:szCs w:val="20"/>
          <w:spacing w:val="2"/>
        </w:rPr>
        <w:t>)</w:t>
      </w:r>
      <w:r>
        <w:rPr>
          <w:rFonts w:ascii="Arial" w:hAnsi="Arial" w:eastAsia="Arial" w:cs="Arial"/>
          <w:sz w:val="20"/>
          <w:szCs w:val="20"/>
          <w:spacing w:val="27"/>
          <w:w w:val="101"/>
        </w:rPr>
        <w:t xml:space="preserve"> </w:t>
      </w:r>
      <w:r>
        <w:rPr>
          <w:sz w:val="20"/>
          <w:szCs w:val="20"/>
          <w:spacing w:val="2"/>
        </w:rPr>
        <w:t>溢价：</w:t>
      </w:r>
      <w:r>
        <w:rPr>
          <w:rFonts w:ascii="Arial" w:hAnsi="Arial" w:eastAsia="Arial" w:cs="Arial"/>
          <w:sz w:val="20"/>
          <w:szCs w:val="20"/>
        </w:rPr>
        <w:t>Cartier</w:t>
      </w:r>
      <w:r>
        <w:rPr>
          <w:rFonts w:ascii="SimSun" w:hAnsi="SimSun" w:eastAsia="SimSun" w:cs="SimSun"/>
          <w:sz w:val="20"/>
          <w:szCs w:val="20"/>
          <w:spacing w:val="2"/>
        </w:rPr>
        <w:t>、</w:t>
      </w:r>
      <w:r>
        <w:rPr>
          <w:rFonts w:ascii="Arial" w:hAnsi="Arial" w:eastAsia="Arial" w:cs="Arial"/>
          <w:sz w:val="20"/>
          <w:szCs w:val="20"/>
        </w:rPr>
        <w:t>Van</w:t>
      </w:r>
      <w:r>
        <w:rPr>
          <w:rFonts w:ascii="Arial" w:hAnsi="Arial" w:eastAsia="Arial" w:cs="Arial"/>
          <w:sz w:val="20"/>
          <w:szCs w:val="20"/>
          <w:spacing w:val="2"/>
        </w:rPr>
        <w:t xml:space="preserve">   </w:t>
      </w:r>
      <w:r>
        <w:rPr>
          <w:rFonts w:ascii="Arial" w:hAnsi="Arial" w:eastAsia="Arial" w:cs="Arial"/>
          <w:sz w:val="20"/>
          <w:szCs w:val="20"/>
        </w:rPr>
        <w:t>Cleef</w:t>
      </w:r>
      <w:r>
        <w:rPr>
          <w:rFonts w:ascii="Arial" w:hAnsi="Arial" w:eastAsia="Arial" w:cs="Arial"/>
          <w:sz w:val="20"/>
          <w:szCs w:val="20"/>
          <w:spacing w:val="18"/>
        </w:rPr>
        <w:t xml:space="preserve">  </w:t>
      </w:r>
      <w:r>
        <w:rPr>
          <w:rFonts w:ascii="Arial" w:hAnsi="Arial" w:eastAsia="Arial" w:cs="Arial"/>
          <w:sz w:val="20"/>
          <w:szCs w:val="20"/>
          <w:spacing w:val="2"/>
        </w:rPr>
        <w:t>&amp;</w:t>
      </w:r>
      <w:r>
        <w:rPr>
          <w:rFonts w:ascii="Arial" w:hAnsi="Arial" w:eastAsia="Arial" w:cs="Arial"/>
          <w:sz w:val="20"/>
          <w:szCs w:val="20"/>
        </w:rPr>
        <w:t>Arpels</w:t>
      </w:r>
      <w:r>
        <w:rPr>
          <w:rFonts w:ascii="SimSun" w:hAnsi="SimSun" w:eastAsia="SimSun" w:cs="SimSun"/>
          <w:sz w:val="20"/>
          <w:szCs w:val="20"/>
          <w:spacing w:val="2"/>
        </w:rPr>
        <w:t>、</w:t>
      </w:r>
      <w:r>
        <w:rPr>
          <w:rFonts w:ascii="Arial" w:hAnsi="Arial" w:eastAsia="Arial" w:cs="Arial"/>
          <w:sz w:val="20"/>
          <w:szCs w:val="20"/>
        </w:rPr>
        <w:t>Harry</w:t>
      </w:r>
    </w:p>
    <w:p>
      <w:pPr>
        <w:pStyle w:val="BodyText"/>
        <w:ind w:left="419" w:right="2283"/>
        <w:spacing w:before="143" w:line="341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Winston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sz w:val="20"/>
          <w:szCs w:val="20"/>
          <w:spacing w:val="13"/>
        </w:rPr>
        <w:t>等品牌历史作品成交突出，如</w:t>
      </w:r>
      <w:r>
        <w:rPr>
          <w:rFonts w:ascii="SimSun" w:hAnsi="SimSun" w:eastAsia="SimSun" w:cs="SimSun"/>
          <w:sz w:val="20"/>
          <w:szCs w:val="20"/>
        </w:rPr>
        <w:t>Van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Cleef</w:t>
      </w:r>
      <w:r>
        <w:rPr>
          <w:rFonts w:ascii="SimSun" w:hAnsi="SimSun" w:eastAsia="SimSun" w:cs="SimSun"/>
          <w:sz w:val="20"/>
          <w:szCs w:val="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Maharaja</w:t>
      </w:r>
      <w:r>
        <w:rPr>
          <w:sz w:val="20"/>
          <w:szCs w:val="20"/>
          <w:spacing w:val="13"/>
        </w:rPr>
        <w:t>项链(620万美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1"/>
        </w:rPr>
        <w:t>元)。亮点在于“历史叙事+工艺永恒”,区别于高奢当代系列的</w:t>
      </w:r>
      <w:r>
        <w:rPr>
          <w:sz w:val="20"/>
          <w:szCs w:val="20"/>
        </w:rPr>
        <w:t>“即时美”。</w:t>
      </w:r>
    </w:p>
    <w:p>
      <w:pPr>
        <w:pStyle w:val="BodyText"/>
        <w:ind w:right="2442"/>
        <w:spacing w:before="161" w:line="320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高定拍品特色在于稀有宝石与</w:t>
      </w:r>
      <w:r>
        <w:rPr>
          <w:rFonts w:ascii="SimSun" w:hAnsi="SimSun" w:eastAsia="SimSun" w:cs="SimSun"/>
          <w:sz w:val="20"/>
          <w:szCs w:val="20"/>
        </w:rPr>
        <w:t>provenance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sz w:val="20"/>
          <w:szCs w:val="20"/>
          <w:spacing w:val="11"/>
        </w:rPr>
        <w:t>驱动的价值跃升，而非单纯设计创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5"/>
        </w:rPr>
        <w:t>新，反映市场对“不可再生资产”的追捧。</w:t>
      </w:r>
    </w:p>
    <w:p>
      <w:pPr>
        <w:spacing w:line="320" w:lineRule="auto"/>
        <w:sectPr>
          <w:pgSz w:w="12240" w:h="15840"/>
          <w:pgMar w:top="1346" w:right="1836" w:bottom="0" w:left="970" w:header="0" w:footer="0" w:gutter="0"/>
        </w:sectPr>
        <w:rPr>
          <w:sz w:val="20"/>
          <w:szCs w:val="20"/>
        </w:rPr>
      </w:pPr>
    </w:p>
    <w:p>
      <w:pPr>
        <w:pStyle w:val="BodyText"/>
        <w:ind w:left="149"/>
        <w:spacing w:before="40" w:line="213" w:lineRule="auto"/>
        <w:rPr>
          <w:sz w:val="20"/>
          <w:szCs w:val="20"/>
        </w:rPr>
      </w:pPr>
      <w:r>
        <w:rPr>
          <w:sz w:val="20"/>
          <w:szCs w:val="20"/>
          <w:spacing w:val="9"/>
        </w:rPr>
        <w:t>(图：拍卖成交的蓝钻与粉钻戒指，体现高定拍品的稀有宝石焦点)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4" w:line="221" w:lineRule="auto"/>
        <w:outlineLvl w:val="1"/>
        <w:rPr>
          <w:sz w:val="32"/>
          <w:szCs w:val="32"/>
        </w:rPr>
      </w:pPr>
      <w:r>
        <w:rPr>
          <w:sz w:val="32"/>
          <w:szCs w:val="32"/>
          <w:b/>
          <w:bCs/>
          <w:spacing w:val="-8"/>
        </w:rPr>
        <w:t>四、趋势演变与驱动因素分析</w:t>
      </w:r>
    </w:p>
    <w:p>
      <w:pPr>
        <w:pStyle w:val="BodyText"/>
        <w:ind w:right="2132"/>
        <w:spacing w:before="169" w:line="330" w:lineRule="auto"/>
        <w:rPr>
          <w:sz w:val="24"/>
          <w:szCs w:val="24"/>
        </w:rPr>
      </w:pPr>
      <w:r>
        <w:rPr>
          <w:sz w:val="20"/>
          <w:szCs w:val="20"/>
          <w:spacing w:val="12"/>
        </w:rPr>
        <w:t>2021年趋势受疫情影响，强调色彩与喜悦(“疗愈珠宝”);2022-2023</w:t>
      </w:r>
      <w:r>
        <w:rPr>
          <w:sz w:val="20"/>
          <w:szCs w:val="20"/>
          <w:spacing w:val="11"/>
        </w:rPr>
        <w:t>年深化自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4"/>
        </w:rPr>
        <w:t>然主题与可持续讨论；2024年则爆发”野生自然”</w:t>
      </w:r>
      <w:r>
        <w:rPr>
          <w:sz w:val="20"/>
          <w:szCs w:val="20"/>
          <w:spacing w:val="3"/>
        </w:rPr>
        <w:t>与大胆体积，彩宝彻底超越白</w:t>
      </w:r>
      <w:r>
        <w:rPr>
          <w:sz w:val="20"/>
          <w:szCs w:val="20"/>
        </w:rPr>
        <w:t xml:space="preserve">  </w:t>
      </w:r>
      <w:r>
        <w:rPr>
          <w:sz w:val="24"/>
          <w:szCs w:val="24"/>
          <w:spacing w:val="-15"/>
        </w:rPr>
        <w:t>钻。</w:t>
      </w:r>
    </w:p>
    <w:p>
      <w:pPr>
        <w:pStyle w:val="BodyText"/>
        <w:ind w:left="2"/>
        <w:spacing w:before="71" w:line="221" w:lineRule="auto"/>
        <w:rPr>
          <w:sz w:val="20"/>
          <w:szCs w:val="20"/>
        </w:rPr>
      </w:pPr>
      <w:r>
        <w:rPr>
          <w:sz w:val="20"/>
          <w:szCs w:val="20"/>
          <w:b/>
          <w:bCs/>
        </w:rPr>
        <w:t>深层驱动：</w:t>
      </w:r>
    </w:p>
    <w:p>
      <w:pPr>
        <w:pStyle w:val="BodyText"/>
        <w:ind w:left="342"/>
        <w:spacing w:before="235" w:line="21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8"/>
        </w:rPr>
        <w:t>.社会文化：</w:t>
      </w:r>
      <w:r>
        <w:rPr>
          <w:sz w:val="20"/>
          <w:szCs w:val="20"/>
          <w:spacing w:val="8"/>
        </w:rPr>
        <w:t>后疫情对活力与自我表达的需求，推动色彩与</w:t>
      </w:r>
      <w:r>
        <w:rPr>
          <w:sz w:val="20"/>
          <w:szCs w:val="20"/>
          <w:spacing w:val="7"/>
        </w:rPr>
        <w:t>动物主题。</w:t>
      </w:r>
    </w:p>
    <w:p>
      <w:pPr>
        <w:pStyle w:val="BodyText"/>
        <w:ind w:left="419" w:right="2216" w:hanging="77"/>
        <w:spacing w:before="179" w:line="395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8"/>
        </w:rPr>
        <w:t>.经济投资：</w:t>
      </w:r>
      <w:r>
        <w:rPr>
          <w:sz w:val="20"/>
          <w:szCs w:val="20"/>
          <w:spacing w:val="8"/>
        </w:rPr>
        <w:t>地缘不确定性下，稀有彩钻/宝石作为</w:t>
      </w:r>
      <w:r>
        <w:rPr>
          <w:sz w:val="20"/>
          <w:szCs w:val="20"/>
          <w:spacing w:val="7"/>
        </w:rPr>
        <w:t>硬资产，拍卖市场强劲验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3"/>
        </w:rPr>
        <w:t>证。</w:t>
      </w:r>
    </w:p>
    <w:p>
      <w:pPr>
        <w:pStyle w:val="BodyText"/>
        <w:ind w:left="419" w:right="2110" w:hanging="77"/>
        <w:spacing w:before="24" w:line="369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9"/>
        </w:rPr>
        <w:t>.可持续性：</w:t>
      </w:r>
      <w:r>
        <w:rPr>
          <w:sz w:val="20"/>
          <w:szCs w:val="20"/>
          <w:spacing w:val="9"/>
        </w:rPr>
        <w:t>消费者伦理意识提升，高奢品牌积极响应溯源(</w:t>
      </w:r>
      <w:r>
        <w:rPr>
          <w:sz w:val="20"/>
          <w:szCs w:val="20"/>
          <w:spacing w:val="8"/>
        </w:rPr>
        <w:t>如</w:t>
      </w:r>
      <w:r>
        <w:rPr>
          <w:rFonts w:ascii="SimSun" w:hAnsi="SimSun" w:eastAsia="SimSun" w:cs="SimSun"/>
          <w:sz w:val="20"/>
          <w:szCs w:val="20"/>
        </w:rPr>
        <w:t>Cartier</w:t>
      </w:r>
      <w:r>
        <w:rPr>
          <w:sz w:val="20"/>
          <w:szCs w:val="20"/>
          <w:spacing w:val="8"/>
        </w:rPr>
        <w:t>的</w:t>
      </w:r>
      <w:r>
        <w:rPr>
          <w:rFonts w:ascii="SimSun" w:hAnsi="SimSun" w:eastAsia="SimSun" w:cs="SimSun"/>
          <w:sz w:val="20"/>
          <w:szCs w:val="20"/>
        </w:rPr>
        <w:t>RJ</w:t>
      </w:r>
      <w:r>
        <w:rPr>
          <w:rFonts w:ascii="SimSun" w:hAnsi="SimSun" w:eastAsia="SimSun" w:cs="SimSun"/>
          <w:sz w:val="20"/>
          <w:szCs w:val="20"/>
          <w:spacing w:val="8"/>
        </w:rPr>
        <w:t xml:space="preserve"> </w:t>
      </w:r>
      <w:r>
        <w:rPr>
          <w:rFonts w:ascii="SimSun" w:hAnsi="SimSun" w:eastAsia="SimSun" w:cs="SimSun"/>
          <w:sz w:val="20"/>
          <w:szCs w:val="20"/>
        </w:rPr>
        <w:t>C </w:t>
      </w:r>
      <w:r>
        <w:rPr>
          <w:sz w:val="20"/>
          <w:szCs w:val="20"/>
          <w:spacing w:val="5"/>
        </w:rPr>
        <w:t>认证),拍卖则通过历史件体现“循环永恒”。</w:t>
      </w:r>
    </w:p>
    <w:p>
      <w:pPr>
        <w:pStyle w:val="BodyText"/>
        <w:ind w:left="419" w:right="2061" w:hanging="77"/>
        <w:spacing w:before="78" w:line="313" w:lineRule="auto"/>
        <w:rPr>
          <w:sz w:val="20"/>
          <w:szCs w:val="20"/>
        </w:rPr>
      </w:pPr>
      <w:r>
        <w:rPr>
          <w:sz w:val="20"/>
          <w:szCs w:val="20"/>
          <w:b/>
          <w:bCs/>
          <w:spacing w:val="18"/>
        </w:rPr>
        <w:t>.异同原因：</w:t>
      </w:r>
      <w:r>
        <w:rPr>
          <w:sz w:val="20"/>
          <w:szCs w:val="20"/>
          <w:spacing w:val="18"/>
        </w:rPr>
        <w:t>高奢强调叙事与创新(品牌营销需要),高定拍品依赖稀缺与历</w:t>
      </w:r>
      <w:r>
        <w:rPr>
          <w:sz w:val="20"/>
          <w:szCs w:val="20"/>
          <w:spacing w:val="3"/>
        </w:rPr>
        <w:t xml:space="preserve"> </w:t>
      </w:r>
      <w:r>
        <w:rPr>
          <w:sz w:val="20"/>
          <w:szCs w:val="20"/>
          <w:spacing w:val="21"/>
        </w:rPr>
        <w:t>史(市场供需决定),前者更前瞻，后者更保守。</w:t>
      </w:r>
    </w:p>
    <w:p>
      <w:pPr>
        <w:pStyle w:val="BodyText"/>
        <w:ind w:right="2056"/>
        <w:spacing w:before="185" w:line="358" w:lineRule="auto"/>
        <w:rPr>
          <w:sz w:val="20"/>
          <w:szCs w:val="20"/>
        </w:rPr>
      </w:pPr>
      <w:r>
        <w:rPr>
          <w:sz w:val="20"/>
          <w:szCs w:val="20"/>
          <w:spacing w:val="11"/>
        </w:rPr>
        <w:t>批判视角：彩宝热虽提振市场，却可能加剧矿产压力；可持</w:t>
      </w:r>
      <w:r>
        <w:rPr>
          <w:sz w:val="20"/>
          <w:szCs w:val="20"/>
          <w:spacing w:val="10"/>
        </w:rPr>
        <w:t>续宣称仍需更透明验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-1"/>
        </w:rPr>
        <w:t>证。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4" w:line="226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2"/>
        </w:rPr>
        <w:t>结论</w:t>
      </w:r>
    </w:p>
    <w:p>
      <w:pPr>
        <w:pStyle w:val="BodyText"/>
        <w:ind w:right="2136"/>
        <w:spacing w:before="131" w:line="339" w:lineRule="auto"/>
        <w:rPr>
          <w:sz w:val="20"/>
          <w:szCs w:val="20"/>
        </w:rPr>
      </w:pPr>
      <w:r>
        <w:rPr>
          <w:sz w:val="20"/>
          <w:szCs w:val="20"/>
          <w:spacing w:val="10"/>
        </w:rPr>
        <w:t>2021-2024年珠宝设计趋势从色彩复苏走向自然大胆与稀有投资，共通点体现行</w:t>
      </w:r>
      <w:r>
        <w:rPr>
          <w:sz w:val="20"/>
          <w:szCs w:val="20"/>
          <w:spacing w:val="6"/>
        </w:rPr>
        <w:t xml:space="preserve"> </w:t>
      </w:r>
      <w:r>
        <w:rPr>
          <w:sz w:val="20"/>
          <w:szCs w:val="20"/>
          <w:spacing w:val="10"/>
        </w:rPr>
        <w:t>业对情感与价值的双重追求。高奢品牌以叙事创新引领潮流，高定拍品以稀缺</w:t>
      </w:r>
    </w:p>
    <w:p>
      <w:pPr>
        <w:pStyle w:val="BodyText"/>
        <w:ind w:right="2093"/>
        <w:spacing w:before="6" w:line="339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provenance</w:t>
      </w:r>
      <w:r>
        <w:rPr>
          <w:rFonts w:ascii="SimSun" w:hAnsi="SimSun" w:eastAsia="SimSun" w:cs="SimSun"/>
          <w:sz w:val="20"/>
          <w:szCs w:val="20"/>
          <w:spacing w:val="1"/>
        </w:rPr>
        <w:t xml:space="preserve"> </w:t>
      </w:r>
      <w:r>
        <w:rPr>
          <w:sz w:val="20"/>
          <w:szCs w:val="20"/>
          <w:spacing w:val="1"/>
        </w:rPr>
        <w:t>巩固价值。未来，这一演变将进一步强化珠宝作为“情感资产”的行业</w:t>
      </w:r>
      <w:r>
        <w:rPr>
          <w:sz w:val="20"/>
          <w:szCs w:val="20"/>
          <w:spacing w:val="7"/>
        </w:rPr>
        <w:t xml:space="preserve"> </w:t>
      </w:r>
      <w:r>
        <w:rPr>
          <w:sz w:val="20"/>
          <w:szCs w:val="20"/>
          <w:spacing w:val="8"/>
        </w:rPr>
        <w:t>定位，同时考验品牌在可持续与真实性上的承诺。</w:t>
      </w:r>
    </w:p>
    <w:sectPr>
      <w:pgSz w:w="12240" w:h="15840"/>
      <w:pgMar w:top="1057" w:right="1836" w:bottom="0" w:left="97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2026-03-16T00:00:34Z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2026-03-16T00:00:34</vt:filetime>
  </property>
  <property fmtid="{D5CDD505-2E9C-101B-9397-08002B2CF9AE}" pid="4" name="UsrData">
    <vt:lpwstr>69b6d7a06314910020303ebewl</vt:lpwstr>
  </property>
</Properties>
</file>