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146"/>
        <w:spacing w:before="95" w:line="218" w:lineRule="auto"/>
        <w:outlineLvl w:val="0"/>
        <w:rPr>
          <w:sz w:val="46"/>
          <w:szCs w:val="46"/>
        </w:rPr>
      </w:pPr>
      <w:r>
        <w:rPr>
          <w:sz w:val="46"/>
          <w:szCs w:val="46"/>
          <w:spacing w:val="23"/>
        </w:rPr>
        <w:t>近三年(2021-2024年)珠宝设计流行走向梳理报</w:t>
      </w:r>
      <w:r>
        <w:rPr>
          <w:sz w:val="46"/>
          <w:szCs w:val="46"/>
          <w:spacing w:val="15"/>
        </w:rPr>
        <w:t xml:space="preserve"> </w:t>
      </w:r>
      <w:r>
        <w:rPr>
          <w:sz w:val="46"/>
          <w:szCs w:val="46"/>
        </w:rPr>
        <w:t>告</w:t>
      </w:r>
    </w:p>
    <w:p>
      <w:pPr>
        <w:pStyle w:val="BodyText"/>
        <w:ind w:right="71"/>
        <w:spacing w:before="138" w:line="317" w:lineRule="auto"/>
        <w:jc w:val="both"/>
        <w:rPr/>
      </w:pPr>
      <w:r>
        <w:rPr>
          <w:spacing w:val="8"/>
        </w:rPr>
        <w:t>本报告聚焦2021-2024年间高奢品牌珠宝</w:t>
      </w:r>
      <w:r>
        <w:rPr>
          <w:spacing w:val="7"/>
        </w:rPr>
        <w:t>(如</w:t>
      </w:r>
      <w:r>
        <w:rPr>
          <w:rFonts w:ascii="Times New Roman" w:hAnsi="Times New Roman" w:eastAsia="Times New Roman" w:cs="Times New Roman"/>
        </w:rPr>
        <w:t>Cartier</w:t>
      </w:r>
      <w:r>
        <w:rPr>
          <w:rFonts w:ascii="Times New Roman" w:hAnsi="Times New Roman" w:eastAsia="Times New Roman" w:cs="Times New Roman"/>
          <w:spacing w:val="-35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rFonts w:ascii="Times New Roman" w:hAnsi="Times New Roman" w:eastAsia="Times New Roman" w:cs="Times New Roman"/>
        </w:rPr>
        <w:t>Van</w:t>
      </w:r>
      <w:r>
        <w:rPr>
          <w:rFonts w:ascii="Times New Roman" w:hAnsi="Times New Roman" w:eastAsia="Times New Roman" w:cs="Times New Roman"/>
          <w:spacing w:val="7"/>
        </w:rPr>
        <w:t xml:space="preserve">     </w:t>
      </w:r>
      <w:r>
        <w:rPr>
          <w:rFonts w:ascii="Times New Roman" w:hAnsi="Times New Roman" w:eastAsia="Times New Roman" w:cs="Times New Roman"/>
        </w:rPr>
        <w:t>Cleef</w:t>
      </w:r>
      <w:r>
        <w:rPr>
          <w:rFonts w:ascii="Times New Roman" w:hAnsi="Times New Roman" w:eastAsia="Times New Roman" w:cs="Times New Roman"/>
          <w:spacing w:val="7"/>
        </w:rPr>
        <w:t xml:space="preserve">    &amp;</w:t>
      </w:r>
      <w:r>
        <w:rPr>
          <w:rFonts w:ascii="Times New Roman" w:hAnsi="Times New Roman" w:eastAsia="Times New Roman" w:cs="Times New Roman"/>
        </w:rPr>
        <w:t>Arpels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rFonts w:ascii="Times New Roman" w:hAnsi="Times New Roman" w:eastAsia="Times New Roman" w:cs="Times New Roman"/>
        </w:rPr>
        <w:t>Bulgari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rFonts w:ascii="Times New Roman" w:hAnsi="Times New Roman" w:eastAsia="Times New Roman" w:cs="Times New Roman"/>
        </w:rPr>
        <w:t>Tiffany  </w:t>
      </w:r>
      <w:r>
        <w:rPr>
          <w:rFonts w:ascii="SimSun" w:hAnsi="SimSun" w:eastAsia="SimSun" w:cs="SimSun"/>
          <w:spacing w:val="5"/>
        </w:rPr>
        <w:t>&amp;</w:t>
      </w:r>
      <w:r>
        <w:rPr>
          <w:rFonts w:ascii="SimSun" w:hAnsi="SimSun" w:eastAsia="SimSun" w:cs="SimSun"/>
        </w:rPr>
        <w:t>Co</w:t>
      </w:r>
      <w:r>
        <w:rPr>
          <w:rFonts w:ascii="SimSun" w:hAnsi="SimSun" w:eastAsia="SimSun" w:cs="SimSun"/>
          <w:spacing w:val="5"/>
        </w:rPr>
        <w:t>. </w:t>
      </w:r>
      <w:r>
        <w:rPr>
          <w:spacing w:val="5"/>
        </w:rPr>
        <w:t>等)和高定竞拍品(主要来自佳士得</w:t>
      </w:r>
      <w:r>
        <w:rPr>
          <w:rFonts w:ascii="SimSun" w:hAnsi="SimSun" w:eastAsia="SimSun" w:cs="SimSun"/>
        </w:rPr>
        <w:t>Christie</w:t>
      </w:r>
      <w:r>
        <w:rPr>
          <w:rFonts w:ascii="SimSun" w:hAnsi="SimSun" w:eastAsia="SimSun" w:cs="SimSun"/>
          <w:spacing w:val="5"/>
        </w:rPr>
        <w:t>'s、</w:t>
      </w:r>
      <w:r>
        <w:rPr>
          <w:spacing w:val="5"/>
        </w:rPr>
        <w:t>苏富比</w:t>
      </w:r>
      <w:r>
        <w:rPr>
          <w:rFonts w:ascii="SimSun" w:hAnsi="SimSun" w:eastAsia="SimSun" w:cs="SimSun"/>
        </w:rPr>
        <w:t>Sotheby</w:t>
      </w:r>
      <w:r>
        <w:rPr>
          <w:rFonts w:ascii="SimSun" w:hAnsi="SimSun" w:eastAsia="SimSun" w:cs="SimSun"/>
          <w:spacing w:val="5"/>
        </w:rPr>
        <w:t>'s</w:t>
      </w:r>
      <w:r>
        <w:rPr>
          <w:spacing w:val="5"/>
        </w:rPr>
        <w:t>等拍</w:t>
      </w:r>
      <w:r>
        <w:rPr>
          <w:spacing w:val="4"/>
        </w:rPr>
        <w:t>卖行的</w:t>
      </w:r>
      <w:r>
        <w:rPr>
          <w:rFonts w:ascii="SimSun" w:hAnsi="SimSun" w:eastAsia="SimSun" w:cs="SimSun"/>
        </w:rPr>
        <w:t>Magnificent </w:t>
      </w:r>
      <w:r>
        <w:rPr>
          <w:rFonts w:ascii="Times New Roman" w:hAnsi="Times New Roman" w:eastAsia="Times New Roman" w:cs="Times New Roman"/>
        </w:rPr>
        <w:t>Jewels</w:t>
      </w:r>
      <w:r>
        <w:rPr>
          <w:rFonts w:ascii="Times New Roman" w:hAnsi="Times New Roman" w:eastAsia="Times New Roman" w:cs="Times New Roman"/>
          <w:spacing w:val="61"/>
        </w:rPr>
        <w:t xml:space="preserve"> </w:t>
      </w:r>
      <w:r>
        <w:rPr>
          <w:spacing w:val="3"/>
        </w:rPr>
        <w:t>专场)的设计流行走向。通过梳理外观、材料、主题等方面的变化，归纳共同现象、突出</w:t>
      </w:r>
      <w:r>
        <w:rPr/>
        <w:t xml:space="preserve"> </w:t>
      </w:r>
      <w:r>
        <w:rPr>
          <w:spacing w:val="-4"/>
        </w:rPr>
        <w:t>特点，并进行比较分析。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4"/>
        </w:rPr>
        <w:t>一、共同现象：高奢品牌与高定竞拍品的设计交汇点</w:t>
      </w:r>
    </w:p>
    <w:p>
      <w:pPr>
        <w:pStyle w:val="BodyText"/>
        <w:ind w:right="60"/>
        <w:spacing w:before="219" w:line="317" w:lineRule="auto"/>
        <w:rPr/>
      </w:pPr>
      <w:r>
        <w:rPr>
          <w:spacing w:val="4"/>
        </w:rPr>
        <w:t>在2021-2024年间，两类珠宝均呈现出若干明显的共同设计趋</w:t>
      </w:r>
      <w:r>
        <w:rPr>
          <w:spacing w:val="3"/>
        </w:rPr>
        <w:t>势，这些现象反映了消费者偏好、</w:t>
      </w:r>
      <w:r>
        <w:rPr/>
        <w:t xml:space="preserve"> </w:t>
      </w:r>
      <w:r>
        <w:rPr>
          <w:spacing w:val="-2"/>
        </w:rPr>
        <w:t>技术进步以及社会背景的影响。</w:t>
      </w:r>
    </w:p>
    <w:p>
      <w:pPr>
        <w:pStyle w:val="BodyText"/>
        <w:ind w:left="353"/>
        <w:spacing w:before="115" w:line="222" w:lineRule="auto"/>
        <w:outlineLvl w:val="3"/>
        <w:rPr/>
      </w:pPr>
      <w:r>
        <w:rPr>
          <w:rFonts w:ascii="SimSun" w:hAnsi="SimSun" w:eastAsia="SimSun" w:cs="SimSun"/>
          <w:b/>
          <w:bCs/>
          <w:spacing w:val="-4"/>
        </w:rPr>
        <w:t>1.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b/>
          <w:bCs/>
          <w:spacing w:val="-4"/>
        </w:rPr>
        <w:t>彩色宝石的强势主导</w:t>
      </w:r>
    </w:p>
    <w:p>
      <w:pPr>
        <w:pStyle w:val="BodyText"/>
        <w:ind w:left="669" w:right="7"/>
        <w:spacing w:before="151" w:line="323" w:lineRule="auto"/>
        <w:rPr/>
      </w:pPr>
      <w:r>
        <w:rPr>
          <w:spacing w:val="6"/>
        </w:rPr>
        <w:t>彩色宝石(尤其是祖母绿、蓝宝石、红宝石、帕拉伊巴碧玺及彩钻)取代传统白钻成为主</w:t>
      </w:r>
      <w:r>
        <w:rPr>
          <w:spacing w:val="9"/>
        </w:rPr>
        <w:t xml:space="preserve">  </w:t>
      </w:r>
      <w:r>
        <w:rPr/>
        <w:t>角。高奢品牌在新系列中大量运用鲜艳彩宝营造活力感；拍卖场上，稀有彩钻和有色宝石</w:t>
      </w:r>
      <w:r>
        <w:rPr>
          <w:spacing w:val="8"/>
        </w:rPr>
        <w:t xml:space="preserve">  </w:t>
      </w:r>
      <w:r>
        <w:rPr>
          <w:spacing w:val="7"/>
        </w:rPr>
        <w:t>屡创高价(如2023年</w:t>
      </w:r>
      <w:r>
        <w:rPr>
          <w:rFonts w:ascii="Arial" w:hAnsi="Arial" w:eastAsia="Arial" w:cs="Arial"/>
        </w:rPr>
        <w:t>Christie</w:t>
      </w:r>
      <w:r>
        <w:rPr>
          <w:rFonts w:ascii="Arial" w:hAnsi="Arial" w:eastAsia="Arial" w:cs="Arial"/>
          <w:spacing w:val="7"/>
        </w:rPr>
        <w:t>'s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spacing w:val="7"/>
        </w:rPr>
        <w:t>售出的</w:t>
      </w:r>
      <w:r>
        <w:rPr>
          <w:rFonts w:ascii="Arial" w:hAnsi="Arial" w:eastAsia="Arial" w:cs="Arial"/>
        </w:rPr>
        <w:t>Bleu</w:t>
      </w:r>
      <w:r>
        <w:rPr>
          <w:rFonts w:ascii="Arial" w:hAnsi="Arial" w:eastAsia="Arial" w:cs="Arial"/>
          <w:spacing w:val="53"/>
          <w:w w:val="101"/>
        </w:rPr>
        <w:t xml:space="preserve"> </w:t>
      </w:r>
      <w:r>
        <w:rPr>
          <w:rFonts w:ascii="Arial" w:hAnsi="Arial" w:eastAsia="Arial" w:cs="Arial"/>
        </w:rPr>
        <w:t>Royal</w:t>
      </w:r>
      <w:r>
        <w:rPr>
          <w:spacing w:val="7"/>
        </w:rPr>
        <w:t>蓝钻、2024年多场彩钻成交记录)。这一</w:t>
      </w:r>
      <w:r>
        <w:rPr/>
        <w:t xml:space="preserve"> </w:t>
      </w:r>
      <w:r>
        <w:rPr>
          <w:spacing w:val="-11"/>
        </w:rPr>
        <w:t>现象与后疫情时代消费者追求“色彩疗愈”和情感表达有关。</w:t>
      </w:r>
    </w:p>
    <w:p>
      <w:pPr>
        <w:pStyle w:val="BodyText"/>
        <w:ind w:left="353"/>
        <w:spacing w:before="109" w:line="221" w:lineRule="auto"/>
        <w:outlineLvl w:val="3"/>
        <w:rPr/>
      </w:pPr>
      <w:r>
        <w:rPr>
          <w:rFonts w:ascii="SimSun" w:hAnsi="SimSun" w:eastAsia="SimSun" w:cs="SimSun"/>
          <w:b/>
          <w:bCs/>
          <w:spacing w:val="-2"/>
        </w:rPr>
        <w:t>2.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b/>
          <w:bCs/>
          <w:spacing w:val="-2"/>
        </w:rPr>
        <w:t>自然与有机形态主题的流行</w:t>
      </w:r>
    </w:p>
    <w:p>
      <w:pPr>
        <w:pStyle w:val="BodyText"/>
        <w:ind w:left="669"/>
        <w:spacing w:before="145" w:line="219" w:lineRule="auto"/>
        <w:rPr>
          <w:rFonts w:ascii="SimSun" w:hAnsi="SimSun" w:eastAsia="SimSun" w:cs="SimSun"/>
        </w:rPr>
      </w:pPr>
      <w:r>
        <w:rPr>
          <w:spacing w:val="3"/>
        </w:rPr>
        <w:t>花卉、动物、植物等自然灵感元素广泛出现。高奢品牌常以柔美有机线条诠释(如</w:t>
      </w:r>
      <w:r>
        <w:rPr>
          <w:rFonts w:ascii="SimSun" w:hAnsi="SimSun" w:eastAsia="SimSun" w:cs="SimSun"/>
        </w:rPr>
        <w:t>Van</w:t>
      </w:r>
    </w:p>
    <w:p>
      <w:pPr>
        <w:pStyle w:val="BodyText"/>
        <w:ind w:left="669"/>
        <w:spacing w:before="117" w:line="317" w:lineRule="auto"/>
        <w:rPr/>
      </w:pPr>
      <w:r>
        <w:rPr>
          <w:rFonts w:ascii="SimSun" w:hAnsi="SimSun" w:eastAsia="SimSun" w:cs="SimSun"/>
        </w:rPr>
        <w:t>Cleef</w:t>
      </w:r>
      <w:r>
        <w:rPr>
          <w:rFonts w:ascii="SimSun" w:hAnsi="SimSun" w:eastAsia="SimSun" w:cs="SimSun"/>
          <w:spacing w:val="91"/>
        </w:rPr>
        <w:t xml:space="preserve"> </w:t>
      </w:r>
      <w:r>
        <w:rPr>
          <w:rFonts w:ascii="SimSun" w:hAnsi="SimSun" w:eastAsia="SimSun" w:cs="SimSun"/>
          <w:spacing w:val="1"/>
        </w:rPr>
        <w:t>&amp;</w:t>
      </w:r>
      <w:r>
        <w:rPr>
          <w:rFonts w:ascii="SimSun" w:hAnsi="SimSun" w:eastAsia="SimSun" w:cs="SimSun"/>
        </w:rPr>
        <w:t>Arpels</w:t>
      </w:r>
      <w:r>
        <w:rPr>
          <w:spacing w:val="1"/>
        </w:rPr>
        <w:t>的花卉系列、</w:t>
      </w:r>
      <w:r>
        <w:rPr>
          <w:rFonts w:ascii="SimSun" w:hAnsi="SimSun" w:eastAsia="SimSun" w:cs="SimSun"/>
        </w:rPr>
        <w:t>Cartier</w:t>
      </w:r>
      <w:r>
        <w:rPr>
          <w:spacing w:val="1"/>
        </w:rPr>
        <w:t>的动物抽象化);拍卖品中，许多签名件也体现自然主</w:t>
      </w:r>
      <w:r>
        <w:rPr/>
        <w:t xml:space="preserve"> </w:t>
      </w:r>
      <w:r>
        <w:rPr>
          <w:spacing w:val="-1"/>
        </w:rPr>
        <w:t>义</w:t>
      </w:r>
      <w:r>
        <w:rPr>
          <w:spacing w:val="-1"/>
        </w:rPr>
        <w:t xml:space="preserve"> </w:t>
      </w:r>
      <w:r>
        <w:rPr>
          <w:spacing w:val="-1"/>
        </w:rPr>
        <w:t>(</w:t>
      </w:r>
      <w:r>
        <w:rPr>
          <w:spacing w:val="-26"/>
        </w:rPr>
        <w:t xml:space="preserve"> </w:t>
      </w:r>
      <w:r>
        <w:rPr>
          <w:spacing w:val="-1"/>
        </w:rPr>
        <w:t>如</w:t>
      </w:r>
      <w:r>
        <w:rPr>
          <w:rFonts w:ascii="Times New Roman" w:hAnsi="Times New Roman" w:eastAsia="Times New Roman" w:cs="Times New Roman"/>
          <w:spacing w:val="-1"/>
        </w:rPr>
        <w:t>Van      Cleef&amp;Arpels</w:t>
      </w:r>
      <w:r>
        <w:rPr>
          <w:spacing w:val="-1"/>
        </w:rPr>
        <w:t>的经典花卉胸针)。这反映了人们对自然回归的向往，以及3</w:t>
      </w:r>
      <w:r>
        <w:rPr>
          <w:rFonts w:ascii="Times New Roman" w:hAnsi="Times New Roman" w:eastAsia="Times New Roman" w:cs="Times New Roman"/>
          <w:spacing w:val="-1"/>
        </w:rPr>
        <w:t>D</w:t>
      </w:r>
      <w:r>
        <w:rPr>
          <w:spacing w:val="-1"/>
        </w:rPr>
        <w:t>建</w:t>
      </w:r>
      <w:r>
        <w:rPr/>
        <w:t xml:space="preserve"> </w:t>
      </w:r>
      <w:r>
        <w:rPr>
          <w:spacing w:val="-3"/>
        </w:rPr>
        <w:t>模等技术进步使复杂有机形态更易实现。</w:t>
      </w:r>
    </w:p>
    <w:p>
      <w:pPr>
        <w:pStyle w:val="BodyText"/>
        <w:ind w:left="353"/>
        <w:spacing w:before="150" w:line="222" w:lineRule="auto"/>
        <w:outlineLvl w:val="3"/>
        <w:rPr/>
      </w:pPr>
      <w:r>
        <w:rPr>
          <w:rFonts w:ascii="SimSun" w:hAnsi="SimSun" w:eastAsia="SimSun" w:cs="SimSun"/>
          <w:b/>
          <w:bCs/>
          <w:spacing w:val="-5"/>
        </w:rPr>
        <w:t>3.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b/>
          <w:bCs/>
          <w:spacing w:val="-5"/>
        </w:rPr>
        <w:t>大胆夸张与可转换设计</w:t>
      </w:r>
    </w:p>
    <w:p>
      <w:pPr>
        <w:pStyle w:val="BodyText"/>
        <w:ind w:left="669"/>
        <w:spacing w:before="134" w:line="213" w:lineRule="auto"/>
        <w:rPr/>
      </w:pPr>
      <w:r>
        <w:rPr>
          <w:spacing w:val="4"/>
        </w:rPr>
        <w:t>作品体积更大、造型更戏剧化，同时注重多功能性(如项链可变手链)。高奢</w:t>
      </w:r>
      <w:r>
        <w:rPr>
          <w:spacing w:val="3"/>
        </w:rPr>
        <w:t>品牌推出</w:t>
      </w:r>
    </w:p>
    <w:p>
      <w:pPr>
        <w:pStyle w:val="BodyText"/>
        <w:ind w:left="669" w:right="113"/>
        <w:spacing w:before="144" w:line="320" w:lineRule="auto"/>
        <w:rPr/>
      </w:pPr>
      <w:r>
        <w:rPr>
          <w:rFonts w:ascii="SimSun" w:hAnsi="SimSun" w:eastAsia="SimSun" w:cs="SimSun"/>
          <w:spacing w:val="-1"/>
        </w:rPr>
        <w:t>oversized</w:t>
      </w:r>
      <w:r>
        <w:rPr>
          <w:spacing w:val="-1"/>
        </w:rPr>
        <w:t>链条、</w:t>
      </w:r>
      <w:r>
        <w:rPr>
          <w:rFonts w:ascii="SimSun" w:hAnsi="SimSun" w:eastAsia="SimSun" w:cs="SimSun"/>
          <w:spacing w:val="-1"/>
        </w:rPr>
        <w:t>sculptural</w:t>
      </w:r>
      <w:r>
        <w:rPr>
          <w:spacing w:val="-1"/>
        </w:rPr>
        <w:t>造型</w:t>
      </w:r>
      <w:r>
        <w:rPr>
          <w:spacing w:val="-2"/>
        </w:rPr>
        <w:t>；拍卖品中，大克拉宝石镶嵌的声明式项链频现。这种趋</w:t>
      </w:r>
      <w:r>
        <w:rPr/>
        <w:t xml:space="preserve"> </w:t>
      </w:r>
      <w:r>
        <w:rPr>
          <w:spacing w:val="3"/>
        </w:rPr>
        <w:t>势源于年轻消费者对个性表达的需求，以及工艺创新(如灵活铰链)。</w:t>
      </w:r>
    </w:p>
    <w:p>
      <w:pPr>
        <w:pStyle w:val="BodyText"/>
        <w:ind w:left="353"/>
        <w:spacing w:before="124" w:line="221" w:lineRule="auto"/>
        <w:outlineLvl w:val="3"/>
        <w:rPr/>
      </w:pPr>
      <w:r>
        <w:rPr>
          <w:rFonts w:ascii="SimSun" w:hAnsi="SimSun" w:eastAsia="SimSun" w:cs="SimSun"/>
          <w:b/>
          <w:bCs/>
          <w:spacing w:val="-5"/>
        </w:rPr>
        <w:t>4.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b/>
          <w:bCs/>
          <w:spacing w:val="-5"/>
        </w:rPr>
        <w:t>可持续与伦理来源的关注</w:t>
      </w:r>
    </w:p>
    <w:p>
      <w:pPr>
        <w:pStyle w:val="BodyText"/>
        <w:ind w:left="669" w:right="150"/>
        <w:spacing w:before="136" w:line="332" w:lineRule="auto"/>
        <w:rPr/>
      </w:pPr>
      <w:r>
        <w:rPr/>
        <w:t>虽在拍卖历史件中较弱，但高奢品牌越来越强调可追溯宝石和回收贵金属；部分新拍品也</w:t>
      </w:r>
      <w:r>
        <w:rPr>
          <w:spacing w:val="9"/>
        </w:rPr>
        <w:t xml:space="preserve"> </w:t>
      </w:r>
      <w:r>
        <w:rPr>
          <w:spacing w:val="-1"/>
        </w:rPr>
        <w:t>标注来源。这与全球可持续意识提升及年轻收藏家偏好有关。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8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4"/>
        </w:rPr>
        <w:t>二、高奢品牌珠宝的突出特点</w:t>
      </w:r>
    </w:p>
    <w:p>
      <w:pPr>
        <w:spacing w:line="221" w:lineRule="auto"/>
        <w:sectPr>
          <w:pgSz w:w="12240" w:h="15840"/>
          <w:pgMar w:top="1161" w:right="1069" w:bottom="0" w:left="980" w:header="0" w:footer="0" w:gutter="0"/>
        </w:sectPr>
        <w:rPr>
          <w:sz w:val="36"/>
          <w:szCs w:val="36"/>
        </w:rPr>
      </w:pPr>
    </w:p>
    <w:p>
      <w:pPr>
        <w:pStyle w:val="BodyText"/>
        <w:ind w:right="35"/>
        <w:spacing w:before="48" w:line="338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高奢品牌(如</w:t>
      </w:r>
      <w:r>
        <w:rPr>
          <w:rFonts w:ascii="Arial" w:hAnsi="Arial" w:eastAsia="Arial" w:cs="Arial"/>
          <w:sz w:val="23"/>
          <w:szCs w:val="23"/>
        </w:rPr>
        <w:t>Cartier</w:t>
      </w:r>
      <w:r>
        <w:rPr>
          <w:rFonts w:ascii="SimSun" w:hAnsi="SimSun" w:eastAsia="SimSun" w:cs="SimSun"/>
          <w:sz w:val="23"/>
          <w:szCs w:val="23"/>
          <w:spacing w:val="10"/>
        </w:rPr>
        <w:t>、</w:t>
      </w:r>
      <w:r>
        <w:rPr>
          <w:rFonts w:ascii="Arial" w:hAnsi="Arial" w:eastAsia="Arial" w:cs="Arial"/>
          <w:sz w:val="23"/>
          <w:szCs w:val="23"/>
        </w:rPr>
        <w:t>Van</w:t>
      </w:r>
      <w:r>
        <w:rPr>
          <w:rFonts w:ascii="Arial" w:hAnsi="Arial" w:eastAsia="Arial" w:cs="Arial"/>
          <w:sz w:val="23"/>
          <w:szCs w:val="23"/>
          <w:spacing w:val="10"/>
        </w:rPr>
        <w:t xml:space="preserve">    </w:t>
      </w:r>
      <w:r>
        <w:rPr>
          <w:rFonts w:ascii="Arial" w:hAnsi="Arial" w:eastAsia="Arial" w:cs="Arial"/>
          <w:sz w:val="23"/>
          <w:szCs w:val="23"/>
        </w:rPr>
        <w:t>Cleef    </w:t>
      </w:r>
      <w:r>
        <w:rPr>
          <w:rFonts w:ascii="Arial" w:hAnsi="Arial" w:eastAsia="Arial" w:cs="Arial"/>
          <w:sz w:val="23"/>
          <w:szCs w:val="23"/>
          <w:spacing w:val="10"/>
        </w:rPr>
        <w:t>&amp;</w:t>
      </w:r>
      <w:r>
        <w:rPr>
          <w:rFonts w:ascii="Arial" w:hAnsi="Arial" w:eastAsia="Arial" w:cs="Arial"/>
          <w:sz w:val="23"/>
          <w:szCs w:val="23"/>
        </w:rPr>
        <w:t>Arpels</w:t>
      </w:r>
      <w:r>
        <w:rPr>
          <w:rFonts w:ascii="Arial" w:hAnsi="Arial" w:eastAsia="Arial" w:cs="Arial"/>
          <w:sz w:val="23"/>
          <w:szCs w:val="23"/>
          <w:spacing w:val="10"/>
        </w:rPr>
        <w:t>)</w:t>
      </w:r>
      <w:r>
        <w:rPr>
          <w:rFonts w:ascii="Arial" w:hAnsi="Arial" w:eastAsia="Arial" w:cs="Arial"/>
          <w:sz w:val="23"/>
          <w:szCs w:val="23"/>
          <w:spacing w:val="61"/>
        </w:rPr>
        <w:t xml:space="preserve"> </w:t>
      </w:r>
      <w:r>
        <w:rPr>
          <w:sz w:val="23"/>
          <w:szCs w:val="23"/>
          <w:spacing w:val="10"/>
        </w:rPr>
        <w:t>每年推出主题高定</w:t>
      </w:r>
      <w:r>
        <w:rPr>
          <w:sz w:val="23"/>
          <w:szCs w:val="23"/>
          <w:spacing w:val="9"/>
        </w:rPr>
        <w:t>系列</w:t>
      </w:r>
      <w:r>
        <w:rPr>
          <w:sz w:val="23"/>
          <w:szCs w:val="23"/>
          <w:spacing w:val="9"/>
        </w:rPr>
        <w:t xml:space="preserve"> </w:t>
      </w:r>
      <w:r>
        <w:rPr>
          <w:rFonts w:ascii="Arial" w:hAnsi="Arial" w:eastAsia="Arial" w:cs="Arial"/>
          <w:sz w:val="23"/>
          <w:szCs w:val="23"/>
          <w:spacing w:val="9"/>
        </w:rPr>
        <w:t>(</w:t>
      </w:r>
      <w:r>
        <w:rPr>
          <w:rFonts w:ascii="Arial" w:hAnsi="Arial" w:eastAsia="Arial" w:cs="Arial"/>
          <w:sz w:val="23"/>
          <w:szCs w:val="23"/>
        </w:rPr>
        <w:t>High</w:t>
      </w:r>
      <w:r>
        <w:rPr>
          <w:rFonts w:ascii="Arial" w:hAnsi="Arial" w:eastAsia="Arial" w:cs="Arial"/>
          <w:sz w:val="23"/>
          <w:szCs w:val="23"/>
          <w:spacing w:val="9"/>
        </w:rPr>
        <w:t xml:space="preserve">     </w:t>
      </w:r>
      <w:r>
        <w:rPr>
          <w:rFonts w:ascii="Arial" w:hAnsi="Arial" w:eastAsia="Arial" w:cs="Arial"/>
          <w:sz w:val="23"/>
          <w:szCs w:val="23"/>
        </w:rPr>
        <w:t>Jewelry</w:t>
      </w:r>
      <w:r>
        <w:rPr>
          <w:rFonts w:ascii="Arial" w:hAnsi="Arial" w:eastAsia="Arial" w:cs="Arial"/>
          <w:sz w:val="23"/>
          <w:szCs w:val="23"/>
          <w:spacing w:val="9"/>
        </w:rPr>
        <w:t>), </w:t>
      </w:r>
      <w:r>
        <w:rPr>
          <w:sz w:val="23"/>
          <w:szCs w:val="23"/>
          <w:spacing w:val="9"/>
        </w:rPr>
        <w:t>注重叙事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性、创新性和可穿戴性，设计更偏向当代诠释。</w:t>
      </w:r>
    </w:p>
    <w:p>
      <w:pPr>
        <w:pStyle w:val="BodyText"/>
        <w:ind w:left="499" w:right="33" w:hanging="126"/>
        <w:spacing w:before="130" w:line="296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·</w:t>
      </w:r>
      <w:r>
        <w:rPr>
          <w:rFonts w:ascii="SimSun" w:hAnsi="SimSun" w:eastAsia="SimSun" w:cs="SimSun"/>
          <w:sz w:val="23"/>
          <w:szCs w:val="23"/>
          <w:b/>
          <w:bCs/>
        </w:rPr>
        <w:t>Cartier</w:t>
      </w: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: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sz w:val="23"/>
          <w:szCs w:val="23"/>
          <w:spacing w:val="10"/>
        </w:rPr>
        <w:t>动物与抽象几何主题突出。</w:t>
      </w:r>
      <w:r>
        <w:rPr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Panther</w:t>
      </w:r>
      <w:r>
        <w:rPr>
          <w:rFonts w:ascii="SimSun" w:hAnsi="SimSun" w:eastAsia="SimSun" w:cs="SimSun"/>
          <w:sz w:val="23"/>
          <w:szCs w:val="23"/>
          <w:spacing w:val="83"/>
        </w:rPr>
        <w:t xml:space="preserve"> </w:t>
      </w:r>
      <w:r>
        <w:rPr>
          <w:sz w:val="23"/>
          <w:szCs w:val="23"/>
          <w:spacing w:val="10"/>
        </w:rPr>
        <w:t>(豹)系列持续演变，2021-2024年间融入更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1"/>
        </w:rPr>
        <w:t>多彩色宝石和动态平衡设计(如</w:t>
      </w:r>
      <w:r>
        <w:rPr>
          <w:rFonts w:ascii="SimSun" w:hAnsi="SimSun" w:eastAsia="SimSun" w:cs="SimSun"/>
          <w:sz w:val="23"/>
          <w:szCs w:val="23"/>
        </w:rPr>
        <w:t>En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Equilibre</w:t>
      </w:r>
      <w:r>
        <w:rPr>
          <w:sz w:val="23"/>
          <w:szCs w:val="23"/>
          <w:spacing w:val="11"/>
        </w:rPr>
        <w:t>系列，强调对称与运动感)。材料上大胆混搭彩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3"/>
        </w:rPr>
        <w:t>宝与钻石，外观从具象豹纹转向抽象斑点，体</w:t>
      </w:r>
      <w:r>
        <w:rPr>
          <w:sz w:val="23"/>
          <w:szCs w:val="23"/>
          <w:spacing w:val="2"/>
        </w:rPr>
        <w:t>现品牌对“力量与优雅”的现代解读。</w:t>
      </w:r>
    </w:p>
    <w:p>
      <w:pPr>
        <w:pStyle w:val="BodyText"/>
        <w:ind w:left="373"/>
        <w:spacing w:before="256" w:line="217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"/>
        </w:rPr>
        <w:t>·</w:t>
      </w:r>
      <w:r>
        <w:rPr>
          <w:rFonts w:ascii="SimSun" w:hAnsi="SimSun" w:eastAsia="SimSun" w:cs="SimSun"/>
          <w:sz w:val="23"/>
          <w:szCs w:val="23"/>
          <w:b/>
          <w:bCs/>
        </w:rPr>
        <w:t>Van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b/>
          <w:bCs/>
        </w:rPr>
        <w:t>Cleef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b/>
          <w:bCs/>
          <w:spacing w:val="3"/>
        </w:rPr>
        <w:t>&amp;</w:t>
      </w:r>
      <w:r>
        <w:rPr>
          <w:rFonts w:ascii="SimSun" w:hAnsi="SimSun" w:eastAsia="SimSun" w:cs="SimSun"/>
          <w:sz w:val="23"/>
          <w:szCs w:val="23"/>
          <w:b/>
          <w:bCs/>
        </w:rPr>
        <w:t>Arpels</w:t>
      </w:r>
      <w:r>
        <w:rPr>
          <w:rFonts w:ascii="SimSun" w:hAnsi="SimSun" w:eastAsia="SimSun" w:cs="SimSun"/>
          <w:sz w:val="23"/>
          <w:szCs w:val="23"/>
          <w:b/>
          <w:bCs/>
          <w:spacing w:val="3"/>
        </w:rPr>
        <w:t>:</w:t>
      </w:r>
      <w:r>
        <w:rPr>
          <w:rFonts w:ascii="SimSun" w:hAnsi="SimSun" w:eastAsia="SimSun" w:cs="SimSun"/>
          <w:sz w:val="23"/>
          <w:szCs w:val="23"/>
          <w:spacing w:val="-18"/>
        </w:rPr>
        <w:t xml:space="preserve"> </w:t>
      </w:r>
      <w:r>
        <w:rPr>
          <w:sz w:val="23"/>
          <w:szCs w:val="23"/>
          <w:spacing w:val="3"/>
        </w:rPr>
        <w:t>自然诗意与技术工艺并重。2021</w:t>
      </w:r>
      <w:r>
        <w:rPr>
          <w:sz w:val="23"/>
          <w:szCs w:val="23"/>
          <w:spacing w:val="2"/>
        </w:rPr>
        <w:t>年</w:t>
      </w:r>
      <w:r>
        <w:rPr>
          <w:rFonts w:ascii="SimSun" w:hAnsi="SimSun" w:eastAsia="SimSun" w:cs="SimSun"/>
          <w:sz w:val="23"/>
          <w:szCs w:val="23"/>
        </w:rPr>
        <w:t>Sous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les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Etoiles</w:t>
      </w:r>
      <w:r>
        <w:rPr>
          <w:sz w:val="23"/>
          <w:szCs w:val="23"/>
          <w:spacing w:val="2"/>
        </w:rPr>
        <w:t>系列探索星空与</w:t>
      </w:r>
    </w:p>
    <w:p>
      <w:pPr>
        <w:pStyle w:val="BodyText"/>
        <w:ind w:left="500"/>
        <w:spacing w:before="157" w:line="213" w:lineRule="auto"/>
        <w:rPr>
          <w:rFonts w:ascii="SimSun" w:hAnsi="SimSun" w:eastAsia="SimSun" w:cs="SimSun"/>
          <w:sz w:val="23"/>
          <w:szCs w:val="23"/>
        </w:rPr>
      </w:pPr>
      <w:r>
        <w:rPr>
          <w:sz w:val="23"/>
          <w:szCs w:val="23"/>
          <w:spacing w:val="10"/>
        </w:rPr>
        <w:t>银河主题；后续系列回归经典花卉与</w:t>
      </w:r>
      <w:r>
        <w:rPr>
          <w:rFonts w:ascii="SimSun" w:hAnsi="SimSun" w:eastAsia="SimSun" w:cs="SimSun"/>
          <w:sz w:val="23"/>
          <w:szCs w:val="23"/>
        </w:rPr>
        <w:t>Alhambra</w:t>
      </w:r>
      <w:r>
        <w:rPr>
          <w:rFonts w:ascii="SimSun" w:hAnsi="SimSun" w:eastAsia="SimSun" w:cs="SimSun"/>
          <w:sz w:val="23"/>
          <w:szCs w:val="23"/>
          <w:spacing w:val="57"/>
        </w:rPr>
        <w:t xml:space="preserve"> </w:t>
      </w:r>
      <w:r>
        <w:rPr>
          <w:sz w:val="23"/>
          <w:szCs w:val="23"/>
          <w:spacing w:val="10"/>
        </w:rPr>
        <w:t>四叶草，融入珍珠与彩</w:t>
      </w:r>
      <w:r>
        <w:rPr>
          <w:sz w:val="23"/>
          <w:szCs w:val="23"/>
          <w:spacing w:val="9"/>
        </w:rPr>
        <w:t>宝。标志性</w:t>
      </w:r>
      <w:r>
        <w:rPr>
          <w:rFonts w:ascii="SimSun" w:hAnsi="SimSun" w:eastAsia="SimSun" w:cs="SimSun"/>
          <w:sz w:val="23"/>
          <w:szCs w:val="23"/>
        </w:rPr>
        <w:t>Mystery</w:t>
      </w:r>
    </w:p>
    <w:p>
      <w:pPr>
        <w:pStyle w:val="BodyText"/>
        <w:ind w:left="500"/>
        <w:spacing w:before="165" w:line="342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Set</w:t>
      </w:r>
      <w:r>
        <w:rPr>
          <w:rFonts w:ascii="Times New Roman" w:hAnsi="Times New Roman" w:eastAsia="Times New Roman" w:cs="Times New Roman"/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-2"/>
        </w:rPr>
        <w:t>隐秘镶嵌技术频繁使用，使宝石如浮动般轻盈。外观柔美浪漫，主题多</w:t>
      </w:r>
      <w:r>
        <w:rPr>
          <w:sz w:val="23"/>
          <w:szCs w:val="23"/>
          <w:spacing w:val="-3"/>
        </w:rPr>
        <w:t>与“幸运”“自然”相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关，变化在于色彩更饱和、层次更丰富。</w:t>
      </w:r>
    </w:p>
    <w:p>
      <w:pPr>
        <w:pStyle w:val="BodyText"/>
        <w:ind w:left="499" w:right="158" w:hanging="126"/>
        <w:spacing w:before="62" w:line="344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2"/>
        </w:rPr>
        <w:t>·</w:t>
      </w:r>
      <w:r>
        <w:rPr>
          <w:sz w:val="23"/>
          <w:szCs w:val="23"/>
          <w:spacing w:val="-85"/>
        </w:rPr>
        <w:t xml:space="preserve"> </w:t>
      </w:r>
      <w:r>
        <w:rPr>
          <w:sz w:val="23"/>
          <w:szCs w:val="23"/>
          <w:b/>
          <w:bCs/>
          <w:spacing w:val="2"/>
        </w:rPr>
        <w:t>其他特点：</w:t>
      </w:r>
      <w:r>
        <w:rPr>
          <w:rFonts w:ascii="Arial" w:hAnsi="Arial" w:eastAsia="Arial" w:cs="Arial"/>
          <w:sz w:val="23"/>
          <w:szCs w:val="23"/>
        </w:rPr>
        <w:t>Bulgari</w:t>
      </w:r>
      <w:r>
        <w:rPr>
          <w:rFonts w:ascii="Arial" w:hAnsi="Arial" w:eastAsia="Arial" w:cs="Arial"/>
          <w:sz w:val="23"/>
          <w:szCs w:val="23"/>
          <w:spacing w:val="17"/>
          <w:w w:val="101"/>
        </w:rPr>
        <w:t xml:space="preserve"> </w:t>
      </w:r>
      <w:r>
        <w:rPr>
          <w:sz w:val="23"/>
          <w:szCs w:val="23"/>
          <w:spacing w:val="2"/>
        </w:rPr>
        <w:t>偏好大胆几何与蛇形</w:t>
      </w:r>
      <w:r>
        <w:rPr>
          <w:sz w:val="23"/>
          <w:szCs w:val="23"/>
          <w:spacing w:val="2"/>
        </w:rPr>
        <w:t xml:space="preserve"> </w:t>
      </w:r>
      <w:r>
        <w:rPr>
          <w:rFonts w:ascii="Arial" w:hAnsi="Arial" w:eastAsia="Arial" w:cs="Arial"/>
          <w:sz w:val="23"/>
          <w:szCs w:val="23"/>
          <w:spacing w:val="2"/>
        </w:rPr>
        <w:t>(</w:t>
      </w:r>
      <w:r>
        <w:rPr>
          <w:rFonts w:ascii="Arial" w:hAnsi="Arial" w:eastAsia="Arial" w:cs="Arial"/>
          <w:sz w:val="23"/>
          <w:szCs w:val="23"/>
        </w:rPr>
        <w:t>Serpenti</w:t>
      </w:r>
      <w:r>
        <w:rPr>
          <w:rFonts w:ascii="Arial" w:hAnsi="Arial" w:eastAsia="Arial" w:cs="Arial"/>
          <w:sz w:val="23"/>
          <w:szCs w:val="23"/>
          <w:spacing w:val="2"/>
        </w:rPr>
        <w:t>);</w:t>
      </w:r>
      <w:r>
        <w:rPr>
          <w:rFonts w:ascii="Arial" w:hAnsi="Arial" w:eastAsia="Arial" w:cs="Arial"/>
          <w:sz w:val="23"/>
          <w:szCs w:val="23"/>
        </w:rPr>
        <w:t>Tiffany</w:t>
      </w:r>
      <w:r>
        <w:rPr>
          <w:rFonts w:ascii="Arial" w:hAnsi="Arial" w:eastAsia="Arial" w:cs="Arial"/>
          <w:sz w:val="23"/>
          <w:szCs w:val="23"/>
          <w:spacing w:val="2"/>
        </w:rPr>
        <w:t xml:space="preserve">         &amp;</w:t>
      </w:r>
      <w:r>
        <w:rPr>
          <w:rFonts w:ascii="Arial" w:hAnsi="Arial" w:eastAsia="Arial" w:cs="Arial"/>
          <w:sz w:val="23"/>
          <w:szCs w:val="23"/>
        </w:rPr>
        <w:t>Co</w:t>
      </w:r>
      <w:r>
        <w:rPr>
          <w:rFonts w:ascii="Arial" w:hAnsi="Arial" w:eastAsia="Arial" w:cs="Arial"/>
          <w:sz w:val="23"/>
          <w:szCs w:val="23"/>
          <w:spacing w:val="2"/>
        </w:rPr>
        <w:t>.</w:t>
      </w:r>
      <w:r>
        <w:rPr>
          <w:sz w:val="23"/>
          <w:szCs w:val="23"/>
          <w:spacing w:val="2"/>
        </w:rPr>
        <w:t>转向</w:t>
      </w:r>
      <w:r>
        <w:rPr>
          <w:rFonts w:ascii="Arial" w:hAnsi="Arial" w:eastAsia="Arial" w:cs="Arial"/>
          <w:sz w:val="23"/>
          <w:szCs w:val="23"/>
        </w:rPr>
        <w:t>maximalist</w:t>
      </w:r>
      <w:r>
        <w:rPr>
          <w:rFonts w:ascii="Arial" w:hAnsi="Arial" w:eastAsia="Arial" w:cs="Arial"/>
          <w:sz w:val="23"/>
          <w:szCs w:val="23"/>
          <w:spacing w:val="2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2"/>
        </w:rPr>
        <w:t>多色混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sz w:val="23"/>
          <w:szCs w:val="23"/>
          <w:spacing w:val="9"/>
        </w:rPr>
        <w:t>搭。这些品牌的设计变化体现技术进步(如更精细</w:t>
      </w:r>
      <w:r>
        <w:rPr>
          <w:sz w:val="23"/>
          <w:szCs w:val="23"/>
          <w:spacing w:val="8"/>
        </w:rPr>
        <w:t>切割)和市场对“情感价值”的追求。</w:t>
      </w:r>
    </w:p>
    <w:p>
      <w:pPr>
        <w:spacing w:line="457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8" w:line="222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7"/>
        </w:rPr>
        <w:t>三、高定竞拍品的突出特点</w:t>
      </w:r>
    </w:p>
    <w:p>
      <w:pPr>
        <w:pStyle w:val="BodyText"/>
        <w:ind w:right="117"/>
        <w:spacing w:before="228" w:line="340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高定竞拍品多为稀有单品或历史签名件，强调宝石本身的极致稀有</w:t>
      </w:r>
      <w:r>
        <w:rPr>
          <w:sz w:val="23"/>
          <w:szCs w:val="23"/>
          <w:spacing w:val="10"/>
        </w:rPr>
        <w:t>性和投资价值，设计更注重经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6"/>
        </w:rPr>
        <w:t>典与永恒。</w:t>
      </w:r>
    </w:p>
    <w:p>
      <w:pPr>
        <w:pStyle w:val="BodyText"/>
        <w:ind w:left="499" w:right="39" w:hanging="126"/>
        <w:spacing w:before="110" w:line="307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6"/>
        </w:rPr>
        <w:t>·</w:t>
      </w:r>
      <w:r>
        <w:rPr>
          <w:sz w:val="23"/>
          <w:szCs w:val="23"/>
          <w:spacing w:val="-90"/>
        </w:rPr>
        <w:t xml:space="preserve"> </w:t>
      </w:r>
      <w:r>
        <w:rPr>
          <w:sz w:val="23"/>
          <w:szCs w:val="23"/>
          <w:b/>
          <w:bCs/>
          <w:spacing w:val="6"/>
        </w:rPr>
        <w:t>稀有彩钻与大克拉有色宝石主导：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6"/>
        </w:rPr>
        <w:t>2021-2024年，多场拍卖创纪录成交聚焦</w:t>
      </w:r>
      <w:r>
        <w:rPr>
          <w:rFonts w:ascii="Times New Roman" w:hAnsi="Times New Roman" w:eastAsia="Times New Roman" w:cs="Times New Roman"/>
          <w:sz w:val="23"/>
          <w:szCs w:val="23"/>
        </w:rPr>
        <w:t>fancy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23"/>
          <w:szCs w:val="23"/>
        </w:rPr>
        <w:t>colored    </w:t>
      </w:r>
      <w:r>
        <w:rPr>
          <w:rFonts w:ascii="Times New Roman" w:hAnsi="Times New Roman" w:eastAsia="Times New Roman" w:cs="Times New Roman"/>
          <w:sz w:val="23"/>
          <w:szCs w:val="23"/>
        </w:rPr>
        <w:t>diamonds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 xml:space="preserve">     </w:t>
      </w:r>
      <w:r>
        <w:rPr>
          <w:sz w:val="23"/>
          <w:szCs w:val="23"/>
          <w:spacing w:val="11"/>
        </w:rPr>
        <w:t>(如蓝钻、粉钻)和顶级红宝石/祖母绿。例如，2023年</w:t>
      </w:r>
      <w:r>
        <w:rPr>
          <w:rFonts w:ascii="Times New Roman" w:hAnsi="Times New Roman" w:eastAsia="Times New Roman" w:cs="Times New Roman"/>
          <w:sz w:val="23"/>
          <w:szCs w:val="23"/>
        </w:rPr>
        <w:t>Sotheby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's    </w:t>
      </w:r>
      <w:r>
        <w:rPr>
          <w:sz w:val="23"/>
          <w:szCs w:val="23"/>
          <w:spacing w:val="11"/>
        </w:rPr>
        <w:t>与</w:t>
      </w:r>
      <w:r>
        <w:rPr>
          <w:rFonts w:ascii="Times New Roman" w:hAnsi="Times New Roman" w:eastAsia="Times New Roman" w:cs="Times New Roman"/>
          <w:sz w:val="23"/>
          <w:szCs w:val="23"/>
        </w:rPr>
        <w:t>Christie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 xml:space="preserve">   </w:t>
      </w:r>
      <w:r>
        <w:rPr>
          <w:sz w:val="23"/>
          <w:szCs w:val="23"/>
          <w:spacing w:val="11"/>
        </w:rPr>
        <w:t>的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14"/>
        </w:rPr>
        <w:t>多颗10</w:t>
      </w:r>
      <w:r>
        <w:rPr>
          <w:rFonts w:ascii="SimSun" w:hAnsi="SimSun" w:eastAsia="SimSun" w:cs="SimSun"/>
          <w:sz w:val="23"/>
          <w:szCs w:val="23"/>
        </w:rPr>
        <w:t>ct</w:t>
      </w:r>
      <w:r>
        <w:rPr>
          <w:rFonts w:ascii="SimSun" w:hAnsi="SimSun" w:eastAsia="SimSun" w:cs="SimSun"/>
          <w:sz w:val="23"/>
          <w:szCs w:val="23"/>
          <w:spacing w:val="14"/>
        </w:rPr>
        <w:t>+</w:t>
      </w:r>
      <w:r>
        <w:rPr>
          <w:sz w:val="23"/>
          <w:szCs w:val="23"/>
          <w:spacing w:val="14"/>
        </w:rPr>
        <w:t>彩钻高价售出；缅甸红宝石、哥伦比亚祖母绿频现。外观多为经典镶</w:t>
      </w:r>
      <w:r>
        <w:rPr>
          <w:sz w:val="23"/>
          <w:szCs w:val="23"/>
          <w:spacing w:val="13"/>
        </w:rPr>
        <w:t>嵌(如单石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14"/>
        </w:rPr>
        <w:t>戒指或项链坠),突出宝石纯净与色彩。</w:t>
      </w:r>
    </w:p>
    <w:p>
      <w:pPr>
        <w:pStyle w:val="BodyText"/>
        <w:ind w:left="373"/>
        <w:spacing w:before="198" w:line="313" w:lineRule="exact"/>
        <w:rPr>
          <w:sz w:val="23"/>
          <w:szCs w:val="23"/>
        </w:rPr>
      </w:pPr>
      <w:r>
        <w:rPr>
          <w:sz w:val="23"/>
          <w:szCs w:val="23"/>
          <w:b/>
          <w:bCs/>
          <w:spacing w:val="4"/>
          <w:position w:val="2"/>
        </w:rPr>
        <w:t>·</w:t>
      </w:r>
      <w:r>
        <w:rPr>
          <w:sz w:val="23"/>
          <w:szCs w:val="23"/>
          <w:spacing w:val="-77"/>
          <w:position w:val="2"/>
        </w:rPr>
        <w:t xml:space="preserve"> </w:t>
      </w:r>
      <w:r>
        <w:rPr>
          <w:sz w:val="23"/>
          <w:szCs w:val="23"/>
          <w:b/>
          <w:bCs/>
          <w:spacing w:val="4"/>
          <w:position w:val="2"/>
        </w:rPr>
        <w:t>签名历史件与</w:t>
      </w:r>
      <w:r>
        <w:rPr>
          <w:rFonts w:ascii="Arial" w:hAnsi="Arial" w:eastAsia="Arial" w:cs="Arial"/>
          <w:sz w:val="23"/>
          <w:szCs w:val="23"/>
          <w:b/>
          <w:bCs/>
          <w:position w:val="2"/>
        </w:rPr>
        <w:t>Art</w:t>
      </w:r>
      <w:r>
        <w:rPr>
          <w:rFonts w:ascii="Arial" w:hAnsi="Arial" w:eastAsia="Arial" w:cs="Arial"/>
          <w:sz w:val="23"/>
          <w:szCs w:val="23"/>
          <w:b/>
          <w:bCs/>
          <w:spacing w:val="4"/>
          <w:position w:val="2"/>
        </w:rPr>
        <w:t xml:space="preserve">   </w:t>
      </w:r>
      <w:r>
        <w:rPr>
          <w:rFonts w:ascii="Arial" w:hAnsi="Arial" w:eastAsia="Arial" w:cs="Arial"/>
          <w:sz w:val="23"/>
          <w:szCs w:val="23"/>
          <w:b/>
          <w:bCs/>
          <w:position w:val="2"/>
        </w:rPr>
        <w:t>Deco</w:t>
      </w:r>
      <w:r>
        <w:rPr>
          <w:rFonts w:ascii="Arial" w:hAnsi="Arial" w:eastAsia="Arial" w:cs="Arial"/>
          <w:sz w:val="23"/>
          <w:szCs w:val="23"/>
          <w:b/>
          <w:bCs/>
          <w:spacing w:val="4"/>
          <w:position w:val="2"/>
        </w:rPr>
        <w:t>/</w:t>
      </w:r>
      <w:r>
        <w:rPr>
          <w:sz w:val="23"/>
          <w:szCs w:val="23"/>
          <w:b/>
          <w:bCs/>
          <w:spacing w:val="4"/>
          <w:position w:val="2"/>
        </w:rPr>
        <w:t>复古风格</w:t>
      </w:r>
      <w:r>
        <w:rPr>
          <w:sz w:val="23"/>
          <w:szCs w:val="23"/>
          <w:spacing w:val="4"/>
          <w:position w:val="2"/>
        </w:rPr>
        <w:t>：</w:t>
      </w:r>
      <w:r>
        <w:rPr>
          <w:rFonts w:ascii="Arial" w:hAnsi="Arial" w:eastAsia="Arial" w:cs="Arial"/>
          <w:sz w:val="23"/>
          <w:szCs w:val="23"/>
          <w:position w:val="2"/>
        </w:rPr>
        <w:t>Van</w:t>
      </w:r>
      <w:r>
        <w:rPr>
          <w:rFonts w:ascii="Arial" w:hAnsi="Arial" w:eastAsia="Arial" w:cs="Arial"/>
          <w:sz w:val="23"/>
          <w:szCs w:val="23"/>
          <w:spacing w:val="4"/>
          <w:position w:val="2"/>
        </w:rPr>
        <w:t xml:space="preserve">       </w:t>
      </w:r>
      <w:r>
        <w:rPr>
          <w:rFonts w:ascii="Arial" w:hAnsi="Arial" w:eastAsia="Arial" w:cs="Arial"/>
          <w:sz w:val="23"/>
          <w:szCs w:val="23"/>
          <w:position w:val="2"/>
        </w:rPr>
        <w:t>Cleef</w:t>
      </w:r>
      <w:r>
        <w:rPr>
          <w:rFonts w:ascii="Arial" w:hAnsi="Arial" w:eastAsia="Arial" w:cs="Arial"/>
          <w:sz w:val="23"/>
          <w:szCs w:val="23"/>
          <w:spacing w:val="4"/>
          <w:position w:val="2"/>
        </w:rPr>
        <w:t>&amp;</w:t>
      </w:r>
      <w:r>
        <w:rPr>
          <w:rFonts w:ascii="Arial" w:hAnsi="Arial" w:eastAsia="Arial" w:cs="Arial"/>
          <w:sz w:val="23"/>
          <w:szCs w:val="23"/>
          <w:position w:val="2"/>
        </w:rPr>
        <w:t>Arpels</w:t>
      </w:r>
      <w:r>
        <w:rPr>
          <w:rFonts w:ascii="SimSun" w:hAnsi="SimSun" w:eastAsia="SimSun" w:cs="SimSun"/>
          <w:sz w:val="23"/>
          <w:szCs w:val="23"/>
          <w:spacing w:val="4"/>
          <w:position w:val="2"/>
        </w:rPr>
        <w:t>、</w:t>
      </w:r>
      <w:r>
        <w:rPr>
          <w:rFonts w:ascii="Arial" w:hAnsi="Arial" w:eastAsia="Arial" w:cs="Arial"/>
          <w:sz w:val="23"/>
          <w:szCs w:val="23"/>
          <w:position w:val="2"/>
        </w:rPr>
        <w:t>Cartier</w:t>
      </w:r>
      <w:r>
        <w:rPr>
          <w:sz w:val="23"/>
          <w:szCs w:val="23"/>
          <w:spacing w:val="4"/>
          <w:position w:val="2"/>
        </w:rPr>
        <w:t>的</w:t>
      </w:r>
      <w:r>
        <w:rPr>
          <w:rFonts w:ascii="Arial" w:hAnsi="Arial" w:eastAsia="Arial" w:cs="Arial"/>
          <w:sz w:val="23"/>
          <w:szCs w:val="23"/>
          <w:position w:val="2"/>
        </w:rPr>
        <w:t>vintage</w:t>
      </w:r>
      <w:r>
        <w:rPr>
          <w:rFonts w:ascii="Arial" w:hAnsi="Arial" w:eastAsia="Arial" w:cs="Arial"/>
          <w:sz w:val="23"/>
          <w:szCs w:val="23"/>
          <w:spacing w:val="38"/>
          <w:position w:val="2"/>
        </w:rPr>
        <w:t xml:space="preserve"> </w:t>
      </w:r>
      <w:r>
        <w:rPr>
          <w:sz w:val="23"/>
          <w:szCs w:val="23"/>
          <w:spacing w:val="4"/>
          <w:position w:val="2"/>
        </w:rPr>
        <w:t>高定件(如</w:t>
      </w:r>
    </w:p>
    <w:p>
      <w:pPr>
        <w:pStyle w:val="BodyText"/>
        <w:ind w:left="500"/>
        <w:spacing w:before="148" w:line="212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</w:rPr>
        <w:t>Mystery</w:t>
      </w:r>
      <w:r>
        <w:rPr>
          <w:rFonts w:ascii="Arial" w:hAnsi="Arial" w:eastAsia="Arial" w:cs="Arial"/>
          <w:sz w:val="23"/>
          <w:szCs w:val="23"/>
          <w:spacing w:val="9"/>
        </w:rPr>
        <w:t xml:space="preserve">   </w:t>
      </w:r>
      <w:r>
        <w:rPr>
          <w:rFonts w:ascii="Arial" w:hAnsi="Arial" w:eastAsia="Arial" w:cs="Arial"/>
          <w:sz w:val="23"/>
          <w:szCs w:val="23"/>
        </w:rPr>
        <w:t>Set</w:t>
      </w:r>
      <w:r>
        <w:rPr>
          <w:sz w:val="23"/>
          <w:szCs w:val="23"/>
          <w:spacing w:val="9"/>
        </w:rPr>
        <w:t>红宝石胸针、</w:t>
      </w:r>
      <w:r>
        <w:rPr>
          <w:sz w:val="23"/>
          <w:szCs w:val="23"/>
          <w:spacing w:val="-44"/>
        </w:rPr>
        <w:t xml:space="preserve"> </w:t>
      </w:r>
      <w:r>
        <w:rPr>
          <w:rFonts w:ascii="Arial" w:hAnsi="Arial" w:eastAsia="Arial" w:cs="Arial"/>
          <w:sz w:val="23"/>
          <w:szCs w:val="23"/>
        </w:rPr>
        <w:t>Art</w:t>
      </w:r>
      <w:r>
        <w:rPr>
          <w:rFonts w:ascii="Arial" w:hAnsi="Arial" w:eastAsia="Arial" w:cs="Arial"/>
          <w:sz w:val="23"/>
          <w:szCs w:val="23"/>
          <w:spacing w:val="9"/>
        </w:rPr>
        <w:t xml:space="preserve">   </w:t>
      </w:r>
      <w:r>
        <w:rPr>
          <w:rFonts w:ascii="Arial" w:hAnsi="Arial" w:eastAsia="Arial" w:cs="Arial"/>
          <w:sz w:val="23"/>
          <w:szCs w:val="23"/>
        </w:rPr>
        <w:t>Deco</w:t>
      </w:r>
      <w:r>
        <w:rPr>
          <w:sz w:val="23"/>
          <w:szCs w:val="23"/>
          <w:spacing w:val="9"/>
        </w:rPr>
        <w:t>项链)备受追捧。2024年</w:t>
      </w:r>
      <w:r>
        <w:rPr>
          <w:rFonts w:ascii="Arial" w:hAnsi="Arial" w:eastAsia="Arial" w:cs="Arial"/>
          <w:sz w:val="23"/>
          <w:szCs w:val="23"/>
        </w:rPr>
        <w:t>Sotheby</w:t>
      </w:r>
      <w:r>
        <w:rPr>
          <w:rFonts w:ascii="Arial" w:hAnsi="Arial" w:eastAsia="Arial" w:cs="Arial"/>
          <w:sz w:val="23"/>
          <w:szCs w:val="23"/>
          <w:spacing w:val="9"/>
        </w:rPr>
        <w:t>'</w:t>
      </w:r>
      <w:r>
        <w:rPr>
          <w:rFonts w:ascii="Arial" w:hAnsi="Arial" w:eastAsia="Arial" w:cs="Arial"/>
          <w:sz w:val="23"/>
          <w:szCs w:val="23"/>
        </w:rPr>
        <w:t>s</w:t>
      </w:r>
      <w:r>
        <w:rPr>
          <w:rFonts w:ascii="Arial" w:hAnsi="Arial" w:eastAsia="Arial" w:cs="Arial"/>
          <w:sz w:val="23"/>
          <w:szCs w:val="23"/>
          <w:spacing w:val="9"/>
        </w:rPr>
        <w:t xml:space="preserve">      </w:t>
      </w:r>
      <w:r>
        <w:rPr>
          <w:rFonts w:ascii="Arial" w:hAnsi="Arial" w:eastAsia="Arial" w:cs="Arial"/>
          <w:sz w:val="23"/>
          <w:szCs w:val="23"/>
        </w:rPr>
        <w:t>Magnificent</w:t>
      </w:r>
    </w:p>
    <w:p>
      <w:pPr>
        <w:pStyle w:val="BodyText"/>
        <w:ind w:left="500" w:right="156"/>
        <w:spacing w:before="170" w:line="275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Jewels</w:t>
      </w:r>
      <w:r>
        <w:rPr>
          <w:rFonts w:ascii="SimSun" w:hAnsi="SimSun" w:eastAsia="SimSun" w:cs="SimSun"/>
          <w:sz w:val="23"/>
          <w:szCs w:val="23"/>
          <w:spacing w:val="-47"/>
        </w:rPr>
        <w:t xml:space="preserve"> </w:t>
      </w:r>
      <w:r>
        <w:rPr>
          <w:sz w:val="23"/>
          <w:szCs w:val="23"/>
          <w:spacing w:val="10"/>
        </w:rPr>
        <w:t>专场中，</w:t>
      </w:r>
      <w:r>
        <w:rPr>
          <w:sz w:val="23"/>
          <w:szCs w:val="23"/>
          <w:spacing w:val="-67"/>
        </w:rPr>
        <w:t xml:space="preserve"> </w:t>
      </w:r>
      <w:r>
        <w:rPr>
          <w:sz w:val="23"/>
          <w:szCs w:val="23"/>
          <w:spacing w:val="10"/>
        </w:rPr>
        <w:t>一条</w:t>
      </w:r>
      <w:r>
        <w:rPr>
          <w:rFonts w:ascii="SimSun" w:hAnsi="SimSun" w:eastAsia="SimSun" w:cs="SimSun"/>
          <w:sz w:val="23"/>
          <w:szCs w:val="23"/>
        </w:rPr>
        <w:t>Van</w:t>
      </w:r>
      <w:r>
        <w:rPr>
          <w:rFonts w:ascii="SimSun" w:hAnsi="SimSun" w:eastAsia="SimSun" w:cs="SimSun"/>
          <w:sz w:val="23"/>
          <w:szCs w:val="23"/>
          <w:spacing w:val="100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Cleef</w:t>
      </w:r>
      <w:r>
        <w:rPr>
          <w:rFonts w:ascii="SimSun" w:hAnsi="SimSun" w:eastAsia="SimSun" w:cs="SimSun"/>
          <w:sz w:val="23"/>
          <w:szCs w:val="23"/>
          <w:spacing w:val="9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&amp;</w:t>
      </w:r>
      <w:r>
        <w:rPr>
          <w:rFonts w:ascii="SimSun" w:hAnsi="SimSun" w:eastAsia="SimSun" w:cs="SimSun"/>
          <w:sz w:val="23"/>
          <w:szCs w:val="23"/>
        </w:rPr>
        <w:t>Arpels</w:t>
      </w:r>
      <w:r>
        <w:rPr>
          <w:sz w:val="23"/>
          <w:szCs w:val="23"/>
          <w:spacing w:val="10"/>
        </w:rPr>
        <w:t>项链以360万美元成交。</w:t>
      </w:r>
      <w:r>
        <w:rPr>
          <w:sz w:val="23"/>
          <w:szCs w:val="23"/>
          <w:spacing w:val="9"/>
        </w:rPr>
        <w:t>设计特点是几何对称、精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9"/>
        </w:rPr>
        <w:t>细工艺，主题多为永恒经典而非年度叙事。</w:t>
      </w:r>
    </w:p>
    <w:p>
      <w:pPr>
        <w:pStyle w:val="BodyText"/>
        <w:ind w:left="499" w:right="121" w:hanging="126"/>
        <w:spacing w:before="284" w:line="28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6"/>
        </w:rPr>
        <w:t>·</w:t>
      </w:r>
      <w:r>
        <w:rPr>
          <w:sz w:val="23"/>
          <w:szCs w:val="23"/>
          <w:spacing w:val="-73"/>
        </w:rPr>
        <w:t xml:space="preserve"> </w:t>
      </w:r>
      <w:r>
        <w:rPr>
          <w:sz w:val="23"/>
          <w:szCs w:val="23"/>
          <w:b/>
          <w:bCs/>
          <w:spacing w:val="6"/>
        </w:rPr>
        <w:t>其他特点：</w:t>
      </w:r>
      <w:r>
        <w:rPr>
          <w:sz w:val="23"/>
          <w:szCs w:val="23"/>
          <w:spacing w:val="6"/>
        </w:rPr>
        <w:t>珍珠与大型声明式作品增多，但整体变化较缓，焦点在于宝石稀缺性而非创新造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型。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5"/>
        </w:rPr>
        <w:t>四、比较分析与背景说明</w:t>
      </w:r>
    </w:p>
    <w:p>
      <w:pPr>
        <w:pStyle w:val="BodyText"/>
        <w:ind w:right="394"/>
        <w:spacing w:before="240" w:line="326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相似之处：两者均受彩色宝石、自然主题驱动，体现了消费者从</w:t>
      </w:r>
      <w:r>
        <w:rPr>
          <w:sz w:val="23"/>
          <w:szCs w:val="23"/>
          <w:spacing w:val="-2"/>
        </w:rPr>
        <w:t>“低调奢华”向“活力表达”的转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7"/>
        </w:rPr>
        <w:t>变；技术进步(如激光切割、可持续溯源)</w:t>
      </w:r>
      <w:r>
        <w:rPr>
          <w:sz w:val="23"/>
          <w:szCs w:val="23"/>
          <w:spacing w:val="16"/>
        </w:rPr>
        <w:t>共同推动更复杂设计。</w:t>
      </w:r>
    </w:p>
    <w:p>
      <w:pPr>
        <w:spacing w:line="326" w:lineRule="auto"/>
        <w:sectPr>
          <w:pgSz w:w="12240" w:h="15840"/>
          <w:pgMar w:top="1145" w:right="1032" w:bottom="0" w:left="980" w:header="0" w:footer="0" w:gutter="0"/>
        </w:sectPr>
        <w:rPr>
          <w:sz w:val="23"/>
          <w:szCs w:val="23"/>
        </w:rPr>
      </w:pPr>
    </w:p>
    <w:p>
      <w:pPr>
        <w:pStyle w:val="BodyText"/>
        <w:ind w:left="3"/>
        <w:spacing w:before="46" w:line="22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3"/>
        </w:rPr>
        <w:t>不同之处：</w:t>
      </w:r>
    </w:p>
    <w:p>
      <w:pPr>
        <w:pStyle w:val="BodyText"/>
        <w:ind w:left="519" w:hanging="140"/>
        <w:spacing w:before="252" w:line="282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spacing w:val="-85"/>
        </w:rPr>
        <w:t xml:space="preserve"> </w:t>
      </w:r>
      <w:r>
        <w:rPr>
          <w:sz w:val="23"/>
          <w:szCs w:val="23"/>
          <w:spacing w:val="7"/>
        </w:rPr>
        <w:t>高奢品牌更注重年度主题创新、可穿戴性和品牌故事，设计前卫、叙事强，面向日常与红毯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4"/>
        </w:rPr>
        <w:t>场合。</w:t>
      </w:r>
    </w:p>
    <w:p>
      <w:pPr>
        <w:pStyle w:val="BodyText"/>
        <w:ind w:left="379"/>
        <w:spacing w:before="247" w:line="213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·</w:t>
      </w:r>
      <w:r>
        <w:rPr>
          <w:sz w:val="23"/>
          <w:szCs w:val="23"/>
          <w:spacing w:val="-89"/>
        </w:rPr>
        <w:t xml:space="preserve"> </w:t>
      </w:r>
      <w:r>
        <w:rPr>
          <w:sz w:val="23"/>
          <w:szCs w:val="23"/>
          <w:spacing w:val="6"/>
        </w:rPr>
        <w:t>高定竞拍品更强调宝石稀有度与历史价值，设计相对保守、永恒，面向收藏与投资。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74" w:line="221" w:lineRule="auto"/>
        <w:rPr>
          <w:sz w:val="23"/>
          <w:szCs w:val="23"/>
        </w:rPr>
      </w:pPr>
      <w:r>
        <w:rPr>
          <w:sz w:val="23"/>
          <w:szCs w:val="23"/>
          <w:spacing w:val="1"/>
        </w:rPr>
        <w:t>背景因素：</w:t>
      </w:r>
    </w:p>
    <w:p>
      <w:pPr>
        <w:pStyle w:val="BodyText"/>
        <w:ind w:left="379"/>
        <w:spacing w:before="265" w:line="213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·</w:t>
      </w:r>
      <w:r>
        <w:rPr>
          <w:sz w:val="23"/>
          <w:szCs w:val="23"/>
          <w:spacing w:val="-83"/>
        </w:rPr>
        <w:t xml:space="preserve"> </w:t>
      </w:r>
      <w:r>
        <w:rPr>
          <w:sz w:val="23"/>
          <w:szCs w:val="23"/>
          <w:spacing w:val="3"/>
        </w:rPr>
        <w:t>后疫情时代，人们追求色彩与自然带来的情感慰藉。</w:t>
      </w:r>
    </w:p>
    <w:p>
      <w:pPr>
        <w:pStyle w:val="BodyText"/>
        <w:ind w:left="379"/>
        <w:spacing w:before="265" w:line="213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·</w:t>
      </w:r>
      <w:r>
        <w:rPr>
          <w:sz w:val="23"/>
          <w:szCs w:val="23"/>
          <w:spacing w:val="-77"/>
        </w:rPr>
        <w:t xml:space="preserve"> </w:t>
      </w:r>
      <w:r>
        <w:rPr>
          <w:sz w:val="23"/>
          <w:szCs w:val="23"/>
          <w:spacing w:val="11"/>
        </w:rPr>
        <w:t>年轻一代(千禧与</w:t>
      </w:r>
      <w:r>
        <w:rPr>
          <w:rFonts w:ascii="SimSun" w:hAnsi="SimSun" w:eastAsia="SimSun" w:cs="SimSun"/>
          <w:sz w:val="23"/>
          <w:szCs w:val="23"/>
          <w:spacing w:val="11"/>
        </w:rPr>
        <w:t>Z</w:t>
      </w:r>
      <w:r>
        <w:rPr>
          <w:rFonts w:ascii="SimSun" w:hAnsi="SimSun" w:eastAsia="SimSun" w:cs="SimSun"/>
          <w:sz w:val="23"/>
          <w:szCs w:val="23"/>
          <w:spacing w:val="-62"/>
        </w:rPr>
        <w:t xml:space="preserve"> </w:t>
      </w:r>
      <w:r>
        <w:rPr>
          <w:sz w:val="23"/>
          <w:szCs w:val="23"/>
          <w:spacing w:val="11"/>
        </w:rPr>
        <w:t>世代)进入市场，偏好个性化与可持续。</w:t>
      </w:r>
    </w:p>
    <w:p>
      <w:pPr>
        <w:pStyle w:val="BodyText"/>
        <w:ind w:left="379"/>
        <w:spacing w:before="284" w:line="213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·</w:t>
      </w:r>
      <w:r>
        <w:rPr>
          <w:sz w:val="23"/>
          <w:szCs w:val="23"/>
          <w:spacing w:val="-85"/>
        </w:rPr>
        <w:t xml:space="preserve"> </w:t>
      </w:r>
      <w:r>
        <w:rPr>
          <w:sz w:val="23"/>
          <w:szCs w:val="23"/>
          <w:spacing w:val="4"/>
        </w:rPr>
        <w:t>宝石开采与切割技术进步，使稀有彩宝更易获取与加工。</w:t>
      </w:r>
    </w:p>
    <w:p>
      <w:pPr>
        <w:pStyle w:val="BodyText"/>
        <w:ind w:left="379"/>
        <w:spacing w:before="275" w:line="213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·</w:t>
      </w:r>
      <w:r>
        <w:rPr>
          <w:sz w:val="23"/>
          <w:szCs w:val="23"/>
          <w:spacing w:val="-99"/>
        </w:rPr>
        <w:t xml:space="preserve"> </w:t>
      </w:r>
      <w:r>
        <w:rPr>
          <w:sz w:val="23"/>
          <w:szCs w:val="23"/>
          <w:spacing w:val="4"/>
        </w:rPr>
        <w:t>拍卖市场火热，亚洲买家崛起，推动彩钻与有色宝石价格。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2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9"/>
        </w:rPr>
        <w:t>五、归纳总结</w:t>
      </w:r>
    </w:p>
    <w:p>
      <w:pPr>
        <w:pStyle w:val="BodyText"/>
        <w:spacing w:before="255" w:line="325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2021-2024年珠宝设计流行走向可概括为“</w:t>
      </w:r>
      <w:r>
        <w:rPr>
          <w:sz w:val="23"/>
          <w:szCs w:val="23"/>
          <w:spacing w:val="7"/>
        </w:rPr>
        <w:t>色彩复兴、自然回归、大胆表达、可持续导向”。高奢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0"/>
        </w:rPr>
        <w:t>品牌通过创新主题与工艺引领潮流，高定竞拍品则以稀有宝石巩固经典价值。两者交汇反映了行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10"/>
        </w:rPr>
        <w:t>业从传统白钻时代向多元彩宝时代的转型，未来预计将继</w:t>
      </w:r>
      <w:r>
        <w:rPr>
          <w:sz w:val="23"/>
          <w:szCs w:val="23"/>
          <w:spacing w:val="9"/>
        </w:rPr>
        <w:t>续强化个性化、情感连接与伦理责任。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9"/>
        </w:rPr>
        <w:t>整体趋势显示，珠宝不再仅是饰品，更是情感载体与价值储存的结合。</w:t>
      </w:r>
    </w:p>
    <w:sectPr>
      <w:pgSz w:w="12240" w:h="15840"/>
      <w:pgMar w:top="1260" w:right="1141" w:bottom="0" w:left="97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2026-03-16T00:00:36</vt:filetime>
  </property>
  <property fmtid="{D5CDD505-2E9C-101B-9397-08002B2CF9AE}" pid="4" name="UsrData">
    <vt:lpwstr>69b6d7a243cd31001f1dcfd7wl</vt:lpwstr>
  </property>
</Properties>
</file>