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3"/>
        <w:spacing w:before="90" w:line="221" w:lineRule="auto"/>
        <w:outlineLvl w:val="0"/>
        <w:rPr>
          <w:sz w:val="45"/>
          <w:szCs w:val="45"/>
        </w:rPr>
      </w:pPr>
      <w:r>
        <w:rPr>
          <w:sz w:val="45"/>
          <w:szCs w:val="45"/>
          <w:b/>
          <w:bCs/>
          <w:spacing w:val="-5"/>
        </w:rPr>
        <w:t>近三年全球高端珠宝设计趋势演化与市场表征分析</w:t>
      </w:r>
    </w:p>
    <w:p>
      <w:pPr>
        <w:pStyle w:val="BodyText"/>
        <w:ind w:left="146"/>
        <w:spacing w:before="193" w:line="223" w:lineRule="auto"/>
        <w:rPr/>
      </w:pPr>
      <w:r>
        <w:rPr>
          <w:spacing w:val="21"/>
        </w:rPr>
        <w:t>(2021-2024年)</w:t>
      </w:r>
    </w:p>
    <w:p>
      <w:pPr>
        <w:pStyle w:val="BodyText"/>
        <w:spacing w:before="244" w:line="222" w:lineRule="auto"/>
        <w:rPr/>
      </w:pPr>
      <w:r>
        <w:rPr>
          <w:b/>
          <w:bCs/>
          <w:spacing w:val="-4"/>
        </w:rPr>
        <w:t>研究报告</w:t>
      </w:r>
    </w:p>
    <w:p>
      <w:pPr>
        <w:pStyle w:val="BodyText"/>
        <w:spacing w:before="243" w:line="221" w:lineRule="auto"/>
        <w:rPr/>
      </w:pPr>
      <w:r>
        <w:rPr>
          <w:b/>
          <w:bCs/>
          <w:spacing w:val="7"/>
        </w:rPr>
        <w:t>撰写人：</w:t>
      </w:r>
      <w:r>
        <w:rPr>
          <w:spacing w:val="7"/>
        </w:rPr>
        <w:t>顶级行业顾问(独立奢侈品战略咨询专家)</w:t>
      </w:r>
    </w:p>
    <w:p>
      <w:pPr>
        <w:pStyle w:val="BodyText"/>
        <w:spacing w:before="144" w:line="223" w:lineRule="auto"/>
        <w:rPr/>
      </w:pPr>
      <w:r>
        <w:rPr>
          <w:b/>
          <w:bCs/>
          <w:spacing w:val="14"/>
        </w:rPr>
        <w:t>日期：</w:t>
      </w:r>
      <w:r>
        <w:rPr>
          <w:spacing w:val="14"/>
        </w:rPr>
        <w:t>2026年1月</w:t>
      </w:r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ind w:left="1"/>
        <w:spacing w:before="117" w:line="224" w:lineRule="auto"/>
        <w:outlineLvl w:val="1"/>
        <w:rPr>
          <w:sz w:val="36"/>
          <w:szCs w:val="36"/>
        </w:rPr>
      </w:pPr>
      <w:r>
        <w:rPr>
          <w:sz w:val="36"/>
          <w:szCs w:val="36"/>
          <w:b/>
          <w:bCs/>
          <w:spacing w:val="-6"/>
        </w:rPr>
        <w:t>一、绪论</w:t>
      </w:r>
    </w:p>
    <w:p>
      <w:pPr>
        <w:pStyle w:val="BodyText"/>
        <w:spacing w:before="207" w:line="221" w:lineRule="auto"/>
        <w:outlineLvl w:val="2"/>
        <w:rPr>
          <w:sz w:val="30"/>
          <w:szCs w:val="30"/>
        </w:rPr>
      </w:pPr>
      <w:r>
        <w:rPr>
          <w:sz w:val="30"/>
          <w:szCs w:val="30"/>
          <w:b/>
          <w:bCs/>
          <w:spacing w:val="-7"/>
        </w:rPr>
        <w:t>(一)研究背景与意义</w:t>
      </w:r>
    </w:p>
    <w:p>
      <w:pPr>
        <w:pStyle w:val="BodyText"/>
        <w:ind w:left="346"/>
        <w:spacing w:before="223" w:line="221" w:lineRule="auto"/>
        <w:rPr/>
      </w:pPr>
      <w:r>
        <w:rPr>
          <w:rFonts w:ascii="SimSun" w:hAnsi="SimSun" w:eastAsia="SimSun" w:cs="SimSun"/>
          <w:spacing w:val="-3"/>
        </w:rPr>
        <w:t>1. </w:t>
      </w:r>
      <w:r>
        <w:rPr>
          <w:spacing w:val="-3"/>
        </w:rPr>
        <w:t>高端珠宝市场的动态演变</w:t>
      </w:r>
    </w:p>
    <w:p>
      <w:pPr>
        <w:pStyle w:val="BodyText"/>
        <w:ind w:left="676"/>
        <w:spacing w:before="125" w:line="289" w:lineRule="auto"/>
        <w:rPr/>
      </w:pPr>
      <w:r>
        <w:rPr>
          <w:spacing w:val="-1"/>
        </w:rPr>
        <w:t>(1)后疫情时代奢侈品消费复苏：在一定程度上反映了消</w:t>
      </w:r>
      <w:r>
        <w:rPr>
          <w:spacing w:val="-2"/>
        </w:rPr>
        <w:t>费者对情感价值与投资属性的双重</w:t>
      </w:r>
      <w:r>
        <w:rPr/>
        <w:t xml:space="preserve"> </w:t>
      </w:r>
      <w:r>
        <w:rPr>
          <w:spacing w:val="5"/>
        </w:rPr>
        <w:t>追求，据国际宝石学会</w:t>
      </w:r>
      <w:r>
        <w:rPr>
          <w:spacing w:val="5"/>
        </w:rPr>
        <w:t xml:space="preserve"> </w:t>
      </w:r>
      <w:r>
        <w:rPr>
          <w:rFonts w:ascii="SimSun" w:hAnsi="SimSun" w:eastAsia="SimSun" w:cs="SimSun"/>
          <w:spacing w:val="5"/>
        </w:rPr>
        <w:t>(</w:t>
      </w:r>
      <w:r>
        <w:rPr>
          <w:rFonts w:ascii="SimSun" w:hAnsi="SimSun" w:eastAsia="SimSun" w:cs="SimSun"/>
        </w:rPr>
        <w:t>GIA</w:t>
      </w:r>
      <w:r>
        <w:rPr>
          <w:rFonts w:ascii="SimSun" w:hAnsi="SimSun" w:eastAsia="SimSun" w:cs="SimSun"/>
          <w:spacing w:val="5"/>
        </w:rPr>
        <w:t>)</w:t>
      </w:r>
      <w:r>
        <w:rPr>
          <w:rFonts w:ascii="SimSun" w:hAnsi="SimSun" w:eastAsia="SimSun" w:cs="SimSun"/>
          <w:spacing w:val="61"/>
        </w:rPr>
        <w:t xml:space="preserve">  </w:t>
      </w:r>
      <w:r>
        <w:rPr>
          <w:rFonts w:ascii="SimSun" w:hAnsi="SimSun" w:eastAsia="SimSun" w:cs="SimSun"/>
          <w:spacing w:val="5"/>
        </w:rPr>
        <w:t>023  </w:t>
      </w:r>
      <w:r>
        <w:rPr>
          <w:spacing w:val="5"/>
        </w:rPr>
        <w:t>年全球宝石市场报告》指出，2021-2024年间高端</w:t>
      </w:r>
      <w:r>
        <w:rPr>
          <w:spacing w:val="1"/>
        </w:rPr>
        <w:t xml:space="preserve"> </w:t>
      </w:r>
      <w:r>
        <w:rPr>
          <w:spacing w:val="4"/>
        </w:rPr>
        <w:t>珠宝销售额年复合增长率约8.5%。</w:t>
      </w:r>
    </w:p>
    <w:p>
      <w:pPr>
        <w:pStyle w:val="BodyText"/>
        <w:ind w:left="676" w:right="34"/>
        <w:spacing w:before="131" w:line="276" w:lineRule="auto"/>
        <w:rPr/>
      </w:pPr>
      <w:r>
        <w:rPr>
          <w:spacing w:val="-1"/>
        </w:rPr>
        <w:t>(2)拍卖市场作为风向标：佳士得与苏富比的</w:t>
      </w:r>
      <w:r>
        <w:rPr>
          <w:rFonts w:ascii="SimSun" w:hAnsi="SimSun" w:eastAsia="SimSun" w:cs="SimSun"/>
          <w:spacing w:val="-1"/>
        </w:rPr>
        <w:t>Magnificent Jewels</w:t>
      </w:r>
      <w:r>
        <w:rPr>
          <w:spacing w:val="-1"/>
        </w:rPr>
        <w:t>专场成交总额持续攀</w:t>
      </w:r>
      <w:r>
        <w:rPr>
          <w:spacing w:val="-2"/>
        </w:rPr>
        <w:t>升，</w:t>
      </w:r>
      <w:r>
        <w:rPr/>
        <w:t xml:space="preserve"> </w:t>
      </w:r>
      <w:r>
        <w:rPr>
          <w:spacing w:val="-2"/>
        </w:rPr>
        <w:t>通常而言体现了设计趋势向稀有性与叙事性的倾斜。</w:t>
      </w:r>
    </w:p>
    <w:p>
      <w:pPr>
        <w:pStyle w:val="BodyText"/>
        <w:ind w:left="346"/>
        <w:spacing w:before="252" w:line="221" w:lineRule="auto"/>
        <w:rPr/>
      </w:pPr>
      <w:r>
        <w:rPr>
          <w:rFonts w:ascii="SimSun" w:hAnsi="SimSun" w:eastAsia="SimSun" w:cs="SimSun"/>
          <w:spacing w:val="-3"/>
        </w:rPr>
        <w:t>2.</w:t>
      </w:r>
      <w:r>
        <w:rPr>
          <w:rFonts w:ascii="SimSun" w:hAnsi="SimSun" w:eastAsia="SimSun" w:cs="SimSun"/>
          <w:spacing w:val="-33"/>
        </w:rPr>
        <w:t xml:space="preserve"> </w:t>
      </w:r>
      <w:r>
        <w:rPr>
          <w:spacing w:val="-3"/>
        </w:rPr>
        <w:t>研究范围界定</w:t>
      </w:r>
    </w:p>
    <w:p>
      <w:pPr>
        <w:pStyle w:val="BodyText"/>
        <w:ind w:left="676"/>
        <w:spacing w:before="139" w:line="217" w:lineRule="auto"/>
        <w:rPr/>
      </w:pPr>
      <w:r>
        <w:rPr>
          <w:spacing w:val="2"/>
        </w:rPr>
        <w:t>(1)聚焦高奢品牌(如</w:t>
      </w:r>
      <w:r>
        <w:rPr>
          <w:rFonts w:ascii="SimSun" w:hAnsi="SimSun" w:eastAsia="SimSun" w:cs="SimSun"/>
        </w:rPr>
        <w:t>Cartier</w:t>
      </w:r>
      <w:r>
        <w:rPr>
          <w:rFonts w:ascii="SimSun" w:hAnsi="SimSun" w:eastAsia="SimSun" w:cs="SimSun"/>
          <w:spacing w:val="2"/>
        </w:rPr>
        <w:t>、</w:t>
      </w:r>
      <w:r>
        <w:rPr>
          <w:rFonts w:ascii="SimSun" w:hAnsi="SimSun" w:eastAsia="SimSun" w:cs="SimSun"/>
        </w:rPr>
        <w:t>Van</w:t>
      </w:r>
      <w:r>
        <w:rPr>
          <w:rFonts w:ascii="SimSun" w:hAnsi="SimSun" w:eastAsia="SimSun" w:cs="SimSun"/>
          <w:spacing w:val="2"/>
        </w:rPr>
        <w:t xml:space="preserve">  </w:t>
      </w:r>
      <w:r>
        <w:rPr>
          <w:rFonts w:ascii="SimSun" w:hAnsi="SimSun" w:eastAsia="SimSun" w:cs="SimSun"/>
        </w:rPr>
        <w:t>Cleef</w:t>
      </w:r>
      <w:r>
        <w:rPr>
          <w:rFonts w:ascii="SimSun" w:hAnsi="SimSun" w:eastAsia="SimSun" w:cs="SimSun"/>
          <w:spacing w:val="2"/>
        </w:rPr>
        <w:t>&amp;</w:t>
      </w:r>
      <w:r>
        <w:rPr>
          <w:rFonts w:ascii="SimSun" w:hAnsi="SimSun" w:eastAsia="SimSun" w:cs="SimSun"/>
        </w:rPr>
        <w:t>Arpels</w:t>
      </w:r>
      <w:r>
        <w:rPr>
          <w:rFonts w:ascii="SimSun" w:hAnsi="SimSun" w:eastAsia="SimSun" w:cs="SimSun"/>
          <w:spacing w:val="2"/>
        </w:rPr>
        <w:t>、</w:t>
      </w:r>
      <w:r>
        <w:rPr>
          <w:rFonts w:ascii="SimSun" w:hAnsi="SimSun" w:eastAsia="SimSun" w:cs="SimSun"/>
        </w:rPr>
        <w:t>Graff</w:t>
      </w:r>
      <w:r>
        <w:rPr>
          <w:rFonts w:ascii="SimSun" w:hAnsi="SimSun" w:eastAsia="SimSun" w:cs="SimSun"/>
          <w:spacing w:val="2"/>
        </w:rPr>
        <w:t>)</w:t>
      </w:r>
      <w:r>
        <w:rPr>
          <w:rFonts w:ascii="SimSun" w:hAnsi="SimSun" w:eastAsia="SimSun" w:cs="SimSun"/>
          <w:spacing w:val="-25"/>
        </w:rPr>
        <w:t xml:space="preserve"> </w:t>
      </w:r>
      <w:r>
        <w:rPr>
          <w:spacing w:val="2"/>
        </w:rPr>
        <w:t>核心高珠宝系列。</w:t>
      </w:r>
    </w:p>
    <w:p>
      <w:pPr>
        <w:pStyle w:val="BodyText"/>
        <w:ind w:left="676"/>
        <w:spacing w:before="122" w:line="213" w:lineRule="auto"/>
        <w:rPr/>
      </w:pPr>
      <w:r>
        <w:rPr>
          <w:spacing w:val="-1"/>
        </w:rPr>
        <w:t>(2)以佳士得、苏富比拍卖数据为核心，辅以市场表征分析。</w:t>
      </w:r>
    </w:p>
    <w:p>
      <w:pPr>
        <w:spacing w:line="420" w:lineRule="auto"/>
        <w:rPr>
          <w:rFonts w:ascii="Arial"/>
          <w:sz w:val="21"/>
        </w:rPr>
      </w:pPr>
      <w:r/>
    </w:p>
    <w:p>
      <w:pPr>
        <w:pStyle w:val="BodyText"/>
        <w:spacing w:before="98" w:line="221" w:lineRule="auto"/>
        <w:outlineLvl w:val="2"/>
        <w:rPr>
          <w:sz w:val="30"/>
          <w:szCs w:val="30"/>
        </w:rPr>
      </w:pPr>
      <w:r>
        <w:rPr>
          <w:sz w:val="30"/>
          <w:szCs w:val="30"/>
          <w:b/>
          <w:bCs/>
          <w:spacing w:val="-6"/>
        </w:rPr>
        <w:t>(二)研究方法与数据来源</w:t>
      </w:r>
    </w:p>
    <w:p>
      <w:pPr>
        <w:pStyle w:val="BodyText"/>
        <w:ind w:left="346"/>
        <w:spacing w:before="206" w:line="223" w:lineRule="auto"/>
        <w:rPr/>
      </w:pPr>
      <w:r>
        <w:rPr>
          <w:rFonts w:ascii="SimSun" w:hAnsi="SimSun" w:eastAsia="SimSun" w:cs="SimSun"/>
          <w:spacing w:val="-4"/>
        </w:rPr>
        <w:t>1.</w:t>
      </w:r>
      <w:r>
        <w:rPr>
          <w:rFonts w:ascii="SimSun" w:hAnsi="SimSun" w:eastAsia="SimSun" w:cs="SimSun"/>
          <w:spacing w:val="-17"/>
        </w:rPr>
        <w:t xml:space="preserve"> </w:t>
      </w:r>
      <w:r>
        <w:rPr>
          <w:spacing w:val="-4"/>
        </w:rPr>
        <w:t>定性与定量相结合</w:t>
      </w:r>
    </w:p>
    <w:p>
      <w:pPr>
        <w:pStyle w:val="BodyText"/>
        <w:ind w:left="676"/>
        <w:spacing w:before="127" w:line="221" w:lineRule="auto"/>
        <w:rPr/>
      </w:pPr>
      <w:r>
        <w:rPr>
          <w:spacing w:val="-4"/>
        </w:rPr>
        <w:t>(1)趋势提炼基于品牌官方发布与拍卖白皮书。</w:t>
      </w:r>
    </w:p>
    <w:p>
      <w:pPr>
        <w:pStyle w:val="BodyText"/>
        <w:ind w:left="676"/>
        <w:spacing w:before="143" w:line="221" w:lineRule="auto"/>
        <w:rPr/>
      </w:pPr>
      <w:r>
        <w:rPr>
          <w:spacing w:val="-1"/>
        </w:rPr>
        <w:t>(2)数据来源于公开拍卖记录及权威机构报告。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ind w:left="1"/>
        <w:spacing w:before="117" w:line="221" w:lineRule="auto"/>
        <w:outlineLvl w:val="1"/>
        <w:rPr>
          <w:sz w:val="36"/>
          <w:szCs w:val="36"/>
        </w:rPr>
      </w:pPr>
      <w:r>
        <w:rPr>
          <w:sz w:val="36"/>
          <w:szCs w:val="36"/>
          <w:b/>
          <w:bCs/>
          <w:spacing w:val="-7"/>
        </w:rPr>
        <w:t>二、宏观趋势背景</w:t>
      </w:r>
    </w:p>
    <w:p>
      <w:pPr>
        <w:pStyle w:val="BodyText"/>
        <w:spacing w:before="229" w:line="222" w:lineRule="auto"/>
        <w:outlineLvl w:val="2"/>
        <w:rPr>
          <w:sz w:val="30"/>
          <w:szCs w:val="30"/>
        </w:rPr>
      </w:pPr>
      <w:r>
        <w:rPr>
          <w:sz w:val="30"/>
          <w:szCs w:val="30"/>
          <w:b/>
          <w:bCs/>
          <w:spacing w:val="-4"/>
        </w:rPr>
        <w:t>(一)社会经济动因</w:t>
      </w:r>
    </w:p>
    <w:p>
      <w:pPr>
        <w:spacing w:line="222" w:lineRule="auto"/>
        <w:sectPr>
          <w:pgSz w:w="12240" w:h="15840"/>
          <w:pgMar w:top="1147" w:right="1115" w:bottom="0" w:left="983" w:header="0" w:footer="0" w:gutter="0"/>
        </w:sectPr>
        <w:rPr>
          <w:sz w:val="30"/>
          <w:szCs w:val="30"/>
        </w:rPr>
      </w:pPr>
    </w:p>
    <w:p>
      <w:pPr>
        <w:pStyle w:val="BodyText"/>
        <w:ind w:left="305"/>
        <w:spacing w:before="48" w:line="222" w:lineRule="auto"/>
        <w:rPr/>
      </w:pPr>
      <w:r>
        <w:rPr>
          <w:rFonts w:ascii="SimSun" w:hAnsi="SimSun" w:eastAsia="SimSun" w:cs="SimSun"/>
          <w:spacing w:val="-2"/>
        </w:rPr>
        <w:t>1. </w:t>
      </w:r>
      <w:r>
        <w:rPr>
          <w:spacing w:val="-2"/>
        </w:rPr>
        <w:t>后疫情时代消费心理转变</w:t>
      </w:r>
    </w:p>
    <w:p>
      <w:pPr>
        <w:pStyle w:val="BodyText"/>
        <w:ind w:left="635"/>
        <w:spacing w:before="130" w:line="213" w:lineRule="auto"/>
        <w:rPr/>
      </w:pPr>
      <w:r>
        <w:rPr>
          <w:spacing w:val="-1"/>
        </w:rPr>
        <w:t>(1)情感价值转向：消费者更倾向于具备叙事性与</w:t>
      </w:r>
      <w:r>
        <w:rPr>
          <w:spacing w:val="-2"/>
        </w:rPr>
        <w:t>传承潜力的珠宝，据世界奢侈品协会</w:t>
      </w:r>
    </w:p>
    <w:p>
      <w:pPr>
        <w:pStyle w:val="BodyText"/>
        <w:ind w:left="635" w:right="180" w:firstLine="150"/>
        <w:spacing w:before="118" w:line="321" w:lineRule="auto"/>
        <w:rPr/>
      </w:pPr>
      <w:r>
        <w:rPr>
          <w:rFonts w:ascii="Times New Roman" w:hAnsi="Times New Roman" w:eastAsia="Times New Roman" w:cs="Times New Roman"/>
        </w:rPr>
        <w:t>(World</w:t>
      </w:r>
      <w:r>
        <w:rPr>
          <w:rFonts w:ascii="Times New Roman" w:hAnsi="Times New Roman" w:eastAsia="Times New Roman" w:cs="Times New Roman"/>
          <w:spacing w:val="18"/>
        </w:rPr>
        <w:t xml:space="preserve">   </w:t>
      </w:r>
      <w:r>
        <w:rPr>
          <w:rFonts w:ascii="Times New Roman" w:hAnsi="Times New Roman" w:eastAsia="Times New Roman" w:cs="Times New Roman"/>
        </w:rPr>
        <w:t>Luxury</w:t>
      </w:r>
      <w:r>
        <w:rPr>
          <w:rFonts w:ascii="Times New Roman" w:hAnsi="Times New Roman" w:eastAsia="Times New Roman" w:cs="Times New Roman"/>
          <w:spacing w:val="17"/>
        </w:rPr>
        <w:t xml:space="preserve">   </w:t>
      </w:r>
      <w:r>
        <w:rPr>
          <w:rFonts w:ascii="Times New Roman" w:hAnsi="Times New Roman" w:eastAsia="Times New Roman" w:cs="Times New Roman"/>
        </w:rPr>
        <w:t>Association)    024    </w:t>
      </w:r>
      <w:r>
        <w:rPr/>
        <w:t>奢侈品消费</w:t>
      </w:r>
      <w:r>
        <w:rPr>
          <w:spacing w:val="-1"/>
        </w:rPr>
        <w:t>心理洞察》分析，可能表明高端珠宝正</w:t>
      </w:r>
      <w:r>
        <w:rPr/>
        <w:t xml:space="preserve"> </w:t>
      </w:r>
      <w:r>
        <w:rPr>
          <w:spacing w:val="-18"/>
        </w:rPr>
        <w:t>从纯装饰功能向“情感资产”演化。</w:t>
      </w:r>
    </w:p>
    <w:p>
      <w:pPr>
        <w:pStyle w:val="BodyText"/>
        <w:ind w:left="635" w:right="21"/>
        <w:spacing w:before="1" w:line="348" w:lineRule="auto"/>
        <w:rPr/>
      </w:pPr>
      <w:r>
        <w:rPr>
          <w:spacing w:val="-2"/>
        </w:rPr>
        <w:t>(2)财富保值需求：在地缘政治与通胀压力下，稀有宝石的“克拉溢价”</w:t>
      </w:r>
      <w:r>
        <w:rPr>
          <w:rFonts w:ascii="SimSun" w:hAnsi="SimSun" w:eastAsia="SimSun" w:cs="SimSun"/>
          <w:spacing w:val="-2"/>
        </w:rPr>
        <w:t>cara</w:t>
      </w:r>
      <w:r>
        <w:rPr>
          <w:rFonts w:ascii="SimSun" w:hAnsi="SimSun" w:eastAsia="SimSun" w:cs="SimSun"/>
          <w:spacing w:val="-3"/>
        </w:rPr>
        <w:t>t  premium,</w:t>
      </w:r>
      <w:r>
        <w:rPr>
          <w:spacing w:val="-3"/>
        </w:rPr>
        <w:t>指</w:t>
      </w:r>
      <w:r>
        <w:rPr/>
        <w:t xml:space="preserve"> </w:t>
      </w:r>
      <w:r>
        <w:rPr>
          <w:spacing w:val="3"/>
        </w:rPr>
        <w:t>单位克拉价格显著高于市场均值的现象)进一步放大。</w:t>
      </w:r>
    </w:p>
    <w:p>
      <w:pPr>
        <w:pStyle w:val="BodyText"/>
        <w:ind w:left="305"/>
        <w:spacing w:before="73" w:line="221" w:lineRule="auto"/>
        <w:rPr/>
      </w:pPr>
      <w:r>
        <w:rPr>
          <w:rFonts w:ascii="SimSun" w:hAnsi="SimSun" w:eastAsia="SimSun" w:cs="SimSun"/>
        </w:rPr>
        <w:t>2.</w:t>
      </w:r>
      <w:r>
        <w:rPr>
          <w:rFonts w:ascii="SimSun" w:hAnsi="SimSun" w:eastAsia="SimSun" w:cs="SimSun"/>
          <w:spacing w:val="-23"/>
        </w:rPr>
        <w:t xml:space="preserve"> </w:t>
      </w:r>
      <w:r>
        <w:rPr/>
        <w:t>可持续发展意识觉醒</w:t>
      </w:r>
    </w:p>
    <w:p>
      <w:pPr>
        <w:pStyle w:val="BodyText"/>
        <w:ind w:left="635"/>
        <w:spacing w:before="153" w:line="213" w:lineRule="auto"/>
        <w:rPr/>
      </w:pPr>
      <w:r>
        <w:rPr>
          <w:spacing w:val="-3"/>
        </w:rPr>
        <w:t>(1)年轻高净值人群的影响：</w:t>
      </w:r>
      <w:r>
        <w:rPr>
          <w:rFonts w:ascii="SimSun" w:hAnsi="SimSun" w:eastAsia="SimSun" w:cs="SimSun"/>
          <w:spacing w:val="-3"/>
        </w:rPr>
        <w:t>Z</w:t>
      </w:r>
      <w:r>
        <w:rPr>
          <w:rFonts w:ascii="SimSun" w:hAnsi="SimSun" w:eastAsia="SimSun" w:cs="SimSun"/>
          <w:spacing w:val="-61"/>
        </w:rPr>
        <w:t xml:space="preserve"> </w:t>
      </w:r>
      <w:r>
        <w:rPr>
          <w:spacing w:val="-3"/>
        </w:rPr>
        <w:t>世代与千禧一代占比上升，推动伦理溯源成为必要条件。</w:t>
      </w:r>
    </w:p>
    <w:p>
      <w:pPr>
        <w:spacing w:line="391" w:lineRule="auto"/>
        <w:rPr>
          <w:rFonts w:ascii="Arial"/>
          <w:sz w:val="21"/>
        </w:rPr>
      </w:pPr>
      <w:r/>
    </w:p>
    <w:p>
      <w:pPr>
        <w:pStyle w:val="BodyText"/>
        <w:spacing w:before="98" w:line="222" w:lineRule="auto"/>
        <w:outlineLvl w:val="2"/>
        <w:rPr>
          <w:sz w:val="30"/>
          <w:szCs w:val="30"/>
        </w:rPr>
      </w:pPr>
      <w:r>
        <w:rPr>
          <w:sz w:val="30"/>
          <w:szCs w:val="30"/>
          <w:b/>
          <w:bCs/>
          <w:spacing w:val="-5"/>
        </w:rPr>
        <w:t>(二)技术与工艺驱动因素</w:t>
      </w:r>
    </w:p>
    <w:p>
      <w:pPr>
        <w:pStyle w:val="BodyText"/>
        <w:ind w:left="305"/>
        <w:spacing w:before="211" w:line="221" w:lineRule="auto"/>
        <w:rPr/>
      </w:pPr>
      <w:r>
        <w:rPr>
          <w:rFonts w:ascii="SimSun" w:hAnsi="SimSun" w:eastAsia="SimSun" w:cs="SimSun"/>
          <w:spacing w:val="-2"/>
        </w:rPr>
        <w:t>1. </w:t>
      </w:r>
      <w:r>
        <w:rPr>
          <w:spacing w:val="-2"/>
        </w:rPr>
        <w:t>切割与镶嵌工艺创新</w:t>
      </w:r>
    </w:p>
    <w:p>
      <w:pPr>
        <w:pStyle w:val="BodyText"/>
        <w:ind w:left="635" w:right="50"/>
        <w:spacing w:before="127" w:line="274" w:lineRule="auto"/>
        <w:rPr/>
      </w:pPr>
      <w:r>
        <w:rPr>
          <w:spacing w:val="2"/>
        </w:rPr>
        <w:t>(1)隐秘式镶嵌</w:t>
      </w:r>
      <w:r>
        <w:rPr>
          <w:spacing w:val="2"/>
        </w:rPr>
        <w:t xml:space="preserve"> </w:t>
      </w:r>
      <w:r>
        <w:rPr>
          <w:rFonts w:ascii="SimSun" w:hAnsi="SimSun" w:eastAsia="SimSun" w:cs="SimSun"/>
          <w:spacing w:val="2"/>
        </w:rPr>
        <w:t>(</w:t>
      </w:r>
      <w:r>
        <w:rPr>
          <w:rFonts w:ascii="SimSun" w:hAnsi="SimSun" w:eastAsia="SimSun" w:cs="SimSun"/>
        </w:rPr>
        <w:t>mystery</w:t>
      </w:r>
      <w:r>
        <w:rPr>
          <w:rFonts w:ascii="SimSun" w:hAnsi="SimSun" w:eastAsia="SimSun" w:cs="SimSun"/>
          <w:spacing w:val="95"/>
        </w:rPr>
        <w:t xml:space="preserve"> </w:t>
      </w:r>
      <w:r>
        <w:rPr>
          <w:rFonts w:ascii="SimSun" w:hAnsi="SimSun" w:eastAsia="SimSun" w:cs="SimSun"/>
        </w:rPr>
        <w:t>setting</w:t>
      </w:r>
      <w:r>
        <w:rPr>
          <w:rFonts w:ascii="SimSun" w:hAnsi="SimSun" w:eastAsia="SimSun" w:cs="SimSun"/>
          <w:spacing w:val="2"/>
        </w:rPr>
        <w:t>,</w:t>
      </w:r>
      <w:r>
        <w:rPr>
          <w:spacing w:val="2"/>
        </w:rPr>
        <w:t>无可见爪镶的专利技</w:t>
      </w:r>
      <w:r>
        <w:rPr>
          <w:spacing w:val="1"/>
        </w:rPr>
        <w:t>术)与密镶</w:t>
      </w:r>
      <w:r>
        <w:rPr>
          <w:spacing w:val="1"/>
        </w:rPr>
        <w:t xml:space="preserve"> </w:t>
      </w:r>
      <w:r>
        <w:rPr>
          <w:rFonts w:ascii="SimSun" w:hAnsi="SimSun" w:eastAsia="SimSun" w:cs="SimSun"/>
          <w:spacing w:val="1"/>
        </w:rPr>
        <w:t>(</w:t>
      </w:r>
      <w:r>
        <w:rPr>
          <w:rFonts w:ascii="SimSun" w:hAnsi="SimSun" w:eastAsia="SimSun" w:cs="SimSun"/>
        </w:rPr>
        <w:t>pav</w:t>
      </w:r>
      <w:r>
        <w:rPr>
          <w:rFonts w:ascii="SimSun" w:hAnsi="SimSun" w:eastAsia="SimSun" w:cs="SimSun"/>
          <w:spacing w:val="1"/>
        </w:rPr>
        <w:t>é</w:t>
      </w:r>
      <w:r>
        <w:rPr>
          <w:rFonts w:ascii="SimSun" w:hAnsi="SimSun" w:eastAsia="SimSun" w:cs="SimSun"/>
          <w:spacing w:val="76"/>
        </w:rPr>
        <w:t xml:space="preserve"> </w:t>
      </w:r>
      <w:r>
        <w:rPr>
          <w:rFonts w:ascii="SimSun" w:hAnsi="SimSun" w:eastAsia="SimSun" w:cs="SimSun"/>
        </w:rPr>
        <w:t>setting</w:t>
      </w:r>
      <w:r>
        <w:rPr>
          <w:rFonts w:ascii="SimSun" w:hAnsi="SimSun" w:eastAsia="SimSun" w:cs="SimSun"/>
          <w:spacing w:val="1"/>
        </w:rPr>
        <w:t>,</w:t>
      </w:r>
      <w:r>
        <w:rPr>
          <w:spacing w:val="1"/>
        </w:rPr>
        <w:t>微爪</w:t>
      </w:r>
      <w:r>
        <w:rPr/>
        <w:t xml:space="preserve"> </w:t>
      </w:r>
      <w:r>
        <w:rPr>
          <w:spacing w:val="7"/>
        </w:rPr>
        <w:t>密排镶嵌)的高级应用。</w:t>
      </w:r>
    </w:p>
    <w:p>
      <w:pPr>
        <w:pStyle w:val="BodyText"/>
        <w:ind w:left="635"/>
        <w:spacing w:before="139" w:line="271" w:lineRule="auto"/>
        <w:rPr/>
      </w:pPr>
      <w:r>
        <w:rPr>
          <w:spacing w:val="3"/>
        </w:rPr>
        <w:t>(2)可转换珠宝</w:t>
      </w:r>
      <w:r>
        <w:rPr>
          <w:spacing w:val="3"/>
        </w:rPr>
        <w:t xml:space="preserve"> </w:t>
      </w:r>
      <w:r>
        <w:rPr>
          <w:rFonts w:ascii="SimSun" w:hAnsi="SimSun" w:eastAsia="SimSun" w:cs="SimSun"/>
          <w:spacing w:val="3"/>
        </w:rPr>
        <w:t>(</w:t>
      </w:r>
      <w:r>
        <w:rPr>
          <w:rFonts w:ascii="SimSun" w:hAnsi="SimSun" w:eastAsia="SimSun" w:cs="SimSun"/>
        </w:rPr>
        <w:t>transformable</w:t>
      </w:r>
      <w:r>
        <w:rPr>
          <w:rFonts w:ascii="SimSun" w:hAnsi="SimSun" w:eastAsia="SimSun" w:cs="SimSun"/>
          <w:spacing w:val="56"/>
        </w:rPr>
        <w:t xml:space="preserve"> </w:t>
      </w:r>
      <w:r>
        <w:rPr>
          <w:rFonts w:ascii="SimSun" w:hAnsi="SimSun" w:eastAsia="SimSun" w:cs="SimSun"/>
        </w:rPr>
        <w:t>jewelry</w:t>
      </w:r>
      <w:r>
        <w:rPr>
          <w:rFonts w:ascii="SimSun" w:hAnsi="SimSun" w:eastAsia="SimSun" w:cs="SimSun"/>
          <w:spacing w:val="3"/>
        </w:rPr>
        <w:t>,</w:t>
      </w:r>
      <w:r>
        <w:rPr>
          <w:spacing w:val="3"/>
        </w:rPr>
        <w:t>可从项链转为手链等多形态的设计)满足多场景</w:t>
      </w:r>
      <w:r>
        <w:rPr/>
        <w:t xml:space="preserve"> </w:t>
      </w:r>
      <w:r>
        <w:rPr>
          <w:spacing w:val="-7"/>
        </w:rPr>
        <w:t>佩戴需求。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spacing w:before="118" w:line="221" w:lineRule="auto"/>
        <w:outlineLvl w:val="1"/>
        <w:rPr>
          <w:sz w:val="36"/>
          <w:szCs w:val="36"/>
        </w:rPr>
      </w:pPr>
      <w:r>
        <w:rPr>
          <w:sz w:val="36"/>
          <w:szCs w:val="36"/>
          <w:b/>
          <w:bCs/>
          <w:spacing w:val="-8"/>
        </w:rPr>
        <w:t>三、主要设计趋势演化分析</w:t>
      </w:r>
    </w:p>
    <w:p>
      <w:pPr>
        <w:pStyle w:val="BodyText"/>
        <w:spacing w:before="218" w:line="222" w:lineRule="auto"/>
        <w:outlineLvl w:val="2"/>
        <w:rPr>
          <w:sz w:val="30"/>
          <w:szCs w:val="30"/>
        </w:rPr>
      </w:pPr>
      <w:r>
        <w:rPr>
          <w:sz w:val="30"/>
          <w:szCs w:val="30"/>
          <w:b/>
          <w:bCs/>
          <w:spacing w:val="-6"/>
        </w:rPr>
        <w:t>(一)彩色宝石的复兴与主导地位</w:t>
      </w:r>
    </w:p>
    <w:p>
      <w:pPr>
        <w:pStyle w:val="BodyText"/>
        <w:ind w:left="305"/>
        <w:spacing w:before="202" w:line="222" w:lineRule="auto"/>
        <w:rPr/>
      </w:pPr>
      <w:r>
        <w:rPr>
          <w:rFonts w:ascii="SimSun" w:hAnsi="SimSun" w:eastAsia="SimSun" w:cs="SimSun"/>
          <w:spacing w:val="-2"/>
        </w:rPr>
        <w:t>1.</w:t>
      </w:r>
      <w:r>
        <w:rPr>
          <w:rFonts w:ascii="SimSun" w:hAnsi="SimSun" w:eastAsia="SimSun" w:cs="SimSun"/>
          <w:spacing w:val="-11"/>
        </w:rPr>
        <w:t xml:space="preserve"> </w:t>
      </w:r>
      <w:r>
        <w:rPr>
          <w:spacing w:val="-2"/>
        </w:rPr>
        <w:t>趋势表现</w:t>
      </w:r>
    </w:p>
    <w:p>
      <w:pPr>
        <w:pStyle w:val="BodyText"/>
        <w:ind w:left="635" w:right="123"/>
        <w:spacing w:before="116" w:line="317" w:lineRule="auto"/>
        <w:rPr/>
      </w:pPr>
      <w:r>
        <w:rPr>
          <w:spacing w:val="-1"/>
        </w:rPr>
        <w:t>(1)祖母绿、蓝宝石、红宝石占比显著提升：据国际彩色宝石协会</w:t>
      </w:r>
      <w:r>
        <w:rPr>
          <w:spacing w:val="-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(ICA)     </w:t>
      </w:r>
      <w:r>
        <w:rPr>
          <w:rFonts w:ascii="Times New Roman" w:hAnsi="Times New Roman" w:eastAsia="Times New Roman" w:cs="Times New Roman"/>
          <w:spacing w:val="-2"/>
        </w:rPr>
        <w:t xml:space="preserve"> 023    </w:t>
      </w:r>
      <w:r>
        <w:rPr>
          <w:spacing w:val="-2"/>
        </w:rPr>
        <w:t>年度彩宝</w:t>
      </w:r>
      <w:r>
        <w:rPr/>
        <w:t xml:space="preserve"> </w:t>
      </w:r>
      <w:r>
        <w:rPr>
          <w:spacing w:val="11"/>
        </w:rPr>
        <w:t>趋势报告》显示，2021-2024年间彩色宝石在高珠宝中的使用比例从约35%</w:t>
      </w:r>
      <w:r>
        <w:rPr>
          <w:spacing w:val="10"/>
        </w:rPr>
        <w:t>升至近</w:t>
      </w:r>
    </w:p>
    <w:p>
      <w:pPr>
        <w:ind w:left="635"/>
        <w:spacing w:before="39" w:line="180" w:lineRule="auto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50%</w:t>
      </w:r>
      <w:r>
        <w:rPr>
          <w:rFonts w:ascii="SimSun" w:hAnsi="SimSun" w:eastAsia="SimSun" w:cs="SimSun"/>
          <w:sz w:val="30"/>
          <w:szCs w:val="30"/>
          <w:spacing w:val="-4"/>
        </w:rPr>
        <w:t>。</w:t>
      </w:r>
    </w:p>
    <w:p>
      <w:pPr>
        <w:pStyle w:val="BodyText"/>
        <w:ind w:left="635" w:right="349"/>
        <w:spacing w:before="109" w:line="351" w:lineRule="auto"/>
        <w:rPr/>
      </w:pPr>
      <w:r>
        <w:rPr>
          <w:spacing w:val="-1"/>
        </w:rPr>
        <w:t>(2)品牌实践：</w:t>
      </w:r>
      <w:r>
        <w:rPr>
          <w:rFonts w:ascii="SimSun" w:hAnsi="SimSun" w:eastAsia="SimSun" w:cs="SimSun"/>
          <w:spacing w:val="-1"/>
        </w:rPr>
        <w:t>Cartier</w:t>
      </w:r>
      <w:r>
        <w:rPr>
          <w:rFonts w:ascii="SimSun" w:hAnsi="SimSun" w:eastAsia="SimSun" w:cs="SimSun"/>
          <w:spacing w:val="38"/>
        </w:rPr>
        <w:t xml:space="preserve"> </w:t>
      </w:r>
      <w:r>
        <w:rPr>
          <w:rFonts w:ascii="SimSun" w:hAnsi="SimSun" w:eastAsia="SimSun" w:cs="SimSun"/>
          <w:spacing w:val="-1"/>
        </w:rPr>
        <w:t>Beautés</w:t>
      </w:r>
      <w:r>
        <w:rPr>
          <w:rFonts w:ascii="SimSun" w:hAnsi="SimSun" w:eastAsia="SimSun" w:cs="SimSun"/>
          <w:spacing w:val="48"/>
        </w:rPr>
        <w:t xml:space="preserve"> </w:t>
      </w:r>
      <w:r>
        <w:rPr>
          <w:rFonts w:ascii="SimSun" w:hAnsi="SimSun" w:eastAsia="SimSun" w:cs="SimSun"/>
          <w:spacing w:val="-1"/>
        </w:rPr>
        <w:t>du</w:t>
      </w:r>
      <w:r>
        <w:rPr>
          <w:rFonts w:ascii="SimSun" w:hAnsi="SimSun" w:eastAsia="SimSun" w:cs="SimSun"/>
          <w:spacing w:val="35"/>
        </w:rPr>
        <w:t xml:space="preserve"> </w:t>
      </w:r>
      <w:r>
        <w:rPr>
          <w:rFonts w:ascii="SimSun" w:hAnsi="SimSun" w:eastAsia="SimSun" w:cs="SimSun"/>
          <w:spacing w:val="-1"/>
        </w:rPr>
        <w:t>Monde</w:t>
      </w:r>
      <w:r>
        <w:rPr>
          <w:spacing w:val="-2"/>
        </w:rPr>
        <w:t>系列大量采用哥伦比亚祖母绿；</w:t>
      </w:r>
      <w:r>
        <w:rPr>
          <w:rFonts w:ascii="SimSun" w:hAnsi="SimSun" w:eastAsia="SimSun" w:cs="SimSun"/>
          <w:spacing w:val="-2"/>
        </w:rPr>
        <w:t>Van  Cleef&amp;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4"/>
        </w:rPr>
        <w:t>Arpels Treasure Island</w:t>
      </w:r>
      <w:r>
        <w:rPr>
          <w:spacing w:val="-4"/>
        </w:rPr>
        <w:t>系列突出帕拉伊巴碧玺的电光蓝；</w:t>
      </w:r>
      <w:r>
        <w:rPr>
          <w:rFonts w:ascii="SimSun" w:hAnsi="SimSun" w:eastAsia="SimSun" w:cs="SimSun"/>
          <w:spacing w:val="-4"/>
        </w:rPr>
        <w:t>Graff</w:t>
      </w:r>
      <w:r>
        <w:rPr>
          <w:spacing w:val="-4"/>
        </w:rPr>
        <w:t>则以罕见彩钻为主。</w:t>
      </w:r>
    </w:p>
    <w:p>
      <w:pPr>
        <w:pStyle w:val="BodyText"/>
        <w:ind w:left="305"/>
        <w:spacing w:before="68" w:line="222" w:lineRule="auto"/>
        <w:rPr/>
      </w:pPr>
      <w:r>
        <w:rPr>
          <w:rFonts w:ascii="SimSun" w:hAnsi="SimSun" w:eastAsia="SimSun" w:cs="SimSun"/>
        </w:rPr>
        <w:t>2.</w:t>
      </w:r>
      <w:r>
        <w:rPr>
          <w:rFonts w:ascii="SimSun" w:hAnsi="SimSun" w:eastAsia="SimSun" w:cs="SimSun"/>
          <w:spacing w:val="-32"/>
        </w:rPr>
        <w:t xml:space="preserve"> </w:t>
      </w:r>
      <w:r>
        <w:rPr/>
        <w:t>优势与辩证分析</w:t>
      </w:r>
    </w:p>
    <w:p>
      <w:pPr>
        <w:pStyle w:val="BodyText"/>
        <w:ind w:left="635" w:right="62"/>
        <w:spacing w:before="141" w:line="265" w:lineRule="auto"/>
        <w:rPr/>
      </w:pPr>
      <w:r>
        <w:rPr>
          <w:spacing w:val="-1"/>
        </w:rPr>
        <w:t>(1)优势：在一定程度上反映了消费者对个性的追求，彩宝的独特色泽与稀缺性带来更高的</w:t>
      </w:r>
      <w:r>
        <w:rPr>
          <w:spacing w:val="10"/>
        </w:rPr>
        <w:t xml:space="preserve"> </w:t>
      </w:r>
      <w:r>
        <w:rPr>
          <w:spacing w:val="-2"/>
        </w:rPr>
        <w:t>情感共鸣与投资回报。</w:t>
      </w:r>
    </w:p>
    <w:p>
      <w:pPr>
        <w:pStyle w:val="BodyText"/>
        <w:ind w:left="635" w:right="25"/>
        <w:spacing w:before="141" w:line="264" w:lineRule="auto"/>
        <w:rPr/>
      </w:pPr>
      <w:r>
        <w:rPr/>
        <w:t>(2)潜在局限性与适用条件：颜色稳定性与处理披露要求较高，通常而言仅适用于对宝石学</w:t>
      </w:r>
      <w:r>
        <w:rPr>
          <w:spacing w:val="6"/>
        </w:rPr>
        <w:t xml:space="preserve"> </w:t>
      </w:r>
      <w:r>
        <w:rPr>
          <w:spacing w:val="-1"/>
        </w:rPr>
        <w:t>知识有一定了解的成熟收藏者；过度依赖单一产地可能面临供应链风险。</w:t>
      </w:r>
    </w:p>
    <w:p>
      <w:pPr>
        <w:spacing w:line="264" w:lineRule="auto"/>
        <w:sectPr>
          <w:pgSz w:w="12240" w:h="15840"/>
          <w:pgMar w:top="1260" w:right="1076" w:bottom="0" w:left="1014" w:header="0" w:footer="0" w:gutter="0"/>
        </w:sectPr>
        <w:rPr/>
      </w:pPr>
    </w:p>
    <w:p>
      <w:pPr>
        <w:pStyle w:val="BodyText"/>
        <w:spacing w:before="60" w:line="221" w:lineRule="auto"/>
        <w:outlineLvl w:val="2"/>
        <w:rPr>
          <w:sz w:val="30"/>
          <w:szCs w:val="30"/>
        </w:rPr>
      </w:pPr>
      <w:r>
        <w:rPr>
          <w:sz w:val="30"/>
          <w:szCs w:val="30"/>
          <w:b/>
          <w:bCs/>
          <w:spacing w:val="-5"/>
        </w:rPr>
        <w:t>(二)可持续材质与伦理工艺的应用</w:t>
      </w:r>
    </w:p>
    <w:p>
      <w:pPr>
        <w:pStyle w:val="BodyText"/>
        <w:ind w:left="315"/>
        <w:spacing w:before="203" w:line="222" w:lineRule="auto"/>
        <w:rPr/>
      </w:pPr>
      <w:r>
        <w:rPr>
          <w:rFonts w:ascii="SimSun" w:hAnsi="SimSun" w:eastAsia="SimSun" w:cs="SimSun"/>
          <w:spacing w:val="-7"/>
        </w:rPr>
        <w:t>1. </w:t>
      </w:r>
      <w:r>
        <w:rPr>
          <w:spacing w:val="-7"/>
        </w:rPr>
        <w:t>趋势表现</w:t>
      </w:r>
    </w:p>
    <w:p>
      <w:pPr>
        <w:pStyle w:val="BodyText"/>
        <w:ind w:left="645" w:right="144"/>
        <w:spacing w:before="73" w:line="290" w:lineRule="auto"/>
        <w:rPr/>
      </w:pPr>
      <w:r>
        <w:rPr/>
        <w:t>(1)可追溯宝石与回收贵金属：据</w:t>
      </w:r>
      <w:r>
        <w:rPr>
          <w:rFonts w:ascii="Arial" w:hAnsi="Arial" w:eastAsia="Arial" w:cs="Arial"/>
        </w:rPr>
        <w:t>Respon</w:t>
      </w:r>
      <w:r>
        <w:rPr>
          <w:rFonts w:ascii="Arial" w:hAnsi="Arial" w:eastAsia="Arial" w:cs="Arial"/>
          <w:spacing w:val="-1"/>
        </w:rPr>
        <w:t>sible   Jewellery   Council(RJC)    024   </w:t>
      </w:r>
      <w:r>
        <w:rPr>
          <w:spacing w:val="-1"/>
        </w:rPr>
        <w:t>可持续珠</w:t>
      </w:r>
      <w:r>
        <w:rPr/>
        <w:t xml:space="preserve"> </w:t>
      </w:r>
      <w:r>
        <w:rPr>
          <w:spacing w:val="10"/>
        </w:rPr>
        <w:t>宝白皮书》指出，超过70%的顶级品牌已</w:t>
      </w:r>
      <w:r>
        <w:rPr>
          <w:spacing w:val="9"/>
        </w:rPr>
        <w:t>承诺100%伦理来源。</w:t>
      </w:r>
    </w:p>
    <w:p>
      <w:pPr>
        <w:pStyle w:val="BodyText"/>
        <w:ind w:left="645" w:right="187"/>
        <w:spacing w:before="143" w:line="277" w:lineRule="auto"/>
        <w:rPr/>
      </w:pPr>
      <w:r>
        <w:rPr>
          <w:spacing w:val="-2"/>
        </w:rPr>
        <w:t>(2)品牌实践：</w:t>
      </w:r>
      <w:r>
        <w:rPr>
          <w:rFonts w:ascii="SimSun" w:hAnsi="SimSun" w:eastAsia="SimSun" w:cs="SimSun"/>
          <w:spacing w:val="-2"/>
        </w:rPr>
        <w:t>Cartier</w:t>
      </w:r>
      <w:r>
        <w:rPr>
          <w:spacing w:val="-2"/>
        </w:rPr>
        <w:t>与</w:t>
      </w:r>
      <w:r>
        <w:rPr>
          <w:rFonts w:ascii="SimSun" w:hAnsi="SimSun" w:eastAsia="SimSun" w:cs="SimSun"/>
          <w:spacing w:val="-2"/>
        </w:rPr>
        <w:t>Van</w:t>
      </w:r>
      <w:r>
        <w:rPr>
          <w:rFonts w:ascii="SimSun" w:hAnsi="SimSun" w:eastAsia="SimSun" w:cs="SimSun"/>
          <w:spacing w:val="59"/>
        </w:rPr>
        <w:t xml:space="preserve"> </w:t>
      </w:r>
      <w:r>
        <w:rPr>
          <w:rFonts w:ascii="SimSun" w:hAnsi="SimSun" w:eastAsia="SimSun" w:cs="SimSun"/>
          <w:spacing w:val="-2"/>
        </w:rPr>
        <w:t>Cleef</w:t>
      </w:r>
      <w:r>
        <w:rPr>
          <w:rFonts w:ascii="SimSun" w:hAnsi="SimSun" w:eastAsia="SimSun" w:cs="SimSun"/>
          <w:spacing w:val="53"/>
        </w:rPr>
        <w:t xml:space="preserve"> </w:t>
      </w:r>
      <w:r>
        <w:rPr>
          <w:rFonts w:ascii="SimSun" w:hAnsi="SimSun" w:eastAsia="SimSun" w:cs="SimSun"/>
          <w:spacing w:val="-2"/>
        </w:rPr>
        <w:t>&amp;Arpels</w:t>
      </w:r>
      <w:r>
        <w:rPr>
          <w:spacing w:val="-2"/>
        </w:rPr>
        <w:t>公开供应链审计；</w:t>
      </w:r>
      <w:r>
        <w:rPr>
          <w:rFonts w:ascii="SimSun" w:hAnsi="SimSun" w:eastAsia="SimSun" w:cs="SimSun"/>
          <w:spacing w:val="-2"/>
        </w:rPr>
        <w:t>Graff</w:t>
      </w:r>
      <w:r>
        <w:rPr>
          <w:spacing w:val="-2"/>
        </w:rPr>
        <w:t>强调实验室培育钻石</w:t>
      </w:r>
      <w:r>
        <w:rPr/>
        <w:t xml:space="preserve"> </w:t>
      </w:r>
      <w:r>
        <w:rPr>
          <w:spacing w:val="-3"/>
        </w:rPr>
        <w:t>的辅助应用。</w:t>
      </w:r>
    </w:p>
    <w:p>
      <w:pPr>
        <w:pStyle w:val="BodyText"/>
        <w:ind w:left="315"/>
        <w:spacing w:before="240" w:line="222" w:lineRule="auto"/>
        <w:rPr/>
      </w:pPr>
      <w:r>
        <w:rPr>
          <w:rFonts w:ascii="SimSun" w:hAnsi="SimSun" w:eastAsia="SimSun" w:cs="SimSun"/>
          <w:spacing w:val="-3"/>
        </w:rPr>
        <w:t>2.</w:t>
      </w:r>
      <w:r>
        <w:rPr>
          <w:rFonts w:ascii="SimSun" w:hAnsi="SimSun" w:eastAsia="SimSun" w:cs="SimSun"/>
          <w:spacing w:val="-21"/>
        </w:rPr>
        <w:t xml:space="preserve"> </w:t>
      </w:r>
      <w:r>
        <w:rPr>
          <w:spacing w:val="-3"/>
        </w:rPr>
        <w:t>优势与辩证分析</w:t>
      </w:r>
    </w:p>
    <w:p>
      <w:pPr>
        <w:pStyle w:val="BodyText"/>
        <w:ind w:left="645"/>
        <w:spacing w:before="151" w:line="213" w:lineRule="auto"/>
        <w:rPr/>
      </w:pPr>
      <w:r>
        <w:rPr>
          <w:spacing w:val="-2"/>
        </w:rPr>
        <w:t>(1)优势：提升品牌社会责任形象，吸引年轻消费者，通常而言有助于长期声誉资本</w:t>
      </w:r>
      <w:r>
        <w:rPr>
          <w:spacing w:val="-3"/>
        </w:rPr>
        <w:t>积累。</w:t>
      </w:r>
    </w:p>
    <w:p>
      <w:pPr>
        <w:pStyle w:val="BodyText"/>
        <w:ind w:left="645" w:right="70"/>
        <w:spacing w:before="112" w:line="276" w:lineRule="auto"/>
        <w:rPr/>
      </w:pPr>
      <w:r>
        <w:rPr/>
        <w:t>(2)潜在局限性与适用条件：认证成本较高，可能导致价格进一步溢价；在某些传统收藏者</w:t>
      </w:r>
      <w:r>
        <w:rPr>
          <w:spacing w:val="2"/>
        </w:rPr>
        <w:t xml:space="preserve"> </w:t>
      </w:r>
      <w:r>
        <w:rPr>
          <w:spacing w:val="-11"/>
        </w:rPr>
        <w:t>眼中，实验室宝石仍难以完全替代天然稀有品的“克拉溢价”。</w:t>
      </w:r>
    </w:p>
    <w:p>
      <w:pPr>
        <w:spacing w:line="411" w:lineRule="auto"/>
        <w:rPr>
          <w:rFonts w:ascii="Arial"/>
          <w:sz w:val="21"/>
        </w:rPr>
      </w:pPr>
      <w:r/>
    </w:p>
    <w:p>
      <w:pPr>
        <w:pStyle w:val="BodyText"/>
        <w:spacing w:before="98" w:line="222" w:lineRule="auto"/>
        <w:outlineLvl w:val="2"/>
        <w:rPr>
          <w:sz w:val="30"/>
          <w:szCs w:val="30"/>
        </w:rPr>
      </w:pPr>
      <w:r>
        <w:rPr>
          <w:sz w:val="30"/>
          <w:szCs w:val="30"/>
          <w:b/>
          <w:bCs/>
          <w:spacing w:val="-5"/>
        </w:rPr>
        <w:t>(三)可转换与多功能设计的兴起</w:t>
      </w:r>
    </w:p>
    <w:p>
      <w:pPr>
        <w:pStyle w:val="BodyText"/>
        <w:ind w:left="315"/>
        <w:spacing w:before="202" w:line="222" w:lineRule="auto"/>
        <w:rPr/>
      </w:pPr>
      <w:r>
        <w:rPr>
          <w:rFonts w:ascii="SimSun" w:hAnsi="SimSun" w:eastAsia="SimSun" w:cs="SimSun"/>
          <w:spacing w:val="-7"/>
        </w:rPr>
        <w:t>1. </w:t>
      </w:r>
      <w:r>
        <w:rPr>
          <w:spacing w:val="-7"/>
        </w:rPr>
        <w:t>趋势表现</w:t>
      </w:r>
    </w:p>
    <w:p>
      <w:pPr>
        <w:pStyle w:val="BodyText"/>
        <w:ind w:left="645"/>
        <w:spacing w:before="130" w:line="318" w:lineRule="auto"/>
        <w:rPr/>
      </w:pPr>
      <w:r>
        <w:rPr>
          <w:spacing w:val="2"/>
        </w:rPr>
        <w:t>(1)从单一饰品向模块化转型：据佳士得《2023年度珠宝拍卖</w:t>
      </w:r>
      <w:r>
        <w:rPr>
          <w:spacing w:val="1"/>
        </w:rPr>
        <w:t>白皮书》分析，可转换珠宝在</w:t>
      </w:r>
      <w:r>
        <w:rPr/>
        <w:t xml:space="preserve"> </w:t>
      </w:r>
      <w:r>
        <w:rPr>
          <w:spacing w:val="4"/>
        </w:rPr>
        <w:t>拍品中的估价区间</w:t>
      </w:r>
      <w:r>
        <w:rPr>
          <w:spacing w:val="4"/>
        </w:rPr>
        <w:t xml:space="preserve"> </w:t>
      </w:r>
      <w:r>
        <w:rPr>
          <w:rFonts w:ascii="SimSun" w:hAnsi="SimSun" w:eastAsia="SimSun" w:cs="SimSun"/>
          <w:spacing w:val="4"/>
        </w:rPr>
        <w:t>(</w:t>
      </w:r>
      <w:r>
        <w:rPr>
          <w:rFonts w:ascii="SimSun" w:hAnsi="SimSun" w:eastAsia="SimSun" w:cs="SimSun"/>
        </w:rPr>
        <w:t>estimate</w:t>
      </w:r>
      <w:r>
        <w:rPr>
          <w:rFonts w:ascii="SimSun" w:hAnsi="SimSun" w:eastAsia="SimSun" w:cs="SimSun"/>
          <w:spacing w:val="2"/>
        </w:rPr>
        <w:t xml:space="preserve">  </w:t>
      </w:r>
      <w:r>
        <w:rPr>
          <w:rFonts w:ascii="SimSun" w:hAnsi="SimSun" w:eastAsia="SimSun" w:cs="SimSun"/>
        </w:rPr>
        <w:t>range</w:t>
      </w:r>
      <w:r>
        <w:rPr>
          <w:rFonts w:ascii="SimSun" w:hAnsi="SimSun" w:eastAsia="SimSun" w:cs="SimSun"/>
          <w:spacing w:val="4"/>
        </w:rPr>
        <w:t>,</w:t>
      </w:r>
      <w:r>
        <w:rPr>
          <w:spacing w:val="4"/>
        </w:rPr>
        <w:t>拍卖前公布的预期价格区间)溢价率平均高出</w:t>
      </w:r>
    </w:p>
    <w:p>
      <w:pPr>
        <w:ind w:left="645"/>
        <w:spacing w:before="65" w:line="180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8"/>
        </w:rPr>
        <w:t>15%</w:t>
      </w:r>
      <w:r>
        <w:rPr>
          <w:rFonts w:ascii="SimSun" w:hAnsi="SimSun" w:eastAsia="SimSun" w:cs="SimSun"/>
          <w:sz w:val="24"/>
          <w:szCs w:val="24"/>
          <w:spacing w:val="-8"/>
        </w:rPr>
        <w:t>。</w:t>
      </w:r>
    </w:p>
    <w:p>
      <w:pPr>
        <w:pStyle w:val="BodyText"/>
        <w:ind w:left="645" w:right="47"/>
        <w:spacing w:before="93" w:line="343" w:lineRule="auto"/>
        <w:rPr/>
      </w:pPr>
      <w:r>
        <w:rPr>
          <w:spacing w:val="6"/>
        </w:rPr>
        <w:t>(2)品牌实践：</w:t>
      </w:r>
      <w:r>
        <w:rPr>
          <w:rFonts w:ascii="Arial" w:hAnsi="Arial" w:eastAsia="Arial" w:cs="Arial"/>
        </w:rPr>
        <w:t>Van</w:t>
      </w:r>
      <w:r>
        <w:rPr>
          <w:rFonts w:ascii="Arial" w:hAnsi="Arial" w:eastAsia="Arial" w:cs="Arial"/>
          <w:spacing w:val="6"/>
        </w:rPr>
        <w:t xml:space="preserve">    </w:t>
      </w:r>
      <w:r>
        <w:rPr>
          <w:rFonts w:ascii="Arial" w:hAnsi="Arial" w:eastAsia="Arial" w:cs="Arial"/>
        </w:rPr>
        <w:t>Cleef</w:t>
      </w:r>
      <w:r>
        <w:rPr>
          <w:rFonts w:ascii="Arial" w:hAnsi="Arial" w:eastAsia="Arial" w:cs="Arial"/>
          <w:spacing w:val="6"/>
        </w:rPr>
        <w:t>&amp;</w:t>
      </w:r>
      <w:r>
        <w:rPr>
          <w:rFonts w:ascii="Arial" w:hAnsi="Arial" w:eastAsia="Arial" w:cs="Arial"/>
        </w:rPr>
        <w:t>Arpels</w:t>
      </w:r>
      <w:r>
        <w:rPr>
          <w:spacing w:val="6"/>
        </w:rPr>
        <w:t>的</w:t>
      </w:r>
      <w:r>
        <w:rPr>
          <w:rFonts w:ascii="Arial" w:hAnsi="Arial" w:eastAsia="Arial" w:cs="Arial"/>
        </w:rPr>
        <w:t>Zip</w:t>
      </w:r>
      <w:r>
        <w:rPr>
          <w:spacing w:val="6"/>
        </w:rPr>
        <w:t>项链(可转为手链);</w:t>
      </w:r>
      <w:r>
        <w:rPr>
          <w:spacing w:val="-32"/>
        </w:rPr>
        <w:t xml:space="preserve"> </w:t>
      </w:r>
      <w:r>
        <w:rPr>
          <w:rFonts w:ascii="Arial" w:hAnsi="Arial" w:eastAsia="Arial" w:cs="Arial"/>
        </w:rPr>
        <w:t>Cartier</w:t>
      </w:r>
      <w:r>
        <w:rPr>
          <w:rFonts w:ascii="Arial" w:hAnsi="Arial" w:eastAsia="Arial" w:cs="Arial"/>
          <w:spacing w:val="6"/>
        </w:rPr>
        <w:t xml:space="preserve"> </w:t>
      </w:r>
      <w:r>
        <w:rPr>
          <w:spacing w:val="6"/>
        </w:rPr>
        <w:t>的高珠宝套装支持多</w:t>
      </w:r>
      <w:r>
        <w:rPr/>
        <w:t xml:space="preserve"> </w:t>
      </w:r>
      <w:r>
        <w:rPr>
          <w:spacing w:val="-3"/>
        </w:rPr>
        <w:t>重佩戴方式。</w:t>
      </w:r>
    </w:p>
    <w:p>
      <w:pPr>
        <w:pStyle w:val="BodyText"/>
        <w:ind w:left="315"/>
        <w:spacing w:before="110" w:line="222" w:lineRule="auto"/>
        <w:rPr/>
      </w:pPr>
      <w:r>
        <w:rPr>
          <w:rFonts w:ascii="SimSun" w:hAnsi="SimSun" w:eastAsia="SimSun" w:cs="SimSun"/>
          <w:spacing w:val="-3"/>
        </w:rPr>
        <w:t>2.</w:t>
      </w:r>
      <w:r>
        <w:rPr>
          <w:rFonts w:ascii="SimSun" w:hAnsi="SimSun" w:eastAsia="SimSun" w:cs="SimSun"/>
          <w:spacing w:val="-21"/>
        </w:rPr>
        <w:t xml:space="preserve"> </w:t>
      </w:r>
      <w:r>
        <w:rPr>
          <w:spacing w:val="-3"/>
        </w:rPr>
        <w:t>优势与辩证分析</w:t>
      </w:r>
    </w:p>
    <w:p>
      <w:pPr>
        <w:pStyle w:val="BodyText"/>
        <w:ind w:left="645"/>
        <w:spacing w:before="121" w:line="213" w:lineRule="auto"/>
        <w:rPr/>
      </w:pPr>
      <w:r>
        <w:rPr>
          <w:spacing w:val="-3"/>
        </w:rPr>
        <w:t>(1)优势：提升实用性与性价比，满足现代生活多场景需求。</w:t>
      </w:r>
    </w:p>
    <w:p>
      <w:pPr>
        <w:pStyle w:val="BodyText"/>
        <w:ind w:left="645" w:right="68"/>
        <w:spacing w:before="154" w:line="264" w:lineRule="auto"/>
        <w:rPr/>
      </w:pPr>
      <w:r>
        <w:rPr/>
        <w:t>(2)潜在局限性与适用条件：工艺复杂度增加维护难度，通常而言更适合日常佩戴频率较高</w:t>
      </w:r>
      <w:r>
        <w:rPr>
          <w:spacing w:val="5"/>
        </w:rPr>
        <w:t xml:space="preserve"> </w:t>
      </w:r>
      <w:r>
        <w:rPr>
          <w:spacing w:val="-4"/>
        </w:rPr>
        <w:t>的都市精英，而非纯收藏投资。</w:t>
      </w:r>
    </w:p>
    <w:p>
      <w:pPr>
        <w:spacing w:line="421" w:lineRule="auto"/>
        <w:rPr>
          <w:rFonts w:ascii="Arial"/>
          <w:sz w:val="21"/>
        </w:rPr>
      </w:pPr>
      <w:r/>
    </w:p>
    <w:p>
      <w:pPr>
        <w:pStyle w:val="BodyText"/>
        <w:spacing w:before="98" w:line="222" w:lineRule="auto"/>
        <w:outlineLvl w:val="2"/>
        <w:rPr>
          <w:sz w:val="30"/>
          <w:szCs w:val="30"/>
        </w:rPr>
      </w:pPr>
      <w:r>
        <w:rPr>
          <w:sz w:val="30"/>
          <w:szCs w:val="30"/>
          <w:b/>
          <w:bCs/>
          <w:spacing w:val="-6"/>
        </w:rPr>
        <w:t>(四)自然主题与抽象几何的融合</w:t>
      </w:r>
    </w:p>
    <w:p>
      <w:pPr>
        <w:spacing w:line="222" w:lineRule="auto"/>
        <w:sectPr>
          <w:pgSz w:w="12240" w:h="15840"/>
          <w:pgMar w:top="1284" w:right="1035" w:bottom="0" w:left="1004" w:header="0" w:footer="0" w:gutter="0"/>
        </w:sectPr>
        <w:rPr>
          <w:sz w:val="30"/>
          <w:szCs w:val="30"/>
        </w:rPr>
      </w:pPr>
    </w:p>
    <w:p>
      <w:pPr>
        <w:pStyle w:val="BodyText"/>
        <w:ind w:left="340"/>
        <w:spacing w:before="44" w:line="222" w:lineRule="auto"/>
        <w:rPr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1"/>
        </w:rPr>
        <w:t>1. </w:t>
      </w:r>
      <w:r>
        <w:rPr>
          <w:sz w:val="22"/>
          <w:szCs w:val="22"/>
          <w:spacing w:val="11"/>
        </w:rPr>
        <w:t>趋势表现</w:t>
      </w:r>
    </w:p>
    <w:p>
      <w:pPr>
        <w:pStyle w:val="BodyText"/>
        <w:ind w:left="670" w:right="176"/>
        <w:spacing w:before="120" w:line="346" w:lineRule="auto"/>
        <w:rPr>
          <w:sz w:val="22"/>
          <w:szCs w:val="22"/>
        </w:rPr>
      </w:pPr>
      <w:r>
        <w:rPr>
          <w:sz w:val="22"/>
          <w:szCs w:val="22"/>
          <w:spacing w:val="9"/>
        </w:rPr>
        <w:t>(1)动物与植物动机复兴：</w:t>
      </w:r>
      <w:r>
        <w:rPr>
          <w:sz w:val="22"/>
          <w:szCs w:val="22"/>
          <w:spacing w:val="9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Cartier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 </w:t>
      </w:r>
      <w:r>
        <w:rPr>
          <w:rFonts w:ascii="SimSun" w:hAnsi="SimSun" w:eastAsia="SimSun" w:cs="SimSun"/>
          <w:sz w:val="22"/>
          <w:szCs w:val="22"/>
        </w:rPr>
        <w:t>Panthere</w:t>
      </w:r>
      <w:r>
        <w:rPr>
          <w:sz w:val="22"/>
          <w:szCs w:val="22"/>
          <w:spacing w:val="9"/>
        </w:rPr>
        <w:t>系列、</w:t>
      </w:r>
      <w:r>
        <w:rPr>
          <w:rFonts w:ascii="SimSun" w:hAnsi="SimSun" w:eastAsia="SimSun" w:cs="SimSun"/>
          <w:sz w:val="22"/>
          <w:szCs w:val="22"/>
        </w:rPr>
        <w:t>Van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 </w:t>
      </w:r>
      <w:r>
        <w:rPr>
          <w:rFonts w:ascii="SimSun" w:hAnsi="SimSun" w:eastAsia="SimSun" w:cs="SimSun"/>
          <w:sz w:val="22"/>
          <w:szCs w:val="22"/>
        </w:rPr>
        <w:t>Cleef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 &amp;</w:t>
      </w:r>
      <w:r>
        <w:rPr>
          <w:rFonts w:ascii="SimSun" w:hAnsi="SimSun" w:eastAsia="SimSun" w:cs="SimSun"/>
          <w:sz w:val="22"/>
          <w:szCs w:val="22"/>
        </w:rPr>
        <w:t>Arpels</w:t>
      </w:r>
      <w:r>
        <w:rPr>
          <w:sz w:val="22"/>
          <w:szCs w:val="22"/>
          <w:spacing w:val="9"/>
        </w:rPr>
        <w:t>花卉与仙子主题持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12"/>
        </w:rPr>
        <w:t>续迭代。</w:t>
      </w:r>
    </w:p>
    <w:p>
      <w:pPr>
        <w:pStyle w:val="BodyText"/>
        <w:ind w:left="670" w:right="259"/>
        <w:spacing w:before="1" w:line="391" w:lineRule="auto"/>
        <w:rPr>
          <w:sz w:val="22"/>
          <w:szCs w:val="22"/>
        </w:rPr>
      </w:pPr>
      <w:r>
        <w:rPr>
          <w:sz w:val="22"/>
          <w:szCs w:val="22"/>
          <w:spacing w:val="14"/>
        </w:rPr>
        <w:t>(2)抽象几何转向：</w:t>
      </w:r>
      <w:r>
        <w:rPr>
          <w:sz w:val="22"/>
          <w:szCs w:val="22"/>
          <w:spacing w:val="14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Graff</w:t>
      </w:r>
      <w:r>
        <w:rPr>
          <w:rFonts w:ascii="SimSun" w:hAnsi="SimSun" w:eastAsia="SimSun" w:cs="SimSun"/>
          <w:sz w:val="22"/>
          <w:szCs w:val="22"/>
          <w:spacing w:val="56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Galaxia</w:t>
      </w:r>
      <w:r>
        <w:rPr>
          <w:sz w:val="22"/>
          <w:szCs w:val="22"/>
          <w:spacing w:val="14"/>
        </w:rPr>
        <w:t>系列以光线折射与建筑感为主，据法国高级珠宝协会观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18"/>
        </w:rPr>
        <w:t>察，可能表明设计语言从具象向当代艺术的延伸。</w:t>
      </w:r>
    </w:p>
    <w:p>
      <w:pPr>
        <w:pStyle w:val="BodyText"/>
        <w:ind w:left="350"/>
        <w:spacing w:before="76" w:line="222" w:lineRule="auto"/>
        <w:rPr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5"/>
        </w:rPr>
        <w:t>2.</w:t>
      </w:r>
      <w:r>
        <w:rPr>
          <w:rFonts w:ascii="SimSun" w:hAnsi="SimSun" w:eastAsia="SimSun" w:cs="SimSun"/>
          <w:sz w:val="22"/>
          <w:szCs w:val="22"/>
          <w:spacing w:val="-8"/>
        </w:rPr>
        <w:t xml:space="preserve"> </w:t>
      </w:r>
      <w:r>
        <w:rPr>
          <w:sz w:val="22"/>
          <w:szCs w:val="22"/>
          <w:spacing w:val="15"/>
        </w:rPr>
        <w:t>优势与辩证分析</w:t>
      </w:r>
    </w:p>
    <w:p>
      <w:pPr>
        <w:pStyle w:val="BodyText"/>
        <w:ind w:left="670"/>
        <w:spacing w:before="165" w:line="222" w:lineRule="auto"/>
        <w:rPr>
          <w:sz w:val="22"/>
          <w:szCs w:val="22"/>
        </w:rPr>
      </w:pPr>
      <w:r>
        <w:rPr>
          <w:sz w:val="22"/>
          <w:szCs w:val="22"/>
          <w:spacing w:val="13"/>
        </w:rPr>
        <w:t>(1)优势：增强叙事性与文化认同感。</w:t>
      </w:r>
    </w:p>
    <w:p>
      <w:pPr>
        <w:pStyle w:val="BodyText"/>
        <w:ind w:left="670"/>
        <w:spacing w:before="106" w:line="299" w:lineRule="auto"/>
        <w:rPr>
          <w:sz w:val="22"/>
          <w:szCs w:val="22"/>
        </w:rPr>
      </w:pPr>
      <w:r>
        <w:rPr>
          <w:sz w:val="22"/>
          <w:szCs w:val="22"/>
          <w:spacing w:val="19"/>
        </w:rPr>
        <w:t>(2)潜在局限性与适用条件：主题过度同</w:t>
      </w:r>
      <w:r>
        <w:rPr>
          <w:sz w:val="22"/>
          <w:szCs w:val="22"/>
          <w:spacing w:val="18"/>
        </w:rPr>
        <w:t>质化可能削弱差异化，通常而言需结合品牌</w:t>
      </w:r>
      <w:r>
        <w:rPr>
          <w:rFonts w:ascii="SimSun" w:hAnsi="SimSun" w:eastAsia="SimSun" w:cs="SimSun"/>
          <w:sz w:val="22"/>
          <w:szCs w:val="22"/>
        </w:rPr>
        <w:t>DNA</w:t>
      </w:r>
      <w:r>
        <w:rPr>
          <w:rFonts w:ascii="SimSun" w:hAnsi="SimSun" w:eastAsia="SimSun" w:cs="SimSun"/>
          <w:sz w:val="22"/>
          <w:szCs w:val="22"/>
          <w:spacing w:val="85"/>
        </w:rPr>
        <w:t xml:space="preserve"> </w:t>
      </w:r>
      <w:r>
        <w:rPr>
          <w:sz w:val="22"/>
          <w:szCs w:val="22"/>
          <w:spacing w:val="18"/>
        </w:rPr>
        <w:t>方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13"/>
        </w:rPr>
        <w:t>能避免审美疲劳。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left="3"/>
        <w:spacing w:before="71" w:line="22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28"/>
        </w:rPr>
        <w:t>表1:2022-2024年代表性高奢品牌核心系</w:t>
      </w:r>
      <w:r>
        <w:rPr>
          <w:sz w:val="22"/>
          <w:szCs w:val="22"/>
          <w:b/>
          <w:bCs/>
          <w:spacing w:val="27"/>
        </w:rPr>
        <w:t>列主题与材质对比表</w:t>
      </w:r>
    </w:p>
    <w:p>
      <w:pPr>
        <w:spacing w:line="238" w:lineRule="exact"/>
        <w:rPr/>
      </w:pPr>
      <w:r/>
    </w:p>
    <w:tbl>
      <w:tblPr>
        <w:tblStyle w:val="TableNormal"/>
        <w:tblW w:w="10080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352"/>
        <w:gridCol w:w="3332"/>
        <w:gridCol w:w="1191"/>
        <w:gridCol w:w="2638"/>
        <w:gridCol w:w="1567"/>
      </w:tblGrid>
      <w:tr>
        <w:trPr>
          <w:trHeight w:val="752" w:hRule="atLeast"/>
        </w:trPr>
        <w:tc>
          <w:tcPr>
            <w:tcW w:w="1352" w:type="dxa"/>
            <w:vAlign w:val="top"/>
          </w:tcPr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"/>
              <w:spacing w:before="72" w:line="222" w:lineRule="auto"/>
              <w:rPr/>
            </w:pPr>
            <w:r>
              <w:rPr>
                <w:b/>
                <w:bCs/>
                <w:spacing w:val="-8"/>
              </w:rPr>
              <w:t>品牌</w:t>
            </w:r>
          </w:p>
        </w:tc>
        <w:tc>
          <w:tcPr>
            <w:tcW w:w="3332" w:type="dxa"/>
            <w:vAlign w:val="top"/>
          </w:tcPr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71" w:line="222" w:lineRule="auto"/>
              <w:rPr/>
            </w:pPr>
            <w:r>
              <w:rPr>
                <w:b/>
                <w:bCs/>
                <w:spacing w:val="5"/>
              </w:rPr>
              <w:t>代表系列(年份)</w:t>
            </w:r>
          </w:p>
        </w:tc>
        <w:tc>
          <w:tcPr>
            <w:tcW w:w="1191" w:type="dxa"/>
            <w:vAlign w:val="top"/>
          </w:tcPr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8"/>
              <w:spacing w:before="72" w:line="222" w:lineRule="auto"/>
              <w:rPr/>
            </w:pPr>
            <w:r>
              <w:rPr>
                <w:b/>
                <w:bCs/>
                <w:spacing w:val="-13"/>
              </w:rPr>
              <w:t>核心主题</w:t>
            </w:r>
          </w:p>
        </w:tc>
        <w:tc>
          <w:tcPr>
            <w:tcW w:w="2638" w:type="dxa"/>
            <w:vAlign w:val="top"/>
          </w:tcPr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8"/>
              <w:spacing w:before="71" w:line="222" w:lineRule="auto"/>
              <w:rPr/>
            </w:pPr>
            <w:r>
              <w:rPr>
                <w:b/>
                <w:bCs/>
                <w:spacing w:val="-10"/>
              </w:rPr>
              <w:t>主要材质与工艺特点</w:t>
            </w:r>
          </w:p>
        </w:tc>
        <w:tc>
          <w:tcPr>
            <w:tcW w:w="1567" w:type="dxa"/>
            <w:vAlign w:val="top"/>
          </w:tcPr>
          <w:p>
            <w:pPr>
              <w:pStyle w:val="TableText"/>
              <w:ind w:left="180" w:right="518"/>
              <w:spacing w:before="1" w:line="303" w:lineRule="auto"/>
              <w:rPr/>
            </w:pPr>
            <w:r>
              <w:rPr>
                <w:b/>
                <w:bCs/>
                <w:spacing w:val="-6"/>
              </w:rPr>
              <w:t>可持续元</w:t>
            </w:r>
            <w:r>
              <w:rPr>
                <w:spacing w:val="1"/>
              </w:rPr>
              <w:t xml:space="preserve"> </w:t>
            </w:r>
            <w:r>
              <w:rPr>
                <w:b/>
                <w:bCs/>
                <w:spacing w:val="-11"/>
              </w:rPr>
              <w:t>素体现</w:t>
            </w:r>
          </w:p>
        </w:tc>
      </w:tr>
      <w:tr>
        <w:trPr>
          <w:trHeight w:val="508" w:hRule="atLeast"/>
        </w:trPr>
        <w:tc>
          <w:tcPr>
            <w:tcW w:w="1352" w:type="dxa"/>
            <w:vAlign w:val="top"/>
          </w:tcPr>
          <w:p>
            <w:pPr>
              <w:spacing w:before="267" w:line="189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2"/>
              </w:rPr>
              <w:t>Cartier</w:t>
            </w:r>
          </w:p>
        </w:tc>
        <w:tc>
          <w:tcPr>
            <w:tcW w:w="3332" w:type="dxa"/>
            <w:vAlign w:val="top"/>
          </w:tcPr>
          <w:p>
            <w:pPr>
              <w:ind w:left="207"/>
              <w:spacing w:before="168" w:line="300" w:lineRule="exact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2"/>
                <w:position w:val="3"/>
              </w:rPr>
              <w:t>Beautés</w:t>
            </w:r>
            <w:r>
              <w:rPr>
                <w:rFonts w:ascii="Arial" w:hAnsi="Arial" w:eastAsia="Arial" w:cs="Arial"/>
                <w:sz w:val="22"/>
                <w:szCs w:val="22"/>
                <w:spacing w:val="52"/>
                <w:w w:val="101"/>
                <w:position w:val="3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  <w:position w:val="3"/>
              </w:rPr>
              <w:t>du  Monde(2022)</w:t>
            </w:r>
            <w:r>
              <w:rPr>
                <w:rFonts w:ascii="SimSun" w:hAnsi="SimSun" w:eastAsia="SimSun" w:cs="SimSun"/>
                <w:sz w:val="22"/>
                <w:szCs w:val="22"/>
                <w:spacing w:val="-2"/>
                <w:position w:val="3"/>
              </w:rPr>
              <w:t>、</w:t>
            </w:r>
          </w:p>
        </w:tc>
        <w:tc>
          <w:tcPr>
            <w:tcW w:w="1191" w:type="dxa"/>
            <w:vAlign w:val="top"/>
          </w:tcPr>
          <w:p>
            <w:pPr>
              <w:pStyle w:val="TableText"/>
              <w:ind w:left="206"/>
              <w:spacing w:before="209" w:line="221" w:lineRule="auto"/>
              <w:rPr/>
            </w:pPr>
            <w:r>
              <w:rPr>
                <w:spacing w:val="-7"/>
              </w:rPr>
              <w:t>自然世界</w:t>
            </w:r>
          </w:p>
        </w:tc>
        <w:tc>
          <w:tcPr>
            <w:tcW w:w="2638" w:type="dxa"/>
            <w:vAlign w:val="top"/>
          </w:tcPr>
          <w:p>
            <w:pPr>
              <w:pStyle w:val="TableText"/>
              <w:ind w:left="115"/>
              <w:spacing w:before="209" w:line="221" w:lineRule="auto"/>
              <w:rPr/>
            </w:pPr>
            <w:r>
              <w:rPr>
                <w:spacing w:val="-7"/>
              </w:rPr>
              <w:t>哥伦比亚祖母绿、密镶钻</w:t>
            </w:r>
          </w:p>
        </w:tc>
        <w:tc>
          <w:tcPr>
            <w:tcW w:w="1567" w:type="dxa"/>
            <w:vAlign w:val="top"/>
          </w:tcPr>
          <w:p>
            <w:pPr>
              <w:pStyle w:val="TableText"/>
              <w:ind w:left="177"/>
              <w:spacing w:before="220" w:line="222" w:lineRule="auto"/>
              <w:rPr/>
            </w:pPr>
            <w:r>
              <w:rPr>
                <w:spacing w:val="14"/>
              </w:rPr>
              <w:t>100%可追溯</w:t>
            </w:r>
          </w:p>
        </w:tc>
      </w:tr>
      <w:tr>
        <w:trPr>
          <w:trHeight w:val="384" w:hRule="atLeast"/>
        </w:trPr>
        <w:tc>
          <w:tcPr>
            <w:tcW w:w="1352" w:type="dxa"/>
            <w:vAlign w:val="top"/>
            <w:tcBorders>
              <w:bottom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332" w:type="dxa"/>
            <w:vAlign w:val="top"/>
            <w:tcBorders>
              <w:bottom w:val="single" w:color="000000" w:sz="4" w:space="0"/>
            </w:tcBorders>
          </w:tcPr>
          <w:p>
            <w:pPr>
              <w:ind w:left="207"/>
              <w:spacing w:before="40" w:line="300" w:lineRule="exac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2"/>
                <w:position w:val="3"/>
              </w:rPr>
              <w:t>Nature Sauvage</w:t>
            </w:r>
            <w:r>
              <w:rPr>
                <w:rFonts w:ascii="Arial" w:hAnsi="Arial" w:eastAsia="Arial" w:cs="Arial"/>
                <w:sz w:val="22"/>
                <w:szCs w:val="22"/>
                <w:spacing w:val="22"/>
                <w:w w:val="101"/>
                <w:position w:val="3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  <w:position w:val="3"/>
              </w:rPr>
              <w:t>(2024)</w:t>
            </w:r>
          </w:p>
        </w:tc>
        <w:tc>
          <w:tcPr>
            <w:tcW w:w="1191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206"/>
              <w:spacing w:before="72" w:line="222" w:lineRule="auto"/>
              <w:rPr/>
            </w:pPr>
            <w:r>
              <w:rPr>
                <w:spacing w:val="-11"/>
              </w:rPr>
              <w:t>与动物</w:t>
            </w:r>
          </w:p>
        </w:tc>
        <w:tc>
          <w:tcPr>
            <w:tcW w:w="2638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25"/>
              <w:spacing w:before="72" w:line="222" w:lineRule="auto"/>
              <w:rPr/>
            </w:pPr>
            <w:r>
              <w:rPr>
                <w:spacing w:val="-10"/>
              </w:rPr>
              <w:t>石、可转换设计</w:t>
            </w:r>
          </w:p>
        </w:tc>
        <w:tc>
          <w:tcPr>
            <w:tcW w:w="1567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77"/>
              <w:spacing w:before="67" w:line="225" w:lineRule="auto"/>
              <w:rPr/>
            </w:pPr>
            <w:r>
              <w:rPr>
                <w:spacing w:val="-4"/>
              </w:rPr>
              <w:t>宝石</w:t>
            </w:r>
          </w:p>
        </w:tc>
      </w:tr>
      <w:tr>
        <w:trPr>
          <w:trHeight w:val="575" w:hRule="atLeast"/>
        </w:trPr>
        <w:tc>
          <w:tcPr>
            <w:tcW w:w="1352" w:type="dxa"/>
            <w:vAlign w:val="top"/>
            <w:tcBorders>
              <w:top w:val="single" w:color="000000" w:sz="4" w:space="0"/>
            </w:tcBorders>
          </w:tcPr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before="63" w:line="198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6"/>
              </w:rPr>
              <w:t>Van Cleef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6"/>
              </w:rPr>
              <w:t>&amp;</w:t>
            </w:r>
          </w:p>
        </w:tc>
        <w:tc>
          <w:tcPr>
            <w:tcW w:w="3332" w:type="dxa"/>
            <w:vAlign w:val="top"/>
            <w:tcBorders>
              <w:top w:val="single" w:color="000000" w:sz="4" w:space="0"/>
            </w:tcBorders>
          </w:tcPr>
          <w:p>
            <w:pPr>
              <w:ind w:left="207"/>
              <w:spacing w:before="246" w:line="300" w:lineRule="exac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2"/>
                <w:position w:val="3"/>
              </w:rPr>
              <w:t>Treasure</w:t>
            </w:r>
            <w:r>
              <w:rPr>
                <w:rFonts w:ascii="Arial" w:hAnsi="Arial" w:eastAsia="Arial" w:cs="Arial"/>
                <w:sz w:val="22"/>
                <w:szCs w:val="22"/>
                <w:spacing w:val="25"/>
                <w:position w:val="3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  <w:position w:val="3"/>
              </w:rPr>
              <w:t>Island (2024)</w:t>
            </w:r>
            <w:r>
              <w:rPr>
                <w:rFonts w:ascii="SimSun" w:hAnsi="SimSun" w:eastAsia="SimSun" w:cs="SimSun"/>
                <w:sz w:val="22"/>
                <w:szCs w:val="22"/>
                <w:spacing w:val="-2"/>
                <w:position w:val="3"/>
              </w:rPr>
              <w:t>、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  <w:position w:val="3"/>
              </w:rPr>
              <w:t>Sous</w:t>
            </w:r>
          </w:p>
        </w:tc>
        <w:tc>
          <w:tcPr>
            <w:tcW w:w="1191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206"/>
              <w:spacing w:before="285" w:line="222" w:lineRule="auto"/>
              <w:rPr/>
            </w:pPr>
            <w:r>
              <w:rPr>
                <w:spacing w:val="-11"/>
              </w:rPr>
              <w:t>传奇冒险</w:t>
            </w:r>
          </w:p>
        </w:tc>
        <w:tc>
          <w:tcPr>
            <w:tcW w:w="2638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25"/>
              <w:spacing w:before="285" w:line="222" w:lineRule="auto"/>
              <w:rPr/>
            </w:pPr>
            <w:r>
              <w:rPr>
                <w:spacing w:val="-8"/>
              </w:rPr>
              <w:t>隐秘式镶嵌红宝石、帕拉</w:t>
            </w:r>
          </w:p>
        </w:tc>
        <w:tc>
          <w:tcPr>
            <w:tcW w:w="1567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77"/>
              <w:spacing w:before="285" w:line="223" w:lineRule="auto"/>
              <w:rPr/>
            </w:pPr>
            <w:r>
              <w:rPr>
                <w:rFonts w:ascii="Times New Roman" w:hAnsi="Times New Roman" w:eastAsia="Times New Roman" w:cs="Times New Roman"/>
                <w:spacing w:val="-4"/>
              </w:rPr>
              <w:t>RJC</w:t>
            </w:r>
            <w:r>
              <w:rPr>
                <w:spacing w:val="-4"/>
              </w:rPr>
              <w:t>认证供应</w:t>
            </w:r>
          </w:p>
        </w:tc>
      </w:tr>
      <w:tr>
        <w:trPr>
          <w:trHeight w:val="395" w:hRule="atLeast"/>
        </w:trPr>
        <w:tc>
          <w:tcPr>
            <w:tcW w:w="1352" w:type="dxa"/>
            <w:vAlign w:val="top"/>
            <w:tcBorders>
              <w:bottom w:val="single" w:color="000000" w:sz="2" w:space="0"/>
            </w:tcBorders>
          </w:tcPr>
          <w:p>
            <w:pPr>
              <w:spacing w:before="99" w:line="196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7"/>
              </w:rPr>
              <w:t>Arpels</w:t>
            </w:r>
          </w:p>
        </w:tc>
        <w:tc>
          <w:tcPr>
            <w:tcW w:w="3332" w:type="dxa"/>
            <w:vAlign w:val="top"/>
            <w:tcBorders>
              <w:bottom w:val="single" w:color="000000" w:sz="2" w:space="0"/>
            </w:tcBorders>
          </w:tcPr>
          <w:p>
            <w:pPr>
              <w:ind w:left="207"/>
              <w:spacing w:before="31" w:line="300" w:lineRule="exac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4"/>
                <w:position w:val="3"/>
              </w:rPr>
              <w:t>les</w:t>
            </w:r>
            <w:r>
              <w:rPr>
                <w:rFonts w:ascii="Arial" w:hAnsi="Arial" w:eastAsia="Arial" w:cs="Arial"/>
                <w:sz w:val="22"/>
                <w:szCs w:val="22"/>
                <w:spacing w:val="18"/>
                <w:position w:val="3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4"/>
                <w:position w:val="3"/>
              </w:rPr>
              <w:t>Etoiles (2021)</w:t>
            </w:r>
          </w:p>
        </w:tc>
        <w:tc>
          <w:tcPr>
            <w:tcW w:w="1191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06"/>
              <w:spacing w:before="71" w:line="222" w:lineRule="auto"/>
              <w:rPr/>
            </w:pPr>
            <w:r>
              <w:rPr>
                <w:spacing w:val="-12"/>
              </w:rPr>
              <w:t>与星空</w:t>
            </w:r>
          </w:p>
        </w:tc>
        <w:tc>
          <w:tcPr>
            <w:tcW w:w="2638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25"/>
              <w:spacing w:before="70" w:line="222" w:lineRule="auto"/>
              <w:rPr/>
            </w:pPr>
            <w:r>
              <w:rPr>
                <w:spacing w:val="-9"/>
              </w:rPr>
              <w:t>伊巴碧玺、花卉造型</w:t>
            </w:r>
          </w:p>
        </w:tc>
        <w:tc>
          <w:tcPr>
            <w:tcW w:w="1567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77"/>
              <w:spacing w:before="71" w:line="228" w:lineRule="auto"/>
              <w:rPr/>
            </w:pPr>
            <w:r>
              <w:rPr/>
              <w:t>链</w:t>
            </w:r>
          </w:p>
        </w:tc>
      </w:tr>
      <w:tr>
        <w:trPr>
          <w:trHeight w:val="878" w:hRule="atLeast"/>
        </w:trPr>
        <w:tc>
          <w:tcPr>
            <w:tcW w:w="1352" w:type="dxa"/>
            <w:vAlign w:val="top"/>
            <w:tcBorders>
              <w:top w:val="single" w:color="000000" w:sz="2" w:space="0"/>
            </w:tcBorders>
          </w:tcPr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before="63" w:line="189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1"/>
              </w:rPr>
              <w:t>Graff</w:t>
            </w:r>
          </w:p>
        </w:tc>
        <w:tc>
          <w:tcPr>
            <w:tcW w:w="3332" w:type="dxa"/>
            <w:vAlign w:val="top"/>
            <w:tcBorders>
              <w:top w:val="single" w:color="000000" w:sz="2" w:space="0"/>
            </w:tcBorders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ind w:left="207"/>
              <w:spacing w:before="64" w:line="198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Galaxia(2024)</w:t>
            </w:r>
          </w:p>
        </w:tc>
        <w:tc>
          <w:tcPr>
            <w:tcW w:w="119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06" w:right="114"/>
              <w:spacing w:before="291" w:line="242" w:lineRule="auto"/>
              <w:rPr/>
            </w:pPr>
            <w:r>
              <w:rPr>
                <w:spacing w:val="-3"/>
              </w:rPr>
              <w:t>抽象光线</w:t>
            </w:r>
            <w:r>
              <w:rPr>
                <w:spacing w:val="1"/>
              </w:rPr>
              <w:t xml:space="preserve"> </w:t>
            </w:r>
            <w:r>
              <w:rPr>
                <w:spacing w:val="-12"/>
              </w:rPr>
              <w:t>与几何</w:t>
            </w:r>
          </w:p>
        </w:tc>
        <w:tc>
          <w:tcPr>
            <w:tcW w:w="263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35" w:right="176" w:firstLine="9"/>
              <w:spacing w:before="291" w:line="242" w:lineRule="auto"/>
              <w:rPr/>
            </w:pPr>
            <w:r>
              <w:rPr>
                <w:spacing w:val="-10"/>
              </w:rPr>
              <w:t>罕见大克拉彩钻、独特切</w:t>
            </w:r>
            <w:r>
              <w:rPr>
                <w:spacing w:val="5"/>
              </w:rPr>
              <w:t xml:space="preserve"> </w:t>
            </w:r>
            <w:r>
              <w:rPr/>
              <w:t>割</w:t>
            </w:r>
          </w:p>
        </w:tc>
        <w:tc>
          <w:tcPr>
            <w:tcW w:w="156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77" w:right="130"/>
              <w:spacing w:before="284" w:line="245" w:lineRule="auto"/>
              <w:rPr/>
            </w:pPr>
            <w:r>
              <w:rPr>
                <w:spacing w:val="-11"/>
              </w:rPr>
              <w:t>部分实验室培</w:t>
            </w:r>
            <w:r>
              <w:rPr>
                <w:spacing w:val="4"/>
              </w:rPr>
              <w:t xml:space="preserve"> </w:t>
            </w:r>
            <w:r>
              <w:rPr>
                <w:spacing w:val="-5"/>
              </w:rPr>
              <w:t>育辅助</w:t>
            </w:r>
          </w:p>
        </w:tc>
      </w:tr>
    </w:tbl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3"/>
        <w:spacing w:before="73" w:line="22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27"/>
        </w:rPr>
        <w:t>表2:2021-2024年佳士得与苏富</w:t>
      </w:r>
      <w:r>
        <w:rPr>
          <w:sz w:val="22"/>
          <w:szCs w:val="22"/>
          <w:b/>
          <w:bCs/>
          <w:spacing w:val="26"/>
        </w:rPr>
        <w:t>比重要珠宝拍品</w:t>
      </w:r>
      <w:r>
        <w:rPr>
          <w:rFonts w:ascii="Arial" w:hAnsi="Arial" w:eastAsia="Arial" w:cs="Arial"/>
          <w:sz w:val="22"/>
          <w:szCs w:val="22"/>
          <w:b/>
          <w:bCs/>
        </w:rPr>
        <w:t>TOP</w:t>
      </w:r>
      <w:r>
        <w:rPr>
          <w:rFonts w:ascii="Arial" w:hAnsi="Arial" w:eastAsia="Arial" w:cs="Arial"/>
          <w:sz w:val="22"/>
          <w:szCs w:val="22"/>
          <w:b/>
          <w:bCs/>
          <w:spacing w:val="26"/>
        </w:rPr>
        <w:t>5 </w:t>
      </w:r>
      <w:r>
        <w:rPr>
          <w:sz w:val="22"/>
          <w:szCs w:val="22"/>
          <w:b/>
          <w:bCs/>
          <w:spacing w:val="26"/>
        </w:rPr>
        <w:t>设计元素分解表</w:t>
      </w:r>
    </w:p>
    <w:p>
      <w:pPr>
        <w:spacing w:line="222" w:lineRule="auto"/>
        <w:sectPr>
          <w:pgSz w:w="12240" w:h="15840"/>
          <w:pgMar w:top="1243" w:right="1082" w:bottom="0" w:left="989" w:header="0" w:footer="0" w:gutter="0"/>
        </w:sectPr>
        <w:rPr>
          <w:sz w:val="22"/>
          <w:szCs w:val="22"/>
        </w:rPr>
      </w:pPr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ind w:left="1000"/>
        <w:spacing w:before="71" w:line="22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排名</w:t>
      </w:r>
    </w:p>
    <w:p>
      <w:pPr>
        <w:spacing w:line="299" w:lineRule="auto"/>
        <w:rPr>
          <w:rFonts w:ascii="Arial"/>
          <w:sz w:val="21"/>
        </w:rPr>
      </w:pPr>
      <w:r/>
    </w:p>
    <w:p>
      <w:pPr>
        <w:ind w:left="997" w:right="298" w:hanging="390"/>
        <w:spacing w:before="63" w:line="331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2"/>
        </w:rPr>
        <w:t>1</w:t>
      </w:r>
      <w:r>
        <w:rPr>
          <w:rFonts w:ascii="Arial" w:hAnsi="Arial" w:eastAsia="Arial" w:cs="Arial"/>
          <w:sz w:val="22"/>
          <w:szCs w:val="22"/>
          <w:spacing w:val="9"/>
        </w:rPr>
        <w:t xml:space="preserve">    </w:t>
      </w:r>
      <w:r>
        <w:rPr>
          <w:rFonts w:ascii="Arial" w:hAnsi="Arial" w:eastAsia="Arial" w:cs="Arial"/>
          <w:sz w:val="22"/>
          <w:szCs w:val="22"/>
          <w:spacing w:val="-2"/>
        </w:rPr>
        <w:t>Kashmir Cabochon</w:t>
      </w:r>
      <w:r>
        <w:rPr>
          <w:rFonts w:ascii="Arial" w:hAnsi="Arial" w:eastAsia="Arial" w:cs="Arial"/>
          <w:sz w:val="22"/>
          <w:szCs w:val="22"/>
          <w:spacing w:val="2"/>
        </w:rPr>
        <w:t xml:space="preserve">             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~1,330</w:t>
      </w:r>
      <w:r>
        <w:rPr>
          <w:rFonts w:ascii="Times New Roman" w:hAnsi="Times New Roman" w:eastAsia="Times New Roman" w:cs="Times New Roman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Sapphire  Ring(Christie's</w:t>
      </w:r>
    </w:p>
    <w:p>
      <w:pPr>
        <w:ind w:left="997"/>
        <w:spacing w:before="4" w:line="192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2024)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44" w:lineRule="auto"/>
        <w:rPr>
          <w:rFonts w:ascii="Arial"/>
          <w:sz w:val="21"/>
        </w:rPr>
      </w:pPr>
      <w:r/>
    </w:p>
    <w:p>
      <w:pPr>
        <w:pStyle w:val="BodyText"/>
        <w:ind w:left="2" w:right="266"/>
        <w:spacing w:before="72" w:line="304" w:lineRule="auto"/>
        <w:tabs>
          <w:tab w:val="left" w:pos="143"/>
        </w:tabs>
        <w:rPr>
          <w:sz w:val="22"/>
          <w:szCs w:val="22"/>
        </w:rPr>
      </w:pPr>
      <w:r>
        <w:rPr>
          <w:sz w:val="22"/>
          <w:szCs w:val="22"/>
          <w:b/>
          <w:bCs/>
          <w:spacing w:val="-15"/>
        </w:rPr>
        <w:t>拍品描述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b/>
          <w:bCs/>
        </w:rPr>
        <w:tab/>
      </w:r>
      <w:r>
        <w:rPr>
          <w:sz w:val="22"/>
          <w:szCs w:val="22"/>
          <w:b/>
          <w:bCs/>
          <w:spacing w:val="-13"/>
        </w:rPr>
        <w:t>(拍卖行/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b/>
          <w:bCs/>
          <w:spacing w:val="-5"/>
        </w:rPr>
        <w:t>年份)</w:t>
      </w:r>
    </w:p>
    <w:p>
      <w:pPr>
        <w:pStyle w:val="BodyText"/>
        <w:ind w:right="136"/>
        <w:spacing w:before="231" w:line="294" w:lineRule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4"/>
        </w:rPr>
        <w:t>Art  Deco</w:t>
      </w:r>
      <w:r>
        <w:rPr>
          <w:sz w:val="22"/>
          <w:szCs w:val="22"/>
          <w:spacing w:val="-4"/>
        </w:rPr>
        <w:t>糖</w:t>
      </w:r>
      <w:r>
        <w:rPr>
          <w:sz w:val="22"/>
          <w:szCs w:val="22"/>
          <w:spacing w:val="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6"/>
        </w:rPr>
        <w:t>loaf</w:t>
      </w:r>
      <w:r>
        <w:rPr>
          <w:sz w:val="22"/>
          <w:szCs w:val="22"/>
          <w:spacing w:val="-16"/>
        </w:rPr>
        <w:t>切割、</w:t>
      </w:r>
    </w:p>
    <w:p>
      <w:pPr>
        <w:pStyle w:val="BodyText"/>
        <w:spacing w:line="221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可转换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pStyle w:val="BodyText"/>
        <w:ind w:right="146"/>
        <w:spacing w:before="72" w:line="287" w:lineRule="auto"/>
        <w:jc w:val="both"/>
        <w:rPr>
          <w:sz w:val="22"/>
          <w:szCs w:val="22"/>
        </w:rPr>
      </w:pPr>
      <w:r>
        <w:rPr>
          <w:sz w:val="22"/>
          <w:szCs w:val="22"/>
          <w:spacing w:val="-10"/>
        </w:rPr>
        <w:t>17.66克拉克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2"/>
        </w:rPr>
        <w:t>什米尔蓝宝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石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34" w:lineRule="auto"/>
        <w:rPr>
          <w:rFonts w:ascii="Arial"/>
          <w:sz w:val="21"/>
        </w:rPr>
      </w:pPr>
      <w:r/>
    </w:p>
    <w:p>
      <w:pPr>
        <w:pStyle w:val="BodyText"/>
        <w:ind w:left="32" w:right="209"/>
        <w:spacing w:before="71" w:line="309" w:lineRule="auto"/>
        <w:tabs>
          <w:tab w:val="left" w:pos="162"/>
        </w:tabs>
        <w:jc w:val="both"/>
        <w:rPr>
          <w:sz w:val="22"/>
          <w:szCs w:val="22"/>
        </w:rPr>
      </w:pPr>
      <w:r>
        <w:rPr>
          <w:sz w:val="22"/>
          <w:szCs w:val="22"/>
          <w:b/>
          <w:bCs/>
          <w:spacing w:val="-15"/>
        </w:rPr>
        <w:t>成交价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b/>
          <w:bCs/>
        </w:rPr>
        <w:tab/>
      </w:r>
      <w:r>
        <w:rPr>
          <w:sz w:val="22"/>
          <w:szCs w:val="22"/>
          <w:b/>
          <w:bCs/>
          <w:spacing w:val="-19"/>
        </w:rPr>
        <w:t>(万美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b/>
          <w:bCs/>
          <w:spacing w:val="-7"/>
        </w:rPr>
        <w:t>元)</w:t>
      </w:r>
    </w:p>
    <w:p>
      <w:pPr>
        <w:pStyle w:val="BodyText"/>
        <w:ind w:left="18" w:hanging="19"/>
        <w:spacing w:before="223" w:line="30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彩宝稀缺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性溢价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34" w:lineRule="auto"/>
        <w:rPr>
          <w:rFonts w:ascii="Arial"/>
          <w:sz w:val="21"/>
        </w:rPr>
      </w:pPr>
      <w:r/>
    </w:p>
    <w:p>
      <w:pPr>
        <w:pStyle w:val="BodyText"/>
        <w:ind w:left="52" w:right="236" w:hanging="9"/>
        <w:spacing w:before="71" w:line="30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9"/>
        </w:rPr>
        <w:t>主要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b/>
          <w:bCs/>
          <w:spacing w:val="-8"/>
        </w:rPr>
        <w:t>设计</w:t>
      </w:r>
    </w:p>
    <w:p>
      <w:pPr>
        <w:pStyle w:val="BodyText"/>
        <w:ind w:left="63"/>
        <w:spacing w:line="22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6"/>
        </w:rPr>
        <w:t>元素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33" w:lineRule="auto"/>
        <w:rPr>
          <w:rFonts w:ascii="Arial"/>
          <w:sz w:val="21"/>
        </w:rPr>
      </w:pPr>
      <w:r>
        <w:pict>
          <v:shape id="_x0000_s2" style="position:absolute;margin-left:32.9128pt;margin-top:1.1095pt;mso-position-vertical-relative:text;mso-position-horizontal-relative:text;width:14.75pt;height:67.55pt;z-index:251658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pStyle w:val="BodyText"/>
                    <w:ind w:left="20"/>
                    <w:spacing w:before="20" w:line="207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3"/>
                    </w:rPr>
                    <w:t>趋</w:t>
                  </w:r>
                  <w:r>
                    <w:rPr>
                      <w:sz w:val="22"/>
                      <w:szCs w:val="22"/>
                      <w:spacing w:val="46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3"/>
                    </w:rPr>
                    <w:t>势</w:t>
                  </w:r>
                  <w:r>
                    <w:rPr>
                      <w:sz w:val="22"/>
                      <w:szCs w:val="22"/>
                      <w:spacing w:val="26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3"/>
                    </w:rPr>
                    <w:t>表</w:t>
                  </w:r>
                  <w:r>
                    <w:rPr>
                      <w:sz w:val="22"/>
                      <w:szCs w:val="22"/>
                      <w:spacing w:val="15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3"/>
                    </w:rPr>
                    <w:t>征</w:t>
                  </w:r>
                </w:p>
              </w:txbxContent>
            </v:textbox>
          </v:shape>
        </w:pict>
      </w:r>
      <w:r/>
    </w:p>
    <w:p>
      <w:pPr>
        <w:pStyle w:val="BodyText"/>
        <w:ind w:left="53" w:right="239"/>
        <w:spacing w:before="71" w:line="307" w:lineRule="auto"/>
        <w:jc w:val="both"/>
        <w:rPr>
          <w:sz w:val="22"/>
          <w:szCs w:val="22"/>
        </w:rPr>
      </w:pPr>
      <w:r>
        <w:rPr>
          <w:sz w:val="22"/>
          <w:szCs w:val="22"/>
          <w:b/>
          <w:bCs/>
          <w:spacing w:val="-9"/>
        </w:rPr>
        <w:t>宝石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b/>
          <w:bCs/>
          <w:spacing w:val="-11"/>
        </w:rPr>
        <w:t>学特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b/>
          <w:bCs/>
          <w:spacing w:val="-1"/>
        </w:rPr>
        <w:t>征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14" w:lineRule="auto"/>
        <w:sectPr>
          <w:pgSz w:w="12240" w:h="15840"/>
          <w:pgMar w:top="1055" w:right="1111" w:bottom="0" w:left="382" w:header="0" w:footer="0" w:gutter="0"/>
          <w:cols w:equalWidth="0" w:num="7">
            <w:col w:w="4578" w:space="100"/>
            <w:col w:w="1241" w:space="100"/>
            <w:col w:w="1280" w:space="100"/>
            <w:col w:w="874" w:space="96"/>
            <w:col w:w="720" w:space="0"/>
            <w:col w:w="720" w:space="0"/>
            <w:col w:w="939" w:space="0"/>
          </w:cols>
        </w:sectPr>
        <w:rPr>
          <w:rFonts w:ascii="Arial" w:hAnsi="Arial" w:eastAsia="Arial" w:cs="Arial"/>
          <w:sz w:val="2"/>
          <w:szCs w:val="2"/>
        </w:rPr>
      </w:pPr>
    </w:p>
    <w:tbl>
      <w:tblPr>
        <w:tblStyle w:val="TableNormal"/>
        <w:tblW w:w="10089" w:type="dxa"/>
        <w:tblInd w:w="59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959"/>
        <w:gridCol w:w="934"/>
        <w:gridCol w:w="1473"/>
        <w:gridCol w:w="1297"/>
        <w:gridCol w:w="3426"/>
      </w:tblGrid>
      <w:tr>
        <w:trPr>
          <w:trHeight w:val="589" w:hRule="atLeast"/>
        </w:trPr>
        <w:tc>
          <w:tcPr>
            <w:tcW w:w="2959" w:type="dxa"/>
            <w:vAlign w:val="top"/>
            <w:tcBorders>
              <w:top w:val="single" w:color="000000" w:sz="2" w:space="0"/>
            </w:tcBorders>
          </w:tcPr>
          <w:p>
            <w:pPr>
              <w:ind w:left="9"/>
              <w:spacing w:before="250" w:line="300" w:lineRule="exac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5"/>
                <w:position w:val="3"/>
              </w:rPr>
              <w:t>2</w:t>
            </w:r>
            <w:r>
              <w:rPr>
                <w:rFonts w:ascii="Arial" w:hAnsi="Arial" w:eastAsia="Arial" w:cs="Arial"/>
                <w:sz w:val="22"/>
                <w:szCs w:val="22"/>
                <w:spacing w:val="6"/>
                <w:position w:val="3"/>
              </w:rPr>
              <w:t xml:space="preserve">    </w:t>
            </w:r>
            <w:r>
              <w:rPr>
                <w:rFonts w:ascii="Arial" w:hAnsi="Arial" w:eastAsia="Arial" w:cs="Arial"/>
                <w:sz w:val="22"/>
                <w:szCs w:val="22"/>
                <w:spacing w:val="-5"/>
                <w:position w:val="3"/>
              </w:rPr>
              <w:t>Fancy</w:t>
            </w:r>
            <w:r>
              <w:rPr>
                <w:rFonts w:ascii="Arial" w:hAnsi="Arial" w:eastAsia="Arial" w:cs="Arial"/>
                <w:sz w:val="22"/>
                <w:szCs w:val="22"/>
                <w:spacing w:val="20"/>
                <w:position w:val="3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5"/>
                <w:position w:val="3"/>
              </w:rPr>
              <w:t>Intense</w:t>
            </w:r>
            <w:r>
              <w:rPr>
                <w:rFonts w:ascii="Arial" w:hAnsi="Arial" w:eastAsia="Arial" w:cs="Arial"/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5"/>
                <w:position w:val="3"/>
              </w:rPr>
              <w:t>Blue</w:t>
            </w:r>
          </w:p>
        </w:tc>
        <w:tc>
          <w:tcPr>
            <w:tcW w:w="934" w:type="dxa"/>
            <w:vAlign w:val="top"/>
            <w:tcBorders>
              <w:top w:val="single" w:color="000000" w:sz="2" w:space="0"/>
            </w:tcBorders>
          </w:tcPr>
          <w:p>
            <w:pPr>
              <w:ind w:left="110"/>
              <w:spacing w:before="297" w:line="188" w:lineRule="auto"/>
              <w:rPr>
                <w:rFonts w:ascii="Times New Roman" w:hAnsi="Times New Roman" w:eastAsia="Times New Roman" w:cs="Times New Roman"/>
                <w:sz w:val="27"/>
                <w:szCs w:val="27"/>
              </w:rPr>
            </w:pP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-1"/>
              </w:rPr>
              <w:t>~880</w:t>
            </w:r>
          </w:p>
        </w:tc>
        <w:tc>
          <w:tcPr>
            <w:tcW w:w="147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86"/>
              <w:spacing w:before="294" w:line="222" w:lineRule="auto"/>
              <w:rPr/>
            </w:pPr>
            <w:r>
              <w:rPr>
                <w:spacing w:val="-9"/>
              </w:rPr>
              <w:t>几何抽象镶</w:t>
            </w:r>
          </w:p>
        </w:tc>
        <w:tc>
          <w:tcPr>
            <w:tcW w:w="1297" w:type="dxa"/>
            <w:vAlign w:val="top"/>
            <w:tcBorders>
              <w:top w:val="single" w:color="000000" w:sz="2" w:space="0"/>
            </w:tcBorders>
          </w:tcPr>
          <w:p>
            <w:pPr>
              <w:ind w:left="53"/>
              <w:spacing w:before="260" w:line="300" w:lineRule="exac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1"/>
                <w:position w:val="3"/>
              </w:rPr>
              <w:t>fancy</w:t>
            </w:r>
          </w:p>
        </w:tc>
        <w:tc>
          <w:tcPr>
            <w:tcW w:w="342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66"/>
              <w:spacing w:before="300" w:line="223" w:lineRule="auto"/>
              <w:rPr/>
            </w:pPr>
            <w:r>
              <w:rPr>
                <w:spacing w:val="-6"/>
              </w:rPr>
              <w:t>大克拉彩</w:t>
            </w:r>
          </w:p>
        </w:tc>
      </w:tr>
      <w:tr>
        <w:trPr>
          <w:trHeight w:val="659" w:hRule="atLeast"/>
        </w:trPr>
        <w:tc>
          <w:tcPr>
            <w:tcW w:w="2959" w:type="dxa"/>
            <w:vAlign w:val="top"/>
            <w:tcBorders>
              <w:bottom w:val="single" w:color="000000" w:sz="4" w:space="0"/>
            </w:tcBorders>
          </w:tcPr>
          <w:p>
            <w:pPr>
              <w:ind w:left="241" w:right="640" w:firstLine="158"/>
              <w:spacing w:before="77" w:line="271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Diamond</w:t>
            </w:r>
            <w:r>
              <w:rPr>
                <w:rFonts w:ascii="Arial" w:hAnsi="Arial" w:eastAsia="Arial" w:cs="Arial"/>
                <w:sz w:val="22"/>
                <w:szCs w:val="22"/>
                <w:spacing w:val="4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(Christie's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2024)</w:t>
            </w:r>
          </w:p>
        </w:tc>
        <w:tc>
          <w:tcPr>
            <w:tcW w:w="934" w:type="dxa"/>
            <w:vAlign w:val="top"/>
            <w:tcBorders>
              <w:bottom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73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86"/>
              <w:spacing w:before="51" w:line="222" w:lineRule="auto"/>
              <w:rPr/>
            </w:pPr>
            <w:r>
              <w:rPr/>
              <w:t>嵌</w:t>
            </w:r>
          </w:p>
        </w:tc>
        <w:tc>
          <w:tcPr>
            <w:tcW w:w="1297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53"/>
              <w:spacing w:before="50" w:line="226" w:lineRule="auto"/>
              <w:rPr/>
            </w:pPr>
            <w:r>
              <w:rPr>
                <w:rFonts w:ascii="Times New Roman" w:hAnsi="Times New Roman" w:eastAsia="Times New Roman" w:cs="Times New Roman"/>
                <w:spacing w:val="-2"/>
              </w:rPr>
              <w:t>intense</w:t>
            </w:r>
            <w:r>
              <w:rPr>
                <w:rFonts w:ascii="Times New Roman" w:hAnsi="Times New Roman" w:eastAsia="Times New Roman" w:cs="Times New Roman"/>
                <w:spacing w:val="34"/>
                <w:w w:val="101"/>
              </w:rPr>
              <w:t xml:space="preserve"> </w:t>
            </w:r>
            <w:r>
              <w:rPr>
                <w:spacing w:val="-2"/>
              </w:rPr>
              <w:t>蓝钻</w:t>
            </w:r>
          </w:p>
        </w:tc>
        <w:tc>
          <w:tcPr>
            <w:tcW w:w="3426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26"/>
              <w:spacing w:before="51" w:line="222" w:lineRule="auto"/>
              <w:rPr/>
            </w:pPr>
            <w:r>
              <w:rPr>
                <w:spacing w:val="-2"/>
              </w:rPr>
              <w:t>钻主导</w:t>
            </w:r>
          </w:p>
        </w:tc>
      </w:tr>
      <w:tr>
        <w:trPr>
          <w:trHeight w:val="669" w:hRule="atLeast"/>
        </w:trPr>
        <w:tc>
          <w:tcPr>
            <w:tcW w:w="2959" w:type="dxa"/>
            <w:vAlign w:val="top"/>
            <w:tcBorders>
              <w:top w:val="single" w:color="000000" w:sz="4" w:space="0"/>
            </w:tcBorders>
          </w:tcPr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ind w:left="9"/>
              <w:spacing w:before="63" w:line="300" w:lineRule="exac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1"/>
                <w:position w:val="3"/>
              </w:rPr>
              <w:t>3    Van</w:t>
            </w:r>
            <w:r>
              <w:rPr>
                <w:rFonts w:ascii="Arial" w:hAnsi="Arial" w:eastAsia="Arial" w:cs="Arial"/>
                <w:sz w:val="22"/>
                <w:szCs w:val="22"/>
                <w:spacing w:val="19"/>
                <w:position w:val="3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  <w:position w:val="3"/>
              </w:rPr>
              <w:t>Cleef</w:t>
            </w:r>
            <w:r>
              <w:rPr>
                <w:rFonts w:ascii="Arial" w:hAnsi="Arial" w:eastAsia="Arial" w:cs="Arial"/>
                <w:sz w:val="22"/>
                <w:szCs w:val="22"/>
                <w:spacing w:val="8"/>
                <w:position w:val="3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  <w:position w:val="3"/>
              </w:rPr>
              <w:t>&amp;Arpels</w:t>
            </w:r>
            <w:r>
              <w:rPr>
                <w:rFonts w:ascii="Arial" w:hAnsi="Arial" w:eastAsia="Arial" w:cs="Arial"/>
                <w:sz w:val="22"/>
                <w:szCs w:val="22"/>
                <w:spacing w:val="25"/>
                <w:position w:val="3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  <w:position w:val="3"/>
              </w:rPr>
              <w:t>R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  <w:position w:val="3"/>
              </w:rPr>
              <w:t>uby</w:t>
            </w:r>
          </w:p>
        </w:tc>
        <w:tc>
          <w:tcPr>
            <w:tcW w:w="934" w:type="dxa"/>
            <w:vAlign w:val="top"/>
            <w:tcBorders>
              <w:top w:val="single" w:color="000000" w:sz="4" w:space="0"/>
            </w:tcBorders>
          </w:tcPr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ind w:left="101"/>
              <w:spacing w:before="63" w:line="300" w:lineRule="exac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2"/>
                <w:position w:val="1"/>
              </w:rPr>
              <w:t>~156</w:t>
            </w:r>
          </w:p>
        </w:tc>
        <w:tc>
          <w:tcPr>
            <w:tcW w:w="1473" w:type="dxa"/>
            <w:vAlign w:val="top"/>
            <w:tcBorders>
              <w:top w:val="single" w:color="000000" w:sz="4" w:space="0"/>
            </w:tcBorders>
          </w:tcPr>
          <w:p>
            <w:pPr>
              <w:spacing w:line="30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6"/>
              <w:spacing w:before="71" w:line="222" w:lineRule="auto"/>
              <w:rPr/>
            </w:pPr>
            <w:r>
              <w:rPr>
                <w:spacing w:val="-8"/>
              </w:rPr>
              <w:t>隐秘式镶</w:t>
            </w:r>
          </w:p>
        </w:tc>
        <w:tc>
          <w:tcPr>
            <w:tcW w:w="1297" w:type="dxa"/>
            <w:vAlign w:val="top"/>
            <w:tcBorders>
              <w:top w:val="single" w:color="000000" w:sz="4" w:space="0"/>
            </w:tcBorders>
          </w:tcPr>
          <w:p>
            <w:pPr>
              <w:spacing w:line="30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3"/>
              <w:spacing w:before="72" w:line="221" w:lineRule="auto"/>
              <w:rPr/>
            </w:pPr>
            <w:r>
              <w:rPr>
                <w:spacing w:val="-6"/>
              </w:rPr>
              <w:t>缅甸鸽血红</w:t>
            </w:r>
          </w:p>
        </w:tc>
        <w:tc>
          <w:tcPr>
            <w:tcW w:w="3426" w:type="dxa"/>
            <w:vAlign w:val="top"/>
            <w:tcBorders>
              <w:top w:val="single" w:color="000000" w:sz="4" w:space="0"/>
            </w:tcBorders>
          </w:tcPr>
          <w:p>
            <w:pPr>
              <w:spacing w:line="30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6"/>
              <w:spacing w:before="72" w:line="223" w:lineRule="auto"/>
              <w:rPr/>
            </w:pPr>
            <w:r>
              <w:rPr>
                <w:spacing w:val="-2"/>
              </w:rPr>
              <w:t>工艺叙事</w:t>
            </w:r>
          </w:p>
        </w:tc>
      </w:tr>
      <w:tr>
        <w:trPr>
          <w:trHeight w:val="341" w:hRule="atLeast"/>
        </w:trPr>
        <w:tc>
          <w:tcPr>
            <w:tcW w:w="2959" w:type="dxa"/>
            <w:vAlign w:val="top"/>
          </w:tcPr>
          <w:p>
            <w:pPr>
              <w:ind w:left="400"/>
              <w:spacing w:before="79" w:line="198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3"/>
              </w:rPr>
              <w:t>Mystery</w:t>
            </w:r>
            <w:r>
              <w:rPr>
                <w:rFonts w:ascii="Arial" w:hAnsi="Arial" w:eastAsia="Arial" w:cs="Arial"/>
                <w:sz w:val="22"/>
                <w:szCs w:val="22"/>
                <w:spacing w:val="3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3"/>
              </w:rPr>
              <w:t>Set</w:t>
            </w:r>
            <w:r>
              <w:rPr>
                <w:rFonts w:ascii="Arial" w:hAnsi="Arial" w:eastAsia="Arial" w:cs="Arial"/>
                <w:sz w:val="22"/>
                <w:szCs w:val="22"/>
                <w:spacing w:val="37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3"/>
              </w:rPr>
              <w:t>Brooch</w:t>
            </w:r>
          </w:p>
        </w:tc>
        <w:tc>
          <w:tcPr>
            <w:tcW w:w="93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73" w:type="dxa"/>
            <w:vAlign w:val="top"/>
          </w:tcPr>
          <w:p>
            <w:pPr>
              <w:pStyle w:val="TableText"/>
              <w:ind w:left="186"/>
              <w:spacing w:before="53" w:line="222" w:lineRule="auto"/>
              <w:rPr/>
            </w:pPr>
            <w:r>
              <w:rPr>
                <w:spacing w:val="-9"/>
              </w:rPr>
              <w:t>嵌、花卉造</w:t>
            </w:r>
          </w:p>
        </w:tc>
        <w:tc>
          <w:tcPr>
            <w:tcW w:w="1297" w:type="dxa"/>
            <w:vAlign w:val="top"/>
          </w:tcPr>
          <w:p>
            <w:pPr>
              <w:pStyle w:val="TableText"/>
              <w:ind w:left="53"/>
              <w:spacing w:before="53" w:line="225" w:lineRule="auto"/>
              <w:rPr/>
            </w:pPr>
            <w:r>
              <w:rPr>
                <w:spacing w:val="-3"/>
              </w:rPr>
              <w:t>红宝石</w:t>
            </w:r>
          </w:p>
        </w:tc>
        <w:tc>
          <w:tcPr>
            <w:tcW w:w="3426" w:type="dxa"/>
            <w:vAlign w:val="top"/>
          </w:tcPr>
          <w:p>
            <w:pPr>
              <w:pStyle w:val="TableText"/>
              <w:ind w:left="166"/>
              <w:spacing w:before="53" w:line="223" w:lineRule="auto"/>
              <w:rPr/>
            </w:pPr>
            <w:r>
              <w:rPr/>
              <w:t>性</w:t>
            </w:r>
          </w:p>
        </w:tc>
      </w:tr>
      <w:tr>
        <w:trPr>
          <w:trHeight w:val="279" w:hRule="atLeast"/>
        </w:trPr>
        <w:tc>
          <w:tcPr>
            <w:tcW w:w="2959" w:type="dxa"/>
            <w:vAlign w:val="top"/>
            <w:tcBorders>
              <w:bottom w:val="single" w:color="000000" w:sz="4" w:space="0"/>
            </w:tcBorders>
          </w:tcPr>
          <w:p>
            <w:pPr>
              <w:ind w:left="195"/>
              <w:spacing w:before="12" w:line="257" w:lineRule="exac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9"/>
                <w:position w:val="2"/>
              </w:rPr>
              <w:t>(</w:t>
            </w:r>
            <w:r>
              <w:rPr>
                <w:rFonts w:ascii="Arial" w:hAnsi="Arial" w:eastAsia="Arial" w:cs="Arial"/>
                <w:sz w:val="22"/>
                <w:szCs w:val="22"/>
                <w:spacing w:val="4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  <w:spacing w:val="-9"/>
                <w:position w:val="2"/>
              </w:rPr>
              <w:t>C</w:t>
            </w:r>
            <w:r>
              <w:rPr>
                <w:rFonts w:ascii="Arial" w:hAnsi="Arial" w:eastAsia="Arial" w:cs="Arial"/>
                <w:sz w:val="22"/>
                <w:szCs w:val="22"/>
                <w:spacing w:val="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  <w:spacing w:val="-9"/>
                <w:position w:val="2"/>
              </w:rPr>
              <w:t>h</w:t>
            </w:r>
            <w:r>
              <w:rPr>
                <w:rFonts w:ascii="Arial" w:hAnsi="Arial" w:eastAsia="Arial" w:cs="Arial"/>
                <w:sz w:val="22"/>
                <w:szCs w:val="22"/>
                <w:spacing w:val="2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  <w:spacing w:val="-9"/>
                <w:position w:val="2"/>
              </w:rPr>
              <w:t>r</w:t>
            </w:r>
            <w:r>
              <w:rPr>
                <w:rFonts w:ascii="Arial" w:hAnsi="Arial" w:eastAsia="Arial" w:cs="Arial"/>
                <w:sz w:val="22"/>
                <w:szCs w:val="22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  <w:spacing w:val="-9"/>
                <w:position w:val="2"/>
              </w:rPr>
              <w:t>i  s</w:t>
            </w:r>
            <w:r>
              <w:rPr>
                <w:rFonts w:ascii="Arial" w:hAnsi="Arial" w:eastAsia="Arial" w:cs="Arial"/>
                <w:sz w:val="22"/>
                <w:szCs w:val="22"/>
                <w:spacing w:val="56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9"/>
                <w:position w:val="2"/>
              </w:rPr>
              <w:t>t</w:t>
            </w:r>
            <w:r>
              <w:rPr>
                <w:rFonts w:ascii="Arial" w:hAnsi="Arial" w:eastAsia="Arial" w:cs="Arial"/>
                <w:sz w:val="22"/>
                <w:szCs w:val="22"/>
                <w:spacing w:val="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  <w:spacing w:val="-9"/>
                <w:position w:val="2"/>
              </w:rPr>
              <w:t>i</w:t>
            </w:r>
            <w:r>
              <w:rPr>
                <w:rFonts w:ascii="Arial" w:hAnsi="Arial" w:eastAsia="Arial" w:cs="Arial"/>
                <w:sz w:val="22"/>
                <w:szCs w:val="22"/>
                <w:spacing w:val="59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9"/>
                <w:position w:val="2"/>
              </w:rPr>
              <w:t>e</w:t>
            </w:r>
            <w:r>
              <w:rPr>
                <w:rFonts w:ascii="Arial" w:hAnsi="Arial" w:eastAsia="Arial" w:cs="Arial"/>
                <w:sz w:val="22"/>
                <w:szCs w:val="22"/>
                <w:spacing w:val="60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9"/>
                <w:position w:val="2"/>
              </w:rPr>
              <w:t>'</w:t>
            </w:r>
            <w:r>
              <w:rPr>
                <w:rFonts w:ascii="Arial" w:hAnsi="Arial" w:eastAsia="Arial" w:cs="Arial"/>
                <w:sz w:val="22"/>
                <w:szCs w:val="22"/>
                <w:spacing w:val="57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9"/>
                <w:position w:val="2"/>
              </w:rPr>
              <w:t>s</w:t>
            </w:r>
            <w:r>
              <w:rPr>
                <w:rFonts w:ascii="Arial" w:hAnsi="Arial" w:eastAsia="Arial" w:cs="Arial"/>
                <w:sz w:val="22"/>
                <w:szCs w:val="22"/>
                <w:spacing w:val="11"/>
                <w:position w:val="2"/>
              </w:rPr>
              <w:t xml:space="preserve">    </w:t>
            </w:r>
            <w:r>
              <w:rPr>
                <w:rFonts w:ascii="Arial" w:hAnsi="Arial" w:eastAsia="Arial" w:cs="Arial"/>
                <w:sz w:val="22"/>
                <w:szCs w:val="22"/>
                <w:spacing w:val="-9"/>
                <w:position w:val="2"/>
              </w:rPr>
              <w:t>2</w:t>
            </w:r>
            <w:r>
              <w:rPr>
                <w:rFonts w:ascii="Arial" w:hAnsi="Arial" w:eastAsia="Arial" w:cs="Arial"/>
                <w:sz w:val="22"/>
                <w:szCs w:val="22"/>
                <w:spacing w:val="6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9"/>
                <w:position w:val="2"/>
              </w:rPr>
              <w:t>0</w:t>
            </w:r>
          </w:p>
        </w:tc>
        <w:tc>
          <w:tcPr>
            <w:tcW w:w="934" w:type="dxa"/>
            <w:vAlign w:val="top"/>
            <w:tcBorders>
              <w:bottom w:val="single" w:color="000000" w:sz="4" w:space="0"/>
            </w:tcBorders>
          </w:tcPr>
          <w:p>
            <w:pPr>
              <w:ind w:left="64"/>
              <w:spacing w:before="12" w:line="257" w:lineRule="exac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6"/>
                <w:position w:val="2"/>
              </w:rPr>
              <w:t>2</w:t>
            </w:r>
            <w:r>
              <w:rPr>
                <w:rFonts w:ascii="Arial" w:hAnsi="Arial" w:eastAsia="Arial" w:cs="Arial"/>
                <w:sz w:val="22"/>
                <w:szCs w:val="22"/>
                <w:spacing w:val="60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6"/>
                <w:position w:val="2"/>
              </w:rPr>
              <w:t>5</w:t>
            </w:r>
            <w:r>
              <w:rPr>
                <w:rFonts w:ascii="Arial" w:hAnsi="Arial" w:eastAsia="Arial" w:cs="Arial"/>
                <w:sz w:val="22"/>
                <w:szCs w:val="22"/>
                <w:spacing w:val="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  <w:spacing w:val="-6"/>
                <w:position w:val="2"/>
              </w:rPr>
              <w:t>)</w:t>
            </w:r>
          </w:p>
        </w:tc>
        <w:tc>
          <w:tcPr>
            <w:tcW w:w="1473" w:type="dxa"/>
            <w:vAlign w:val="top"/>
            <w:tcBorders>
              <w:bottom w:val="single" w:color="000000" w:sz="4" w:space="0"/>
            </w:tcBorders>
          </w:tcPr>
          <w:p>
            <w:pPr>
              <w:ind w:right="23"/>
              <w:spacing w:before="52" w:line="182" w:lineRule="auto"/>
              <w:jc w:val="right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型</w:t>
            </w:r>
          </w:p>
        </w:tc>
        <w:tc>
          <w:tcPr>
            <w:tcW w:w="1297" w:type="dxa"/>
            <w:vAlign w:val="top"/>
            <w:tcBorders>
              <w:bottom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26" w:type="dxa"/>
            <w:vAlign w:val="top"/>
            <w:tcBorders>
              <w:bottom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94" w:hRule="atLeast"/>
        </w:trPr>
        <w:tc>
          <w:tcPr>
            <w:tcW w:w="2959" w:type="dxa"/>
            <w:vAlign w:val="top"/>
            <w:tcBorders>
              <w:top w:val="single" w:color="000000" w:sz="4" w:space="0"/>
            </w:tcBorders>
          </w:tcPr>
          <w:p>
            <w:pPr>
              <w:spacing w:line="368" w:lineRule="auto"/>
              <w:rPr>
                <w:rFonts w:ascii="Arial"/>
                <w:sz w:val="21"/>
              </w:rPr>
            </w:pPr>
            <w:r/>
          </w:p>
          <w:p>
            <w:pPr>
              <w:ind w:left="9"/>
              <w:spacing w:before="64" w:line="196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4    Exceptional</w:t>
            </w:r>
            <w:r>
              <w:rPr>
                <w:rFonts w:ascii="Arial" w:hAnsi="Arial" w:eastAsia="Arial" w:cs="Arial"/>
                <w:sz w:val="22"/>
                <w:szCs w:val="22"/>
                <w:spacing w:val="3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Emerald</w:t>
            </w:r>
          </w:p>
        </w:tc>
        <w:tc>
          <w:tcPr>
            <w:tcW w:w="934" w:type="dxa"/>
            <w:vAlign w:val="top"/>
            <w:tcBorders>
              <w:top w:val="single" w:color="000000" w:sz="4" w:space="0"/>
            </w:tcBorders>
          </w:tcPr>
          <w:p>
            <w:pPr>
              <w:spacing w:line="33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0"/>
              <w:spacing w:before="71" w:line="222" w:lineRule="auto"/>
              <w:rPr/>
            </w:pPr>
            <w:r>
              <w:rPr>
                <w:spacing w:val="-4"/>
              </w:rPr>
              <w:t>高估价</w:t>
            </w:r>
          </w:p>
        </w:tc>
        <w:tc>
          <w:tcPr>
            <w:tcW w:w="1473" w:type="dxa"/>
            <w:vAlign w:val="top"/>
            <w:tcBorders>
              <w:top w:val="single" w:color="000000" w:sz="4" w:space="0"/>
            </w:tcBorders>
          </w:tcPr>
          <w:p>
            <w:pPr>
              <w:spacing w:line="33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6"/>
              <w:spacing w:before="72" w:line="221" w:lineRule="auto"/>
              <w:rPr/>
            </w:pPr>
            <w:r>
              <w:rPr>
                <w:spacing w:val="-4"/>
              </w:rPr>
              <w:t>多层可转</w:t>
            </w:r>
          </w:p>
        </w:tc>
        <w:tc>
          <w:tcPr>
            <w:tcW w:w="1297" w:type="dxa"/>
            <w:vAlign w:val="top"/>
            <w:tcBorders>
              <w:top w:val="single" w:color="000000" w:sz="4" w:space="0"/>
            </w:tcBorders>
          </w:tcPr>
          <w:p>
            <w:pPr>
              <w:spacing w:line="33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3"/>
              <w:spacing w:before="72" w:line="221" w:lineRule="auto"/>
              <w:rPr/>
            </w:pPr>
            <w:r>
              <w:rPr>
                <w:spacing w:val="-7"/>
              </w:rPr>
              <w:t>哥伦比亚祖</w:t>
            </w:r>
          </w:p>
        </w:tc>
        <w:tc>
          <w:tcPr>
            <w:tcW w:w="3426" w:type="dxa"/>
            <w:vAlign w:val="top"/>
            <w:tcBorders>
              <w:top w:val="single" w:color="000000" w:sz="4" w:space="0"/>
            </w:tcBorders>
          </w:tcPr>
          <w:p>
            <w:pPr>
              <w:spacing w:line="33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6"/>
              <w:spacing w:before="71" w:line="222" w:lineRule="auto"/>
              <w:rPr/>
            </w:pPr>
            <w:r>
              <w:rPr>
                <w:spacing w:val="-3"/>
              </w:rPr>
              <w:t>可持续彩</w:t>
            </w:r>
          </w:p>
        </w:tc>
      </w:tr>
      <w:tr>
        <w:trPr>
          <w:trHeight w:val="364" w:hRule="atLeast"/>
        </w:trPr>
        <w:tc>
          <w:tcPr>
            <w:tcW w:w="2959" w:type="dxa"/>
            <w:vAlign w:val="top"/>
          </w:tcPr>
          <w:p>
            <w:pPr>
              <w:ind w:left="400"/>
              <w:spacing w:before="85" w:line="198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Necklace(Sotheby's</w:t>
            </w:r>
          </w:p>
        </w:tc>
        <w:tc>
          <w:tcPr>
            <w:tcW w:w="934" w:type="dxa"/>
            <w:vAlign w:val="top"/>
          </w:tcPr>
          <w:p>
            <w:pPr>
              <w:pStyle w:val="TableText"/>
              <w:ind w:left="110"/>
              <w:spacing w:before="59" w:line="223" w:lineRule="auto"/>
              <w:rPr/>
            </w:pPr>
            <w:r>
              <w:rPr>
                <w:spacing w:val="-6"/>
              </w:rPr>
              <w:t>区间</w:t>
            </w:r>
          </w:p>
        </w:tc>
        <w:tc>
          <w:tcPr>
            <w:tcW w:w="1473" w:type="dxa"/>
            <w:vAlign w:val="top"/>
          </w:tcPr>
          <w:p>
            <w:pPr>
              <w:pStyle w:val="TableText"/>
              <w:ind w:left="186"/>
              <w:spacing w:before="58" w:line="222" w:lineRule="auto"/>
              <w:rPr/>
            </w:pPr>
            <w:r>
              <w:rPr>
                <w:spacing w:val="-8"/>
              </w:rPr>
              <w:t>换、自然主</w:t>
            </w:r>
          </w:p>
        </w:tc>
        <w:tc>
          <w:tcPr>
            <w:tcW w:w="1297" w:type="dxa"/>
            <w:vAlign w:val="top"/>
          </w:tcPr>
          <w:p>
            <w:pPr>
              <w:pStyle w:val="TableText"/>
              <w:ind w:left="53"/>
              <w:spacing w:before="58" w:line="221" w:lineRule="auto"/>
              <w:rPr/>
            </w:pPr>
            <w:r>
              <w:rPr>
                <w:spacing w:val="-3"/>
              </w:rPr>
              <w:t>母绿</w:t>
            </w:r>
          </w:p>
        </w:tc>
        <w:tc>
          <w:tcPr>
            <w:tcW w:w="3426" w:type="dxa"/>
            <w:vAlign w:val="top"/>
          </w:tcPr>
          <w:p>
            <w:pPr>
              <w:pStyle w:val="TableText"/>
              <w:ind w:left="166"/>
              <w:spacing w:before="59" w:line="223" w:lineRule="auto"/>
              <w:rPr/>
            </w:pPr>
            <w:r>
              <w:rPr>
                <w:spacing w:val="-3"/>
              </w:rPr>
              <w:t>宝应用</w:t>
            </w:r>
          </w:p>
        </w:tc>
      </w:tr>
      <w:tr>
        <w:trPr>
          <w:trHeight w:val="385" w:hRule="atLeast"/>
        </w:trPr>
        <w:tc>
          <w:tcPr>
            <w:tcW w:w="2959" w:type="dxa"/>
            <w:vAlign w:val="top"/>
            <w:tcBorders>
              <w:bottom w:val="single" w:color="000000" w:sz="2" w:space="0"/>
            </w:tcBorders>
          </w:tcPr>
          <w:p>
            <w:pPr>
              <w:ind w:left="400"/>
              <w:spacing w:before="78" w:line="192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2024)</w:t>
            </w:r>
          </w:p>
        </w:tc>
        <w:tc>
          <w:tcPr>
            <w:tcW w:w="934" w:type="dxa"/>
            <w:vAlign w:val="top"/>
            <w:tcBorders>
              <w:bottom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73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86"/>
              <w:spacing w:before="99" w:line="222" w:lineRule="auto"/>
              <w:rPr/>
            </w:pPr>
            <w:r>
              <w:rPr/>
              <w:t>题</w:t>
            </w:r>
          </w:p>
        </w:tc>
        <w:tc>
          <w:tcPr>
            <w:tcW w:w="1297" w:type="dxa"/>
            <w:vAlign w:val="top"/>
            <w:tcBorders>
              <w:bottom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26" w:type="dxa"/>
            <w:vAlign w:val="top"/>
            <w:tcBorders>
              <w:bottom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line="185" w:lineRule="exact"/>
        <w:rPr>
          <w:rFonts w:ascii="Arial"/>
          <w:sz w:val="16"/>
        </w:rPr>
      </w:pPr>
      <w:r/>
    </w:p>
    <w:p>
      <w:pPr>
        <w:spacing w:line="185" w:lineRule="exact"/>
        <w:sectPr>
          <w:type w:val="continuous"/>
          <w:pgSz w:w="12240" w:h="15840"/>
          <w:pgMar w:top="1055" w:right="1111" w:bottom="0" w:left="382" w:header="0" w:footer="0" w:gutter="0"/>
          <w:cols w:equalWidth="0" w:num="1">
            <w:col w:w="10746" w:space="0"/>
          </w:cols>
        </w:sectPr>
        <w:rPr>
          <w:rFonts w:ascii="Arial" w:hAnsi="Arial" w:eastAsia="Arial" w:cs="Arial"/>
          <w:sz w:val="16"/>
          <w:szCs w:val="16"/>
        </w:rPr>
      </w:pPr>
    </w:p>
    <w:p>
      <w:pPr>
        <w:ind w:left="607"/>
        <w:spacing w:before="59" w:line="300" w:lineRule="exact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position w:val="1"/>
        </w:rPr>
        <w:t>5</w:t>
      </w:r>
    </w:p>
    <w:p>
      <w:pPr>
        <w:spacing w:before="29"/>
        <w:rPr/>
      </w:pPr>
      <w:r/>
    </w:p>
    <w:p>
      <w:pPr>
        <w:spacing w:before="29"/>
        <w:rPr/>
      </w:pPr>
      <w:r/>
    </w:p>
    <w:p>
      <w:pPr>
        <w:spacing w:before="28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0" w:right="453" w:hanging="10"/>
        <w:spacing w:before="124" w:line="335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2"/>
        </w:rPr>
        <w:t>Graff Yellow</w:t>
      </w:r>
      <w:r>
        <w:rPr>
          <w:rFonts w:ascii="Arial" w:hAnsi="Arial" w:eastAsia="Arial" w:cs="Arial"/>
          <w:sz w:val="22"/>
          <w:szCs w:val="22"/>
          <w:spacing w:val="23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Diamond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Pendant</w:t>
      </w:r>
      <w:r>
        <w:rPr>
          <w:rFonts w:ascii="Arial" w:hAnsi="Arial" w:eastAsia="Arial" w:cs="Arial"/>
          <w:sz w:val="22"/>
          <w:szCs w:val="22"/>
          <w:spacing w:val="39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(Sotheby's</w:t>
      </w:r>
    </w:p>
    <w:p>
      <w:pPr>
        <w:ind w:left="10"/>
        <w:spacing w:before="1" w:line="191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2023)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264"/>
        <w:spacing w:before="97" w:line="304" w:lineRule="auto"/>
        <w:rPr>
          <w:sz w:val="22"/>
          <w:szCs w:val="22"/>
        </w:rPr>
      </w:pPr>
      <w:r>
        <w:rPr>
          <w:sz w:val="22"/>
          <w:szCs w:val="22"/>
          <w:spacing w:val="-5"/>
        </w:rPr>
        <w:t>高估价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6"/>
        </w:rPr>
        <w:t>区间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84"/>
        <w:spacing w:before="97" w:line="304" w:lineRule="auto"/>
        <w:rPr>
          <w:sz w:val="22"/>
          <w:szCs w:val="22"/>
        </w:rPr>
      </w:pPr>
      <w:r>
        <w:rPr>
          <w:sz w:val="22"/>
          <w:szCs w:val="22"/>
          <w:spacing w:val="-9"/>
        </w:rPr>
        <w:t>抽象光线折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射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97" w:line="222" w:lineRule="auto"/>
        <w:rPr>
          <w:sz w:val="22"/>
          <w:szCs w:val="22"/>
        </w:rPr>
      </w:pPr>
      <w:r>
        <w:rPr>
          <w:sz w:val="22"/>
          <w:szCs w:val="22"/>
          <w:spacing w:val="-6"/>
        </w:rPr>
        <w:t>大克拉黄钻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2467"/>
        <w:spacing w:before="98" w:line="303" w:lineRule="auto"/>
        <w:rPr>
          <w:sz w:val="22"/>
          <w:szCs w:val="22"/>
        </w:rPr>
      </w:pPr>
      <w:r>
        <w:rPr>
          <w:sz w:val="22"/>
          <w:szCs w:val="22"/>
          <w:spacing w:val="-8"/>
        </w:rPr>
        <w:t>几何当代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3"/>
        </w:rPr>
        <w:t>设计</w:t>
      </w:r>
    </w:p>
    <w:p>
      <w:pPr>
        <w:spacing w:line="303" w:lineRule="auto"/>
        <w:sectPr>
          <w:type w:val="continuous"/>
          <w:pgSz w:w="12240" w:h="15840"/>
          <w:pgMar w:top="1055" w:right="1111" w:bottom="0" w:left="382" w:header="0" w:footer="0" w:gutter="0"/>
          <w:cols w:equalWidth="0" w:num="6">
            <w:col w:w="888" w:space="100"/>
            <w:col w:w="2580" w:space="100"/>
            <w:col w:w="911" w:space="100"/>
            <w:col w:w="1241" w:space="100"/>
            <w:col w:w="1310" w:space="100"/>
            <w:col w:w="3319" w:space="0"/>
          </w:cols>
        </w:sectPr>
        <w:rPr>
          <w:sz w:val="22"/>
          <w:szCs w:val="22"/>
        </w:rPr>
      </w:pPr>
    </w:p>
    <w:p>
      <w:pPr>
        <w:spacing w:line="367" w:lineRule="auto"/>
        <w:rPr>
          <w:rFonts w:ascii="Arial"/>
          <w:sz w:val="21"/>
        </w:rPr>
      </w:pPr>
      <w:r/>
    </w:p>
    <w:p>
      <w:pPr>
        <w:pStyle w:val="BodyText"/>
        <w:ind w:left="747"/>
        <w:spacing w:before="72" w:line="213" w:lineRule="auto"/>
        <w:rPr>
          <w:sz w:val="22"/>
          <w:szCs w:val="22"/>
        </w:rPr>
      </w:pPr>
      <w:r>
        <w:rPr>
          <w:sz w:val="22"/>
          <w:szCs w:val="22"/>
          <w:spacing w:val="19"/>
        </w:rPr>
        <w:t>(数据来源于公开拍卖记录及白皮书整理，价格</w:t>
      </w:r>
      <w:r>
        <w:rPr>
          <w:sz w:val="22"/>
          <w:szCs w:val="22"/>
          <w:spacing w:val="18"/>
        </w:rPr>
        <w:t>为约值)</w:t>
      </w:r>
    </w:p>
    <w:p>
      <w:pPr>
        <w:spacing w:line="292" w:lineRule="auto"/>
        <w:rPr>
          <w:rFonts w:ascii="Arial"/>
          <w:sz w:val="21"/>
        </w:rPr>
      </w:pPr>
      <w:r/>
    </w:p>
    <w:p>
      <w:pPr>
        <w:spacing w:line="292" w:lineRule="auto"/>
        <w:rPr>
          <w:rFonts w:ascii="Arial"/>
          <w:sz w:val="21"/>
        </w:rPr>
      </w:pPr>
      <w:r/>
    </w:p>
    <w:p>
      <w:pPr>
        <w:pStyle w:val="BodyText"/>
        <w:ind w:left="612"/>
        <w:spacing w:before="117" w:line="221" w:lineRule="auto"/>
        <w:outlineLvl w:val="1"/>
        <w:rPr>
          <w:sz w:val="36"/>
          <w:szCs w:val="36"/>
        </w:rPr>
      </w:pPr>
      <w:r>
        <w:rPr>
          <w:sz w:val="36"/>
          <w:szCs w:val="36"/>
          <w:b/>
          <w:bCs/>
          <w:spacing w:val="-6"/>
        </w:rPr>
        <w:t>四、共性规律与差异化表征</w:t>
      </w:r>
    </w:p>
    <w:p>
      <w:pPr>
        <w:pStyle w:val="BodyText"/>
        <w:ind w:left="611"/>
        <w:spacing w:before="231" w:line="222" w:lineRule="auto"/>
        <w:outlineLvl w:val="2"/>
        <w:rPr>
          <w:sz w:val="30"/>
          <w:szCs w:val="30"/>
        </w:rPr>
      </w:pPr>
      <w:r>
        <w:rPr>
          <w:sz w:val="30"/>
          <w:szCs w:val="30"/>
          <w:b/>
          <w:bCs/>
          <w:spacing w:val="-7"/>
        </w:rPr>
        <w:t>(一)共性规律</w:t>
      </w:r>
    </w:p>
    <w:p>
      <w:pPr>
        <w:pStyle w:val="BodyText"/>
        <w:ind w:left="947"/>
        <w:spacing w:before="229" w:line="222" w:lineRule="auto"/>
        <w:rPr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3"/>
        </w:rPr>
        <w:t>1. </w:t>
      </w:r>
      <w:r>
        <w:rPr>
          <w:sz w:val="22"/>
          <w:szCs w:val="22"/>
          <w:spacing w:val="13"/>
        </w:rPr>
        <w:t>稀缺性与叙事性的双轮驱动。</w:t>
      </w:r>
    </w:p>
    <w:p>
      <w:pPr>
        <w:pStyle w:val="BodyText"/>
        <w:ind w:left="947"/>
        <w:spacing w:before="275" w:line="221" w:lineRule="auto"/>
        <w:rPr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4"/>
        </w:rPr>
        <w:t>2. </w:t>
      </w:r>
      <w:r>
        <w:rPr>
          <w:sz w:val="22"/>
          <w:szCs w:val="22"/>
          <w:spacing w:val="14"/>
        </w:rPr>
        <w:t>工艺创新服务于情感与实用并重。</w:t>
      </w:r>
    </w:p>
    <w:p>
      <w:pPr>
        <w:spacing w:line="404" w:lineRule="auto"/>
        <w:rPr>
          <w:rFonts w:ascii="Arial"/>
          <w:sz w:val="21"/>
        </w:rPr>
      </w:pPr>
      <w:r/>
    </w:p>
    <w:p>
      <w:pPr>
        <w:pStyle w:val="BodyText"/>
        <w:ind w:left="611"/>
        <w:spacing w:before="98" w:line="221" w:lineRule="auto"/>
        <w:outlineLvl w:val="2"/>
        <w:rPr>
          <w:sz w:val="30"/>
          <w:szCs w:val="30"/>
        </w:rPr>
      </w:pPr>
      <w:r>
        <w:rPr>
          <w:sz w:val="30"/>
          <w:szCs w:val="30"/>
          <w:b/>
          <w:bCs/>
          <w:spacing w:val="-4"/>
        </w:rPr>
        <w:t>(二)差异化表征</w:t>
      </w:r>
    </w:p>
    <w:p>
      <w:pPr>
        <w:pStyle w:val="BodyText"/>
        <w:ind w:left="1266" w:hanging="319"/>
        <w:spacing w:before="184" w:line="287" w:lineRule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5"/>
        </w:rPr>
        <w:t>1.</w:t>
      </w:r>
      <w:r>
        <w:rPr>
          <w:rFonts w:ascii="Arial" w:hAnsi="Arial" w:eastAsia="Arial" w:cs="Arial"/>
          <w:sz w:val="22"/>
          <w:szCs w:val="22"/>
        </w:rPr>
        <w:t>Cartier</w:t>
      </w:r>
      <w:r>
        <w:rPr>
          <w:rFonts w:ascii="Arial" w:hAnsi="Arial" w:eastAsia="Arial" w:cs="Arial"/>
          <w:sz w:val="22"/>
          <w:szCs w:val="22"/>
          <w:spacing w:val="5"/>
        </w:rPr>
        <w:t xml:space="preserve">    </w:t>
      </w:r>
      <w:r>
        <w:rPr>
          <w:sz w:val="22"/>
          <w:szCs w:val="22"/>
          <w:spacing w:val="5"/>
        </w:rPr>
        <w:t>偏向文化融合与动物象征；</w:t>
      </w:r>
      <w:r>
        <w:rPr>
          <w:sz w:val="22"/>
          <w:szCs w:val="22"/>
          <w:spacing w:val="5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Van</w:t>
      </w:r>
      <w:r>
        <w:rPr>
          <w:rFonts w:ascii="Arial" w:hAnsi="Arial" w:eastAsia="Arial" w:cs="Arial"/>
          <w:sz w:val="22"/>
          <w:szCs w:val="22"/>
          <w:spacing w:val="5"/>
        </w:rPr>
        <w:t xml:space="preserve">    </w:t>
      </w:r>
      <w:r>
        <w:rPr>
          <w:rFonts w:ascii="Arial" w:hAnsi="Arial" w:eastAsia="Arial" w:cs="Arial"/>
          <w:sz w:val="22"/>
          <w:szCs w:val="22"/>
        </w:rPr>
        <w:t>Cleef</w:t>
      </w:r>
      <w:r>
        <w:rPr>
          <w:rFonts w:ascii="Arial" w:hAnsi="Arial" w:eastAsia="Arial" w:cs="Arial"/>
          <w:sz w:val="22"/>
          <w:szCs w:val="22"/>
          <w:spacing w:val="5"/>
        </w:rPr>
        <w:t xml:space="preserve">    &amp;</w:t>
      </w:r>
      <w:r>
        <w:rPr>
          <w:rFonts w:ascii="Arial" w:hAnsi="Arial" w:eastAsia="Arial" w:cs="Arial"/>
          <w:sz w:val="22"/>
          <w:szCs w:val="22"/>
        </w:rPr>
        <w:t>Arpels</w:t>
      </w:r>
      <w:r>
        <w:rPr>
          <w:sz w:val="22"/>
          <w:szCs w:val="22"/>
          <w:spacing w:val="5"/>
        </w:rPr>
        <w:t>强调诗意与隐秘工艺；</w:t>
      </w:r>
      <w:r>
        <w:rPr>
          <w:sz w:val="22"/>
          <w:szCs w:val="22"/>
          <w:spacing w:val="5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Graff</w:t>
      </w:r>
      <w:r>
        <w:rPr>
          <w:rFonts w:ascii="Arial" w:hAnsi="Arial" w:eastAsia="Arial" w:cs="Arial"/>
          <w:sz w:val="22"/>
          <w:szCs w:val="22"/>
          <w:spacing w:val="65"/>
        </w:rPr>
        <w:t xml:space="preserve"> </w:t>
      </w:r>
      <w:r>
        <w:rPr>
          <w:sz w:val="22"/>
          <w:szCs w:val="22"/>
          <w:spacing w:val="5"/>
        </w:rPr>
        <w:t>突出极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16"/>
        </w:rPr>
        <w:t>致钻石与当代抽象。</w:t>
      </w:r>
    </w:p>
    <w:p>
      <w:pPr>
        <w:spacing w:line="287" w:lineRule="auto"/>
        <w:sectPr>
          <w:type w:val="continuous"/>
          <w:pgSz w:w="12240" w:h="15840"/>
          <w:pgMar w:top="1055" w:right="1111" w:bottom="0" w:left="382" w:header="0" w:footer="0" w:gutter="0"/>
          <w:cols w:equalWidth="0" w:num="1">
            <w:col w:w="10746" w:space="0"/>
          </w:cols>
        </w:sectPr>
        <w:rPr>
          <w:sz w:val="22"/>
          <w:szCs w:val="22"/>
        </w:rPr>
      </w:pPr>
    </w:p>
    <w:p>
      <w:pPr>
        <w:pStyle w:val="BodyText"/>
        <w:ind w:left="5"/>
        <w:spacing w:before="72" w:line="222" w:lineRule="auto"/>
        <w:outlineLvl w:val="1"/>
        <w:rPr>
          <w:sz w:val="36"/>
          <w:szCs w:val="36"/>
        </w:rPr>
      </w:pPr>
      <w:r>
        <w:rPr>
          <w:sz w:val="36"/>
          <w:szCs w:val="36"/>
          <w:b/>
          <w:bCs/>
          <w:spacing w:val="-7"/>
        </w:rPr>
        <w:t>五、结论与战略建议</w:t>
      </w:r>
    </w:p>
    <w:p>
      <w:pPr>
        <w:pStyle w:val="BodyText"/>
        <w:ind w:left="4"/>
        <w:spacing w:before="209" w:line="224" w:lineRule="auto"/>
        <w:outlineLvl w:val="2"/>
        <w:rPr>
          <w:sz w:val="29"/>
          <w:szCs w:val="29"/>
        </w:rPr>
      </w:pPr>
      <w:r>
        <w:rPr>
          <w:sz w:val="29"/>
          <w:szCs w:val="29"/>
          <w:b/>
          <w:bCs/>
          <w:spacing w:val="3"/>
        </w:rPr>
        <w:t>(一)趋势总结</w:t>
      </w:r>
    </w:p>
    <w:p>
      <w:pPr>
        <w:pStyle w:val="BodyText"/>
        <w:spacing w:before="187" w:line="343" w:lineRule="auto"/>
        <w:rPr/>
      </w:pPr>
      <w:r>
        <w:rPr>
          <w:spacing w:val="-7"/>
        </w:rPr>
        <w:t>2021-2024年间，高端珠宝设计在一定程</w:t>
      </w:r>
      <w:r>
        <w:rPr>
          <w:spacing w:val="-8"/>
        </w:rPr>
        <w:t>度上反映了从“炫耀性消费”向“价值性投资”与“可持续</w:t>
      </w:r>
      <w:r>
        <w:rPr/>
        <w:t xml:space="preserve"> </w:t>
      </w:r>
      <w:r>
        <w:rPr>
          <w:spacing w:val="-3"/>
        </w:rPr>
        <w:t>情感表达”的转型，共性在于彩宝主导与多</w:t>
      </w:r>
      <w:r>
        <w:rPr>
          <w:spacing w:val="-4"/>
        </w:rPr>
        <w:t>功能创新，差异化则体现为品牌</w:t>
      </w:r>
      <w:r>
        <w:rPr>
          <w:rFonts w:ascii="SimSun" w:hAnsi="SimSun" w:eastAsia="SimSun" w:cs="SimSun"/>
          <w:spacing w:val="-4"/>
        </w:rPr>
        <w:t>DNA</w:t>
      </w:r>
      <w:r>
        <w:rPr>
          <w:rFonts w:ascii="SimSun" w:hAnsi="SimSun" w:eastAsia="SimSun" w:cs="SimSun"/>
          <w:spacing w:val="44"/>
        </w:rPr>
        <w:t xml:space="preserve"> </w:t>
      </w:r>
      <w:r>
        <w:rPr>
          <w:spacing w:val="-4"/>
        </w:rPr>
        <w:t>的深化。</w:t>
      </w:r>
    </w:p>
    <w:p>
      <w:pPr>
        <w:rPr>
          <w:rFonts w:ascii="Arial"/>
          <w:sz w:val="21"/>
        </w:rPr>
      </w:pPr>
      <w:r/>
    </w:p>
    <w:p>
      <w:pPr>
        <w:pStyle w:val="BodyText"/>
        <w:ind w:left="4"/>
        <w:spacing w:before="94" w:line="222" w:lineRule="auto"/>
        <w:outlineLvl w:val="2"/>
        <w:rPr>
          <w:sz w:val="29"/>
          <w:szCs w:val="29"/>
        </w:rPr>
      </w:pPr>
      <w:r>
        <w:rPr>
          <w:sz w:val="29"/>
          <w:szCs w:val="29"/>
          <w:b/>
          <w:bCs/>
        </w:rPr>
        <w:t>(二)战略升维建议</w:t>
      </w:r>
    </w:p>
    <w:p>
      <w:pPr>
        <w:pStyle w:val="BodyText"/>
        <w:ind w:left="678" w:right="55" w:hanging="329"/>
        <w:spacing w:before="193" w:line="284" w:lineRule="auto"/>
        <w:rPr/>
      </w:pPr>
      <w:r>
        <w:rPr>
          <w:rFonts w:ascii="SimSun" w:hAnsi="SimSun" w:eastAsia="SimSun" w:cs="SimSun"/>
          <w:spacing w:val="-3"/>
        </w:rPr>
        <w:t>1.</w:t>
      </w:r>
      <w:r>
        <w:rPr>
          <w:rFonts w:ascii="SimSun" w:hAnsi="SimSun" w:eastAsia="SimSun" w:cs="SimSun"/>
          <w:spacing w:val="-23"/>
        </w:rPr>
        <w:t xml:space="preserve"> </w:t>
      </w:r>
      <w:r>
        <w:rPr>
          <w:spacing w:val="-3"/>
        </w:rPr>
        <w:t>与品牌可持续发展战略关联：建议高奢品牌深化区</w:t>
      </w:r>
      <w:r>
        <w:rPr>
          <w:spacing w:val="-4"/>
        </w:rPr>
        <w:t>块链溯源，构建“循环经济”模式(如旧</w:t>
      </w:r>
      <w:r>
        <w:rPr/>
        <w:t xml:space="preserve"> </w:t>
      </w:r>
      <w:r>
        <w:rPr>
          <w:spacing w:val="-5"/>
        </w:rPr>
        <w:t>件回购再设计)。</w:t>
      </w:r>
    </w:p>
    <w:p>
      <w:pPr>
        <w:pStyle w:val="BodyText"/>
        <w:ind w:left="349"/>
        <w:spacing w:before="240" w:line="213" w:lineRule="auto"/>
        <w:rPr/>
      </w:pPr>
      <w:r>
        <w:rPr>
          <w:rFonts w:ascii="Times New Roman" w:hAnsi="Times New Roman" w:eastAsia="Times New Roman" w:cs="Times New Roman"/>
        </w:rPr>
        <w:t>2.  </w:t>
      </w:r>
      <w:r>
        <w:rPr/>
        <w:t>奢侈品数字资产化探索：结合</w:t>
      </w:r>
      <w:r>
        <w:rPr>
          <w:rFonts w:ascii="Times New Roman" w:hAnsi="Times New Roman" w:eastAsia="Times New Roman" w:cs="Times New Roman"/>
        </w:rPr>
        <w:t>NFT</w:t>
      </w:r>
      <w:r>
        <w:rPr/>
        <w:t>认证独特拍品，提升年轻一代参与</w:t>
      </w:r>
      <w:r>
        <w:rPr>
          <w:spacing w:val="-1"/>
        </w:rPr>
        <w:t>度。</w:t>
      </w:r>
    </w:p>
    <w:p>
      <w:pPr>
        <w:pStyle w:val="BodyText"/>
        <w:ind w:left="678" w:right="1" w:hanging="329"/>
        <w:spacing w:before="263" w:line="272" w:lineRule="auto"/>
        <w:rPr/>
      </w:pPr>
      <w:r>
        <w:rPr>
          <w:rFonts w:ascii="SimSun" w:hAnsi="SimSun" w:eastAsia="SimSun" w:cs="SimSun"/>
          <w:spacing w:val="4"/>
        </w:rPr>
        <w:t>3.</w:t>
      </w:r>
      <w:r>
        <w:rPr>
          <w:rFonts w:ascii="SimSun" w:hAnsi="SimSun" w:eastAsia="SimSun" w:cs="SimSun"/>
          <w:spacing w:val="-36"/>
        </w:rPr>
        <w:t xml:space="preserve"> </w:t>
      </w:r>
      <w:r>
        <w:rPr>
          <w:spacing w:val="4"/>
        </w:rPr>
        <w:t>文化自信与国际传播：中国品牌可借鉴西方叙事性，融入东方美学(如玉石与彩</w:t>
      </w:r>
      <w:r>
        <w:rPr>
          <w:spacing w:val="3"/>
        </w:rPr>
        <w:t>宝结合),</w:t>
      </w:r>
      <w:r>
        <w:rPr/>
        <w:t xml:space="preserve"> </w:t>
      </w:r>
      <w:r>
        <w:rPr>
          <w:spacing w:val="-3"/>
        </w:rPr>
        <w:t>在全球拍卖市场占据更大份额。</w:t>
      </w:r>
    </w:p>
    <w:p>
      <w:pPr>
        <w:pStyle w:val="BodyText"/>
        <w:ind w:left="678" w:right="42" w:hanging="329"/>
        <w:spacing w:before="253" w:line="275" w:lineRule="auto"/>
        <w:rPr/>
      </w:pPr>
      <w:r>
        <w:rPr>
          <w:rFonts w:ascii="SimSun" w:hAnsi="SimSun" w:eastAsia="SimSun" w:cs="SimSun"/>
        </w:rPr>
        <w:t>4.</w:t>
      </w:r>
      <w:r>
        <w:rPr>
          <w:rFonts w:ascii="SimSun" w:hAnsi="SimSun" w:eastAsia="SimSun" w:cs="SimSun"/>
          <w:spacing w:val="-34"/>
        </w:rPr>
        <w:t xml:space="preserve"> </w:t>
      </w:r>
      <w:r>
        <w:rPr/>
        <w:t>总体建议：通常而言，品牌应关注趋势的辩证平衡，避免同质化风险，以实现长期竞争优</w:t>
      </w:r>
      <w:r>
        <w:rPr/>
        <w:t xml:space="preserve"> </w:t>
      </w:r>
      <w:r>
        <w:rPr>
          <w:spacing w:val="-10"/>
        </w:rPr>
        <w:t>势。</w:t>
      </w:r>
    </w:p>
    <w:p>
      <w:pPr>
        <w:pStyle w:val="BodyText"/>
        <w:ind w:left="3"/>
        <w:spacing w:before="312" w:line="221" w:lineRule="auto"/>
        <w:rPr/>
      </w:pPr>
      <w:r>
        <w:rPr>
          <w:b/>
          <w:bCs/>
          <w:spacing w:val="2"/>
        </w:rPr>
        <w:t>报告完</w:t>
      </w:r>
    </w:p>
    <w:sectPr>
      <w:pgSz w:w="12240" w:h="15840"/>
      <w:pgMar w:top="1205" w:right="1180" w:bottom="0" w:left="98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24"/>
      <w:szCs w:val="24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Hei" w:hAnsi="SimHei" w:eastAsia="SimHei" w:cs="SimHei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settings" Target="settings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2026-03-16T00:00:37Z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2026-03-16T00:00:38</vt:filetime>
  </property>
  <property fmtid="{D5CDD505-2E9C-101B-9397-08002B2CF9AE}" pid="4" name="UsrData">
    <vt:lpwstr>69b6d7a36314910020303ebfwl</vt:lpwstr>
  </property>
</Properties>
</file>