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15" w:right="9"/>
        <w:spacing w:before="47" w:line="347" w:lineRule="auto"/>
        <w:rPr/>
      </w:pPr>
      <w:r>
        <w:rPr>
          <w:spacing w:val="20"/>
        </w:rPr>
        <w:t>近三年(2023-2025)高奢珠宝和高定拍卖品的设计流行趋势呈现出大胆创新与</w:t>
      </w:r>
      <w:r>
        <w:rPr>
          <w:spacing w:val="19"/>
        </w:rPr>
        <w:t>情感表达并重的</w:t>
      </w:r>
      <w:r>
        <w:rPr/>
        <w:t xml:space="preserve"> </w:t>
      </w:r>
      <w:r>
        <w:rPr>
          <w:spacing w:val="4"/>
        </w:rPr>
        <w:t>特点。</w:t>
      </w:r>
    </w:p>
    <w:p>
      <w:pPr>
        <w:pStyle w:val="BodyText"/>
        <w:ind w:left="118"/>
        <w:spacing w:before="103" w:line="223" w:lineRule="auto"/>
        <w:rPr/>
      </w:pPr>
      <w:r>
        <w:rPr>
          <w:b/>
          <w:bCs/>
        </w:rPr>
        <w:t>关键点总结：</w:t>
      </w:r>
    </w:p>
    <w:p>
      <w:pPr>
        <w:pStyle w:val="BodyText"/>
        <w:ind w:left="614" w:right="145" w:hanging="130"/>
        <w:spacing w:before="273" w:line="263" w:lineRule="auto"/>
        <w:rPr/>
      </w:pPr>
      <w:r>
        <w:rPr>
          <w:spacing w:val="12"/>
        </w:rPr>
        <w:t>·</w:t>
      </w:r>
      <w:r>
        <w:rPr>
          <w:spacing w:val="-86"/>
        </w:rPr>
        <w:t xml:space="preserve"> </w:t>
      </w:r>
      <w:r>
        <w:rPr>
          <w:spacing w:val="12"/>
        </w:rPr>
        <w:t>色彩强烈回归：高饱和度彩色宝石(如祖母绿、红宝石、蓝宝石、帕拉伊巴碧玺、彩钻)主</w:t>
      </w:r>
      <w:r>
        <w:rPr/>
        <w:t xml:space="preserve"> </w:t>
      </w:r>
      <w:r>
        <w:rPr>
          <w:spacing w:val="9"/>
        </w:rPr>
        <w:t>导，取代了过去相对低调的钻石主宰，强调视觉冲击与情绪价值。</w:t>
      </w:r>
    </w:p>
    <w:p>
      <w:pPr>
        <w:pStyle w:val="BodyText"/>
        <w:ind w:left="614" w:right="9" w:hanging="130"/>
        <w:spacing w:before="304" w:line="263" w:lineRule="auto"/>
        <w:rPr/>
      </w:pPr>
      <w:r>
        <w:rPr>
          <w:spacing w:val="12"/>
        </w:rPr>
        <w:t>·</w:t>
      </w:r>
      <w:r>
        <w:rPr>
          <w:spacing w:val="-61"/>
        </w:rPr>
        <w:t xml:space="preserve"> </w:t>
      </w:r>
      <w:r>
        <w:rPr>
          <w:spacing w:val="12"/>
        </w:rPr>
        <w:t>自然、有机与动物/植物灵感：大量采用有机纹理、粗糙宝</w:t>
      </w:r>
      <w:r>
        <w:rPr>
          <w:spacing w:val="11"/>
        </w:rPr>
        <w:t>石、动物造型(豹、鸟、龟等)和</w:t>
      </w:r>
      <w:r>
        <w:rPr/>
        <w:t xml:space="preserve"> </w:t>
      </w:r>
      <w:r>
        <w:rPr>
          <w:spacing w:val="-5"/>
        </w:rPr>
        <w:t>自然元素，体现“回归自然”与可持续理念。</w:t>
      </w:r>
    </w:p>
    <w:p>
      <w:pPr>
        <w:pStyle w:val="BodyText"/>
        <w:ind w:left="614" w:right="19" w:hanging="130"/>
        <w:spacing w:before="294" w:line="281" w:lineRule="auto"/>
        <w:rPr/>
      </w:pPr>
      <w:r>
        <w:rPr>
          <w:spacing w:val="7"/>
        </w:rPr>
        <w:t>·</w:t>
      </w:r>
      <w:r>
        <w:rPr>
          <w:spacing w:val="-93"/>
        </w:rPr>
        <w:t xml:space="preserve"> </w:t>
      </w:r>
      <w:r>
        <w:rPr>
          <w:spacing w:val="7"/>
        </w:rPr>
        <w:t>可转换与多功能设计：项链变手镯/胸针、解构式结构成为高</w:t>
      </w:r>
      <w:r>
        <w:rPr>
          <w:spacing w:val="6"/>
        </w:rPr>
        <w:t>定标配，突出工艺复杂度和佩戴</w:t>
      </w:r>
      <w:r>
        <w:rPr/>
        <w:t xml:space="preserve"> </w:t>
      </w:r>
      <w:r>
        <w:rPr>
          <w:spacing w:val="1"/>
        </w:rPr>
        <w:t>趣味性。</w:t>
      </w:r>
    </w:p>
    <w:p>
      <w:pPr>
        <w:pStyle w:val="BodyText"/>
        <w:ind w:left="614" w:right="13" w:hanging="130"/>
        <w:spacing w:before="250" w:line="291" w:lineRule="auto"/>
        <w:rPr/>
      </w:pPr>
      <w:r>
        <w:rPr>
          <w:spacing w:val="7"/>
        </w:rPr>
        <w:t>·</w:t>
      </w:r>
      <w:r>
        <w:rPr>
          <w:spacing w:val="-98"/>
        </w:rPr>
        <w:t xml:space="preserve"> </w:t>
      </w:r>
      <w:r>
        <w:rPr>
          <w:spacing w:val="7"/>
        </w:rPr>
        <w:t>大胆体积与雕塑感：从</w:t>
      </w:r>
      <w:r>
        <w:rPr>
          <w:rFonts w:ascii="SimSun" w:hAnsi="SimSun" w:eastAsia="SimSun" w:cs="SimSun"/>
        </w:rPr>
        <w:t>chunky</w:t>
      </w:r>
      <w:r>
        <w:rPr>
          <w:rFonts w:ascii="SimSun" w:hAnsi="SimSun" w:eastAsia="SimSun" w:cs="SimSun"/>
          <w:spacing w:val="39"/>
        </w:rPr>
        <w:t xml:space="preserve"> </w:t>
      </w:r>
      <w:r>
        <w:rPr>
          <w:spacing w:val="7"/>
        </w:rPr>
        <w:t>链条、厚重戒指到流线型编织，</w:t>
      </w:r>
      <w:r>
        <w:rPr>
          <w:spacing w:val="6"/>
        </w:rPr>
        <w:t>件头更大、更具建筑感，模糊</w:t>
      </w:r>
      <w:r>
        <w:rPr/>
        <w:t xml:space="preserve"> </w:t>
      </w:r>
      <w:r>
        <w:rPr>
          <w:spacing w:val="5"/>
        </w:rPr>
        <w:t>珠宝与艺术/纺织界限。</w:t>
      </w:r>
    </w:p>
    <w:p>
      <w:pPr>
        <w:pStyle w:val="BodyText"/>
        <w:ind w:left="614" w:right="116" w:hanging="130"/>
        <w:spacing w:before="215" w:line="295" w:lineRule="auto"/>
        <w:rPr/>
      </w:pPr>
      <w:r>
        <w:rPr>
          <w:spacing w:val="6"/>
        </w:rPr>
        <w:t>·</w:t>
      </w:r>
      <w:r>
        <w:rPr>
          <w:spacing w:val="-89"/>
        </w:rPr>
        <w:t xml:space="preserve"> </w:t>
      </w:r>
      <w:r>
        <w:rPr>
          <w:spacing w:val="6"/>
        </w:rPr>
        <w:t>可持续与伦理关注：</w:t>
      </w:r>
      <w:r>
        <w:rPr>
          <w:spacing w:val="-64"/>
        </w:rPr>
        <w:t xml:space="preserve"> </w:t>
      </w:r>
      <w:r>
        <w:rPr>
          <w:spacing w:val="6"/>
        </w:rPr>
        <w:t>实验室培育彩钻、回收材料、稀有宝石溯源在高奢中越来越被强调</w:t>
      </w:r>
      <w:r>
        <w:rPr>
          <w:spacing w:val="5"/>
        </w:rPr>
        <w:t>，尽</w:t>
      </w:r>
      <w:r>
        <w:rPr/>
        <w:t xml:space="preserve"> </w:t>
      </w:r>
      <w:r>
        <w:rPr>
          <w:spacing w:val="8"/>
        </w:rPr>
        <w:t>管顶级拍卖仍偏好天然极致宝石。</w:t>
      </w:r>
    </w:p>
    <w:p>
      <w:pPr>
        <w:pStyle w:val="BodyText"/>
        <w:ind w:left="118"/>
        <w:spacing w:before="303" w:line="222" w:lineRule="auto"/>
        <w:rPr/>
      </w:pPr>
      <w:r>
        <w:rPr>
          <w:b/>
          <w:bCs/>
        </w:rPr>
        <w:t>主要共通点：</w:t>
      </w:r>
    </w:p>
    <w:p>
      <w:pPr>
        <w:pStyle w:val="BodyText"/>
        <w:ind w:left="115" w:right="15"/>
        <w:spacing w:before="150" w:line="330" w:lineRule="auto"/>
        <w:rPr/>
      </w:pPr>
      <w:r>
        <w:rPr>
          <w:spacing w:val="14"/>
        </w:rPr>
        <w:t>高奢品牌(如</w:t>
      </w:r>
      <w:r>
        <w:rPr>
          <w:rFonts w:ascii="SimSun" w:hAnsi="SimSun" w:eastAsia="SimSun" w:cs="SimSun"/>
        </w:rPr>
        <w:t>Cartier</w:t>
      </w:r>
      <w:r>
        <w:rPr>
          <w:rFonts w:ascii="SimSun" w:hAnsi="SimSun" w:eastAsia="SimSun" w:cs="SimSun"/>
          <w:spacing w:val="14"/>
        </w:rPr>
        <w:t>、</w:t>
      </w:r>
      <w:r>
        <w:rPr>
          <w:rFonts w:ascii="SimSun" w:hAnsi="SimSun" w:eastAsia="SimSun" w:cs="SimSun"/>
        </w:rPr>
        <w:t>Van</w:t>
      </w:r>
      <w:r>
        <w:rPr>
          <w:rFonts w:ascii="SimSun" w:hAnsi="SimSun" w:eastAsia="SimSun" w:cs="SimSun"/>
          <w:spacing w:val="14"/>
        </w:rPr>
        <w:t xml:space="preserve">  </w:t>
      </w:r>
      <w:r>
        <w:rPr>
          <w:rFonts w:ascii="SimSun" w:hAnsi="SimSun" w:eastAsia="SimSun" w:cs="SimSun"/>
        </w:rPr>
        <w:t>Cleef</w:t>
      </w:r>
      <w:r>
        <w:rPr>
          <w:rFonts w:ascii="SimSun" w:hAnsi="SimSun" w:eastAsia="SimSun" w:cs="SimSun"/>
          <w:spacing w:val="14"/>
        </w:rPr>
        <w:t xml:space="preserve">  &amp;</w:t>
      </w:r>
      <w:r>
        <w:rPr>
          <w:rFonts w:ascii="SimSun" w:hAnsi="SimSun" w:eastAsia="SimSun" w:cs="SimSun"/>
        </w:rPr>
        <w:t>Arpels</w:t>
      </w:r>
      <w:r>
        <w:rPr>
          <w:rFonts w:ascii="SimSun" w:hAnsi="SimSun" w:eastAsia="SimSun" w:cs="SimSun"/>
          <w:spacing w:val="14"/>
        </w:rPr>
        <w:t>、</w:t>
      </w:r>
      <w:r>
        <w:rPr>
          <w:rFonts w:ascii="SimSun" w:hAnsi="SimSun" w:eastAsia="SimSun" w:cs="SimSun"/>
        </w:rPr>
        <w:t>Tiffany</w:t>
      </w:r>
      <w:r>
        <w:rPr>
          <w:rFonts w:ascii="SimSun" w:hAnsi="SimSun" w:eastAsia="SimSun" w:cs="SimSun"/>
          <w:spacing w:val="27"/>
        </w:rPr>
        <w:t xml:space="preserve">  </w:t>
      </w:r>
      <w:r>
        <w:rPr>
          <w:rFonts w:ascii="SimSun" w:hAnsi="SimSun" w:eastAsia="SimSun" w:cs="SimSun"/>
          <w:spacing w:val="14"/>
        </w:rPr>
        <w:t>&amp;</w:t>
      </w:r>
      <w:r>
        <w:rPr>
          <w:rFonts w:ascii="SimSun" w:hAnsi="SimSun" w:eastAsia="SimSun" w:cs="SimSun"/>
        </w:rPr>
        <w:t>Co</w:t>
      </w:r>
      <w:r>
        <w:rPr>
          <w:rFonts w:ascii="SimSun" w:hAnsi="SimSun" w:eastAsia="SimSun" w:cs="SimSun"/>
          <w:spacing w:val="14"/>
        </w:rPr>
        <w:t>.、</w:t>
      </w:r>
      <w:r>
        <w:rPr>
          <w:rFonts w:ascii="SimSun" w:hAnsi="SimSun" w:eastAsia="SimSun" w:cs="SimSun"/>
        </w:rPr>
        <w:t>Bulgari</w:t>
      </w:r>
      <w:r>
        <w:rPr>
          <w:rFonts w:ascii="SimSun" w:hAnsi="SimSun" w:eastAsia="SimSun" w:cs="SimSun"/>
          <w:spacing w:val="14"/>
        </w:rPr>
        <w:t>、</w:t>
      </w:r>
      <w:r>
        <w:rPr>
          <w:rFonts w:ascii="SimSun" w:hAnsi="SimSun" w:eastAsia="SimSun" w:cs="SimSun"/>
        </w:rPr>
        <w:t>Boucheron</w:t>
      </w:r>
      <w:r>
        <w:rPr>
          <w:rFonts w:ascii="SimSun" w:hAnsi="SimSun" w:eastAsia="SimSun" w:cs="SimSun"/>
          <w:spacing w:val="14"/>
        </w:rPr>
        <w:t>)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14"/>
        </w:rPr>
        <w:t>和高定拍卖</w:t>
      </w:r>
      <w:r>
        <w:rPr/>
        <w:t xml:space="preserve"> </w:t>
      </w:r>
      <w:r>
        <w:rPr>
          <w:spacing w:val="10"/>
        </w:rPr>
        <w:t>品</w:t>
      </w:r>
      <w:r>
        <w:rPr>
          <w:spacing w:val="61"/>
        </w:rPr>
        <w:t xml:space="preserve"> </w:t>
      </w:r>
      <w:r>
        <w:rPr>
          <w:rFonts w:ascii="SimSun" w:hAnsi="SimSun" w:eastAsia="SimSun" w:cs="SimSun"/>
          <w:spacing w:val="10"/>
        </w:rPr>
        <w:t>(</w:t>
      </w:r>
      <w:r>
        <w:rPr>
          <w:rFonts w:ascii="SimSun" w:hAnsi="SimSun" w:eastAsia="SimSun" w:cs="SimSun"/>
        </w:rPr>
        <w:t>Christie</w:t>
      </w:r>
      <w:r>
        <w:rPr>
          <w:rFonts w:ascii="SimSun" w:hAnsi="SimSun" w:eastAsia="SimSun" w:cs="SimSun"/>
          <w:spacing w:val="10"/>
        </w:rPr>
        <w:t>'s、</w:t>
      </w:r>
      <w:r>
        <w:rPr>
          <w:rFonts w:ascii="SimSun" w:hAnsi="SimSun" w:eastAsia="SimSun" w:cs="SimSun"/>
        </w:rPr>
        <w:t>Sotheby</w:t>
      </w:r>
      <w:r>
        <w:rPr>
          <w:rFonts w:ascii="SimSun" w:hAnsi="SimSun" w:eastAsia="SimSun" w:cs="SimSun"/>
          <w:spacing w:val="10"/>
        </w:rPr>
        <w:t>'s</w:t>
      </w:r>
      <w:r>
        <w:rPr>
          <w:spacing w:val="10"/>
        </w:rPr>
        <w:t>成交王)均强烈追求独特性、故事性与极致工艺。它们不再满足于</w:t>
      </w:r>
    </w:p>
    <w:p>
      <w:pPr>
        <w:pStyle w:val="BodyText"/>
        <w:ind w:left="115" w:right="17" w:hanging="115"/>
        <w:spacing w:before="4" w:line="331" w:lineRule="auto"/>
        <w:rPr/>
      </w:pPr>
      <w:r>
        <w:rPr>
          <w:spacing w:val="2"/>
        </w:rPr>
        <w:t>“贵”,而是追求“不可复制的艺术品感”——通过超大稀有宝石、复杂镶嵌、多形态转换、强烈主题</w:t>
      </w:r>
      <w:r>
        <w:rPr>
          <w:spacing w:val="9"/>
        </w:rPr>
        <w:t xml:space="preserve"> </w:t>
      </w:r>
      <w:r>
        <w:rPr>
          <w:spacing w:val="18"/>
        </w:rPr>
        <w:t>叙事(自然、宇宙、野生动物)来实现情感共鸣与收藏</w:t>
      </w:r>
      <w:r>
        <w:rPr>
          <w:spacing w:val="17"/>
        </w:rPr>
        <w:t>价值。</w:t>
      </w:r>
    </w:p>
    <w:p>
      <w:pPr>
        <w:pStyle w:val="BodyText"/>
        <w:ind w:left="118"/>
        <w:spacing w:before="151" w:line="222" w:lineRule="auto"/>
        <w:rPr/>
      </w:pPr>
      <w:r>
        <w:rPr>
          <w:b/>
          <w:bCs/>
          <w:spacing w:val="-1"/>
        </w:rPr>
        <w:t>特色亮点：</w:t>
      </w:r>
    </w:p>
    <w:p>
      <w:pPr>
        <w:pStyle w:val="BodyText"/>
        <w:ind w:left="614" w:right="201" w:hanging="130"/>
        <w:spacing w:before="241" w:line="286" w:lineRule="auto"/>
        <w:rPr/>
      </w:pPr>
      <w:r>
        <w:rPr>
          <w:rFonts w:ascii="Times New Roman" w:hAnsi="Times New Roman" w:eastAsia="Times New Roman" w:cs="Times New Roman"/>
          <w:spacing w:val="9"/>
        </w:rPr>
        <w:t>·</w:t>
      </w:r>
      <w:r>
        <w:rPr>
          <w:rFonts w:ascii="Times New Roman" w:hAnsi="Times New Roman" w:eastAsia="Times New Roman" w:cs="Times New Roman"/>
        </w:rPr>
        <w:t>Cartier</w:t>
      </w:r>
      <w:r>
        <w:rPr>
          <w:rFonts w:ascii="Times New Roman" w:hAnsi="Times New Roman" w:eastAsia="Times New Roman" w:cs="Times New Roman"/>
          <w:spacing w:val="9"/>
        </w:rPr>
        <w:t xml:space="preserve">   </w:t>
      </w:r>
      <w:r>
        <w:rPr>
          <w:spacing w:val="9"/>
        </w:rPr>
        <w:t>持续强化野生动物主题</w:t>
      </w:r>
      <w:r>
        <w:rPr>
          <w:spacing w:val="9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(</w:t>
      </w:r>
      <w:r>
        <w:rPr>
          <w:rFonts w:ascii="Times New Roman" w:hAnsi="Times New Roman" w:eastAsia="Times New Roman" w:cs="Times New Roman"/>
        </w:rPr>
        <w:t>Nature</w:t>
      </w:r>
      <w:r>
        <w:rPr>
          <w:rFonts w:ascii="Times New Roman" w:hAnsi="Times New Roman" w:eastAsia="Times New Roman" w:cs="Times New Roman"/>
          <w:spacing w:val="9"/>
        </w:rPr>
        <w:t xml:space="preserve">       </w:t>
      </w:r>
      <w:r>
        <w:rPr>
          <w:rFonts w:ascii="Times New Roman" w:hAnsi="Times New Roman" w:eastAsia="Times New Roman" w:cs="Times New Roman"/>
        </w:rPr>
        <w:t>Sauvage</w:t>
      </w:r>
      <w:r>
        <w:rPr>
          <w:spacing w:val="9"/>
        </w:rPr>
        <w:t>系列的豹、翠鸟等),将经典</w:t>
      </w:r>
      <w:r>
        <w:rPr>
          <w:rFonts w:ascii="Times New Roman" w:hAnsi="Times New Roman" w:eastAsia="Times New Roman" w:cs="Times New Roman"/>
        </w:rPr>
        <w:t>Panther</w:t>
      </w:r>
      <w:r>
        <w:rPr>
          <w:rFonts w:ascii="Times New Roman" w:hAnsi="Times New Roman" w:eastAsia="Times New Roman" w:cs="Times New Roman"/>
          <w:spacing w:val="9"/>
        </w:rPr>
        <w:t xml:space="preserve">   </w:t>
      </w:r>
      <w:r>
        <w:rPr>
          <w:spacing w:val="9"/>
        </w:rPr>
        <w:t>演绎</w:t>
      </w:r>
      <w:r>
        <w:rPr>
          <w:spacing w:val="15"/>
        </w:rPr>
        <w:t xml:space="preserve"> </w:t>
      </w:r>
      <w:r>
        <w:rPr>
          <w:spacing w:val="7"/>
        </w:rPr>
        <w:t>成可拆卸、多佩戴的巨型件。</w:t>
      </w:r>
    </w:p>
    <w:p>
      <w:pPr>
        <w:pStyle w:val="BodyText"/>
        <w:ind w:left="614" w:right="85" w:hanging="130"/>
        <w:spacing w:before="270" w:line="288" w:lineRule="auto"/>
        <w:rPr/>
      </w:pPr>
      <w:r>
        <w:rPr>
          <w:rFonts w:ascii="SimSun" w:hAnsi="SimSun" w:eastAsia="SimSun" w:cs="SimSun"/>
        </w:rPr>
        <w:t>·Tiffany  &amp;Co.</w:t>
      </w:r>
      <w:r>
        <w:rPr/>
        <w:t>在</w:t>
      </w:r>
      <w:r>
        <w:rPr>
          <w:rFonts w:ascii="SimSun" w:hAnsi="SimSun" w:eastAsia="SimSun" w:cs="SimSun"/>
        </w:rPr>
        <w:t>Blue  Book</w:t>
      </w:r>
      <w:r>
        <w:rPr/>
        <w:t>系列中突出宇宙/海洋幻想</w:t>
      </w:r>
      <w:r>
        <w:rPr/>
        <w:t xml:space="preserve"> </w:t>
      </w:r>
      <w:r>
        <w:rPr>
          <w:rFonts w:ascii="SimSun" w:hAnsi="SimSun" w:eastAsia="SimSun" w:cs="SimSun"/>
        </w:rPr>
        <w:t>(Céleste、</w:t>
      </w:r>
      <w:r>
        <w:rPr>
          <w:rFonts w:ascii="SimSun" w:hAnsi="SimSun" w:eastAsia="SimSun" w:cs="SimSun"/>
          <w:spacing w:val="-1"/>
        </w:rPr>
        <w:t>Sea</w:t>
      </w:r>
      <w:r>
        <w:rPr>
          <w:rFonts w:ascii="SimSun" w:hAnsi="SimSun" w:eastAsia="SimSun" w:cs="SimSun"/>
          <w:spacing w:val="37"/>
        </w:rPr>
        <w:t xml:space="preserve">  </w:t>
      </w:r>
      <w:r>
        <w:rPr>
          <w:rFonts w:ascii="SimSun" w:hAnsi="SimSun" w:eastAsia="SimSun" w:cs="SimSun"/>
          <w:spacing w:val="-1"/>
        </w:rPr>
        <w:t>of</w:t>
      </w:r>
      <w:r>
        <w:rPr>
          <w:rFonts w:ascii="SimSun" w:hAnsi="SimSun" w:eastAsia="SimSun" w:cs="SimSun"/>
          <w:spacing w:val="32"/>
        </w:rPr>
        <w:t xml:space="preserve">  </w:t>
      </w:r>
      <w:r>
        <w:rPr>
          <w:rFonts w:ascii="SimSun" w:hAnsi="SimSun" w:eastAsia="SimSun" w:cs="SimSun"/>
          <w:spacing w:val="-1"/>
        </w:rPr>
        <w:t>Wonder),</w:t>
      </w:r>
      <w:r>
        <w:rPr>
          <w:spacing w:val="-1"/>
        </w:rPr>
        <w:t>超大无</w:t>
      </w:r>
      <w:r>
        <w:rPr/>
        <w:t xml:space="preserve"> </w:t>
      </w:r>
      <w:r>
        <w:rPr>
          <w:spacing w:val="15"/>
        </w:rPr>
        <w:t>暇钻石搭配</w:t>
      </w:r>
      <w:r>
        <w:rPr>
          <w:rFonts w:ascii="SimSun" w:hAnsi="SimSun" w:eastAsia="SimSun" w:cs="SimSun"/>
        </w:rPr>
        <w:t>Schlumberger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spacing w:val="15"/>
        </w:rPr>
        <w:t>复古梦幻感。</w:t>
      </w:r>
    </w:p>
    <w:p>
      <w:pPr>
        <w:pStyle w:val="BodyText"/>
        <w:ind w:left="614" w:right="120" w:hanging="130"/>
        <w:spacing w:before="241" w:line="286" w:lineRule="auto"/>
        <w:rPr/>
      </w:pPr>
      <w:r>
        <w:rPr>
          <w:rFonts w:ascii="SimSun" w:hAnsi="SimSun" w:eastAsia="SimSun" w:cs="SimSun"/>
        </w:rPr>
        <w:t>·Van</w:t>
      </w:r>
      <w:r>
        <w:rPr>
          <w:rFonts w:ascii="SimSun" w:hAnsi="SimSun" w:eastAsia="SimSun" w:cs="SimSun"/>
          <w:spacing w:val="109"/>
        </w:rPr>
        <w:t xml:space="preserve"> </w:t>
      </w:r>
      <w:r>
        <w:rPr>
          <w:rFonts w:ascii="SimSun" w:hAnsi="SimSun" w:eastAsia="SimSun" w:cs="SimSun"/>
        </w:rPr>
        <w:t>Cleef</w:t>
      </w:r>
      <w:r>
        <w:rPr>
          <w:rFonts w:ascii="SimSun" w:hAnsi="SimSun" w:eastAsia="SimSun" w:cs="SimSun"/>
          <w:spacing w:val="93"/>
        </w:rPr>
        <w:t xml:space="preserve"> </w:t>
      </w:r>
      <w:r>
        <w:rPr>
          <w:rFonts w:ascii="SimSun" w:hAnsi="SimSun" w:eastAsia="SimSun" w:cs="SimSun"/>
        </w:rPr>
        <w:t>&amp;Arpels</w:t>
      </w:r>
      <w:r>
        <w:rPr/>
        <w:t>保持诗意自然</w:t>
      </w:r>
      <w:r>
        <w:rPr/>
        <w:t xml:space="preserve"> </w:t>
      </w:r>
      <w:r>
        <w:rPr>
          <w:rFonts w:ascii="SimSun" w:hAnsi="SimSun" w:eastAsia="SimSun" w:cs="SimSun"/>
        </w:rPr>
        <w:t>(Treasure Island、L'lle au Trésor),</w:t>
      </w:r>
      <w:r>
        <w:rPr/>
        <w:t>龟、海洋生物马赛</w:t>
      </w:r>
      <w:r>
        <w:rPr/>
        <w:t xml:space="preserve"> </w:t>
      </w:r>
      <w:r>
        <w:rPr>
          <w:spacing w:val="9"/>
        </w:rPr>
        <w:t>克镶嵌工艺惊艳。</w:t>
      </w:r>
    </w:p>
    <w:p>
      <w:pPr>
        <w:pStyle w:val="BodyText"/>
        <w:ind w:left="499" w:hanging="15"/>
        <w:spacing w:before="242" w:line="283" w:lineRule="auto"/>
        <w:rPr/>
      </w:pPr>
      <w:r>
        <w:rPr>
          <w:spacing w:val="5"/>
        </w:rPr>
        <w:t>·</w:t>
      </w:r>
      <w:r>
        <w:rPr>
          <w:spacing w:val="-95"/>
        </w:rPr>
        <w:t xml:space="preserve"> </w:t>
      </w:r>
      <w:r>
        <w:rPr>
          <w:spacing w:val="5"/>
        </w:rPr>
        <w:t>拍卖市场中彩色宝石王者地位稳固：</w:t>
      </w:r>
      <w:r>
        <w:rPr>
          <w:spacing w:val="5"/>
        </w:rPr>
        <w:t xml:space="preserve"> </w:t>
      </w:r>
      <w:r>
        <w:rPr>
          <w:rFonts w:ascii="SimSun" w:hAnsi="SimSun" w:eastAsia="SimSun" w:cs="SimSun"/>
        </w:rPr>
        <w:t>Paraiba</w:t>
      </w:r>
      <w:r>
        <w:rPr>
          <w:spacing w:val="5"/>
        </w:rPr>
        <w:t>碧玺、艳彩蓝钻、紫粉钻屡创</w:t>
      </w:r>
      <w:r>
        <w:rPr>
          <w:spacing w:val="4"/>
        </w:rPr>
        <w:t>纪录，证明市场对</w:t>
      </w:r>
      <w:r>
        <w:rPr/>
        <w:t xml:space="preserve"> </w:t>
      </w:r>
      <w:r>
        <w:rPr>
          <w:spacing w:val="-1"/>
        </w:rPr>
        <w:t>“稀有+颜色”的极致追捧。</w:t>
      </w:r>
    </w:p>
    <w:p>
      <w:pPr>
        <w:pStyle w:val="BodyText"/>
        <w:ind w:left="614" w:right="254" w:hanging="130"/>
        <w:spacing w:before="246" w:line="288" w:lineRule="auto"/>
        <w:rPr/>
      </w:pPr>
      <w:r>
        <w:rPr>
          <w:spacing w:val="2"/>
        </w:rPr>
        <w:t>·整体从“低调奢华”转向**“大胆宣言式奢华</w:t>
      </w:r>
      <w:r>
        <w:rPr>
          <w:spacing w:val="1"/>
        </w:rPr>
        <w:t>”**,尤其2025秋冬更明显：体积更大、颜色更</w:t>
      </w:r>
      <w:r>
        <w:rPr/>
        <w:t xml:space="preserve"> </w:t>
      </w:r>
      <w:r>
        <w:rPr>
          <w:spacing w:val="6"/>
        </w:rPr>
        <w:t>烈、故事更强。</w:t>
      </w:r>
    </w:p>
    <w:p>
      <w:pPr>
        <w:spacing w:line="288" w:lineRule="auto"/>
        <w:sectPr>
          <w:pgSz w:w="12240" w:h="15840"/>
          <w:pgMar w:top="1150" w:right="1021" w:bottom="0" w:left="865" w:header="0" w:footer="0" w:gutter="0"/>
        </w:sectPr>
        <w:rPr/>
      </w:pP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115" w:right="309"/>
        <w:spacing w:before="74" w:line="339" w:lineRule="auto"/>
        <w:rPr/>
      </w:pPr>
      <w:r>
        <w:rPr>
          <w:spacing w:val="2"/>
        </w:rPr>
        <w:t>近三年高奢珠宝与高定拍卖市场的设计演变，可以视为奢侈</w:t>
      </w:r>
      <w:r>
        <w:rPr>
          <w:spacing w:val="1"/>
        </w:rPr>
        <w:t>珠宝从“材质价值主导”向“叙事价值</w:t>
      </w:r>
      <w:r>
        <w:rPr/>
        <w:t xml:space="preserve"> </w:t>
      </w:r>
      <w:r>
        <w:rPr/>
        <w:t>+情绪价值主导”的全面转型。</w:t>
      </w:r>
    </w:p>
    <w:p>
      <w:pPr>
        <w:pStyle w:val="BodyText"/>
        <w:ind w:right="171" w:firstLine="115"/>
        <w:spacing w:before="128" w:line="329" w:lineRule="auto"/>
        <w:rPr/>
      </w:pPr>
      <w:r>
        <w:rPr>
          <w:spacing w:val="14"/>
        </w:rPr>
        <w:t>2023-2024年的转折期：</w:t>
      </w:r>
      <w:r>
        <w:rPr>
          <w:spacing w:val="14"/>
        </w:rPr>
        <w:t xml:space="preserve"> </w:t>
      </w:r>
      <w:r>
        <w:rPr>
          <w:spacing w:val="14"/>
        </w:rPr>
        <w:t>疫情后消费者情绪从压抑转向渴望治愈与表达。2023年高</w:t>
      </w:r>
      <w:r>
        <w:rPr>
          <w:spacing w:val="13"/>
        </w:rPr>
        <w:t>定周已出现</w:t>
      </w:r>
      <w:r>
        <w:rPr/>
        <w:t xml:space="preserve"> </w:t>
      </w:r>
      <w:r>
        <w:rPr>
          <w:spacing w:val="13"/>
        </w:rPr>
        <w:t>大量动物/自然主题</w:t>
      </w:r>
      <w:r>
        <w:rPr>
          <w:spacing w:val="13"/>
        </w:rPr>
        <w:t xml:space="preserve"> </w:t>
      </w:r>
      <w:r>
        <w:rPr>
          <w:rFonts w:ascii="Arial" w:hAnsi="Arial" w:eastAsia="Arial" w:cs="Arial"/>
          <w:spacing w:val="13"/>
        </w:rPr>
        <w:t>(</w:t>
      </w:r>
      <w:r>
        <w:rPr>
          <w:rFonts w:ascii="Arial" w:hAnsi="Arial" w:eastAsia="Arial" w:cs="Arial"/>
        </w:rPr>
        <w:t>Cartier</w:t>
      </w:r>
      <w:r>
        <w:rPr>
          <w:rFonts w:ascii="Arial" w:hAnsi="Arial" w:eastAsia="Arial" w:cs="Arial"/>
          <w:spacing w:val="13"/>
        </w:rPr>
        <w:t xml:space="preserve">  </w:t>
      </w:r>
      <w:r>
        <w:rPr>
          <w:spacing w:val="13"/>
        </w:rPr>
        <w:t>野生系列雏形、</w:t>
      </w:r>
      <w:r>
        <w:rPr>
          <w:spacing w:val="-57"/>
        </w:rPr>
        <w:t xml:space="preserve"> </w:t>
      </w:r>
      <w:r>
        <w:rPr>
          <w:rFonts w:ascii="Arial" w:hAnsi="Arial" w:eastAsia="Arial" w:cs="Arial"/>
        </w:rPr>
        <w:t>Van</w:t>
      </w:r>
      <w:r>
        <w:rPr>
          <w:rFonts w:ascii="Arial" w:hAnsi="Arial" w:eastAsia="Arial" w:cs="Arial"/>
          <w:spacing w:val="13"/>
        </w:rPr>
        <w:t xml:space="preserve">  </w:t>
      </w:r>
      <w:r>
        <w:rPr>
          <w:rFonts w:ascii="Arial" w:hAnsi="Arial" w:eastAsia="Arial" w:cs="Arial"/>
        </w:rPr>
        <w:t>Cleef</w:t>
      </w:r>
      <w:r>
        <w:rPr>
          <w:spacing w:val="13"/>
        </w:rPr>
        <w:t>早期海洋探索),彩色宝石价格开始明显</w:t>
      </w:r>
      <w:r>
        <w:rPr/>
        <w:t xml:space="preserve"> </w:t>
      </w:r>
      <w:r>
        <w:rPr>
          <w:spacing w:val="15"/>
        </w:rPr>
        <w:t>上涨。2024年这一趋势加速：拍卖场上彩钻、红宝石、祖母绿频创纪录；品牌端则大规模推出</w:t>
      </w:r>
      <w:r>
        <w:rPr>
          <w:spacing w:val="8"/>
        </w:rPr>
        <w:t xml:space="preserve">  </w:t>
      </w:r>
      <w:r>
        <w:rPr/>
        <w:t>“有机质感”与“粗犷美学”未经打磨的原石、锤纹金、编织结构),象征对“真实、不完美”的重新</w:t>
      </w:r>
      <w:r>
        <w:rPr>
          <w:spacing w:val="12"/>
        </w:rPr>
        <w:t xml:space="preserve"> </w:t>
      </w:r>
      <w:r>
        <w:rPr>
          <w:spacing w:val="43"/>
        </w:rPr>
        <w:t>定义。</w:t>
      </w:r>
    </w:p>
    <w:p>
      <w:pPr>
        <w:pStyle w:val="BodyText"/>
        <w:ind w:left="115" w:right="165"/>
        <w:spacing w:before="157" w:line="346" w:lineRule="auto"/>
        <w:rPr/>
      </w:pPr>
      <w:r>
        <w:rPr>
          <w:spacing w:val="15"/>
        </w:rPr>
        <w:t>2025年的爆发与成熟：进入2025年，趋势彻底明朗且高度一致，几乎所有顶级品牌的高珠</w:t>
      </w:r>
      <w:r>
        <w:rPr>
          <w:spacing w:val="14"/>
        </w:rPr>
        <w:t>系列</w:t>
      </w:r>
      <w:r>
        <w:rPr/>
        <w:t xml:space="preserve"> </w:t>
      </w:r>
      <w:r>
        <w:rPr>
          <w:spacing w:val="7"/>
        </w:rPr>
        <w:t>都围绕以下几大视觉语言：</w:t>
      </w:r>
    </w:p>
    <w:p>
      <w:pPr>
        <w:pStyle w:val="BodyText"/>
        <w:ind w:left="793" w:right="250" w:hanging="319"/>
        <w:spacing w:before="106" w:line="296" w:lineRule="auto"/>
        <w:rPr/>
      </w:pPr>
      <w:r>
        <w:rPr>
          <w:rFonts w:ascii="SimSun" w:hAnsi="SimSun" w:eastAsia="SimSun" w:cs="SimSun"/>
          <w:spacing w:val="11"/>
        </w:rPr>
        <w:t>1. </w:t>
      </w:r>
      <w:r>
        <w:rPr>
          <w:spacing w:val="11"/>
        </w:rPr>
        <w:t>色彩至上一不再是点缀，而是主体。帕拉伊巴碧玺、艳彩蓝钻、粉钻、祖母绿成为拍卖</w:t>
      </w:r>
      <w:r>
        <w:rPr>
          <w:spacing w:val="8"/>
        </w:rPr>
        <w:t xml:space="preserve">  </w:t>
      </w:r>
      <w:r>
        <w:rPr>
          <w:rFonts w:ascii="SimSun" w:hAnsi="SimSun" w:eastAsia="SimSun" w:cs="SimSun"/>
        </w:rPr>
        <w:t>Top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</w:rPr>
        <w:t>lot</w:t>
      </w:r>
      <w:r>
        <w:rPr>
          <w:spacing w:val="1"/>
        </w:rPr>
        <w:t>常客；品牌端</w:t>
      </w:r>
      <w:r>
        <w:rPr>
          <w:rFonts w:ascii="SimSun" w:hAnsi="SimSun" w:eastAsia="SimSun" w:cs="SimSun"/>
        </w:rPr>
        <w:t>Tiffany</w:t>
      </w:r>
      <w:r>
        <w:rPr>
          <w:spacing w:val="1"/>
        </w:rPr>
        <w:t>的海洋系列、</w:t>
      </w:r>
      <w:r>
        <w:rPr>
          <w:spacing w:val="-56"/>
        </w:rPr>
        <w:t xml:space="preserve"> </w:t>
      </w:r>
      <w:r>
        <w:rPr>
          <w:rFonts w:ascii="SimSun" w:hAnsi="SimSun" w:eastAsia="SimSun" w:cs="SimSun"/>
        </w:rPr>
        <w:t>Cartier</w:t>
      </w:r>
      <w:r>
        <w:rPr>
          <w:spacing w:val="1"/>
        </w:rPr>
        <w:t>的翠鸟红宝石、</w:t>
      </w:r>
      <w:r>
        <w:rPr>
          <w:spacing w:val="-63"/>
        </w:rPr>
        <w:t xml:space="preserve"> </w:t>
      </w:r>
      <w:r>
        <w:rPr>
          <w:rFonts w:ascii="SimSun" w:hAnsi="SimSun" w:eastAsia="SimSun" w:cs="SimSun"/>
        </w:rPr>
        <w:t>Bulgari</w:t>
      </w:r>
      <w:r>
        <w:rPr>
          <w:spacing w:val="1"/>
        </w:rPr>
        <w:t>的彩色蛇系列都</w:t>
      </w:r>
      <w:r>
        <w:rPr/>
        <w:t xml:space="preserve"> </w:t>
      </w:r>
      <w:r>
        <w:rPr>
          <w:spacing w:val="-16"/>
        </w:rPr>
        <w:t>以“饱和色块”冲击视觉。</w:t>
      </w:r>
    </w:p>
    <w:p>
      <w:pPr>
        <w:pStyle w:val="BodyText"/>
        <w:ind w:left="793" w:right="128" w:hanging="319"/>
        <w:spacing w:before="264" w:line="296" w:lineRule="auto"/>
        <w:rPr/>
      </w:pPr>
      <w:r>
        <w:rPr>
          <w:rFonts w:ascii="SimSun" w:hAnsi="SimSun" w:eastAsia="SimSun" w:cs="SimSun"/>
          <w:spacing w:val="10"/>
        </w:rPr>
        <w:t>2.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10"/>
        </w:rPr>
        <w:t>自然崇拜与动物叙事—</w:t>
      </w:r>
      <w:r>
        <w:rPr>
          <w:spacing w:val="-76"/>
        </w:rPr>
        <w:t xml:space="preserve"> </w:t>
      </w:r>
      <w:r>
        <w:rPr>
          <w:rFonts w:ascii="SimSun" w:hAnsi="SimSun" w:eastAsia="SimSun" w:cs="SimSun"/>
        </w:rPr>
        <w:t>Cartier</w:t>
      </w:r>
      <w:r>
        <w:rPr>
          <w:spacing w:val="10"/>
        </w:rPr>
        <w:t>的</w:t>
      </w:r>
      <w:r>
        <w:rPr>
          <w:rFonts w:ascii="SimSun" w:hAnsi="SimSun" w:eastAsia="SimSun" w:cs="SimSun"/>
        </w:rPr>
        <w:t>Nature</w:t>
      </w:r>
      <w:r>
        <w:rPr>
          <w:rFonts w:ascii="SimSun" w:hAnsi="SimSun" w:eastAsia="SimSun" w:cs="SimSun"/>
          <w:spacing w:val="35"/>
        </w:rPr>
        <w:t xml:space="preserve">  </w:t>
      </w:r>
      <w:r>
        <w:rPr>
          <w:rFonts w:ascii="SimSun" w:hAnsi="SimSun" w:eastAsia="SimSun" w:cs="SimSun"/>
        </w:rPr>
        <w:t>Sauvage</w:t>
      </w:r>
      <w:r>
        <w:rPr>
          <w:spacing w:val="10"/>
        </w:rPr>
        <w:t>被誉为近年最强系列之一，巨型可变形</w:t>
      </w:r>
      <w:r>
        <w:rPr>
          <w:spacing w:val="1"/>
        </w:rPr>
        <w:t xml:space="preserve"> </w:t>
      </w:r>
      <w:r>
        <w:rPr>
          <w:spacing w:val="2"/>
        </w:rPr>
        <w:t>豹子、翠鸟戒指；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</w:rPr>
        <w:t>Van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rFonts w:ascii="Times New Roman" w:hAnsi="Times New Roman" w:eastAsia="Times New Roman" w:cs="Times New Roman"/>
        </w:rPr>
        <w:t>Cleef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的龟、马赛克蓝宝石；</w:t>
      </w:r>
      <w:r>
        <w:rPr>
          <w:spacing w:val="2"/>
        </w:rPr>
        <w:t xml:space="preserve"> </w:t>
      </w:r>
      <w:r>
        <w:rPr>
          <w:rFonts w:ascii="Times New Roman" w:hAnsi="Times New Roman" w:eastAsia="Times New Roman" w:cs="Times New Roman"/>
        </w:rPr>
        <w:t>Boucheron</w:t>
      </w:r>
      <w:r>
        <w:rPr>
          <w:rFonts w:ascii="Times New Roman" w:hAnsi="Times New Roman" w:eastAsia="Times New Roman" w:cs="Times New Roman"/>
          <w:spacing w:val="2"/>
        </w:rPr>
        <w:t xml:space="preserve">    </w:t>
      </w:r>
      <w:r>
        <w:rPr>
          <w:spacing w:val="2"/>
        </w:rPr>
        <w:t>的动物与植物交织——动物</w:t>
      </w:r>
      <w:r>
        <w:rPr/>
        <w:t xml:space="preserve"> </w:t>
      </w:r>
      <w:r>
        <w:rPr>
          <w:spacing w:val="8"/>
        </w:rPr>
        <w:t>不再是装饰，而是拥有生命感的艺术主角。</w:t>
      </w:r>
    </w:p>
    <w:p>
      <w:pPr>
        <w:pStyle w:val="BodyText"/>
        <w:ind w:left="474"/>
        <w:spacing w:before="294" w:line="21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9"/>
        </w:rPr>
        <w:t>3.</w:t>
      </w:r>
      <w:r>
        <w:rPr>
          <w:rFonts w:ascii="SimSun" w:hAnsi="SimSun" w:eastAsia="SimSun" w:cs="SimSun"/>
          <w:spacing w:val="-17"/>
        </w:rPr>
        <w:t xml:space="preserve"> </w:t>
      </w:r>
      <w:r>
        <w:rPr>
          <w:spacing w:val="9"/>
        </w:rPr>
        <w:t>雕塑化与体积感一告别纤细，拥抱</w:t>
      </w:r>
      <w:r>
        <w:rPr>
          <w:rFonts w:ascii="SimSun" w:hAnsi="SimSun" w:eastAsia="SimSun" w:cs="SimSun"/>
        </w:rPr>
        <w:t>chunky</w:t>
      </w:r>
      <w:r>
        <w:rPr>
          <w:rFonts w:ascii="SimSun" w:hAnsi="SimSun" w:eastAsia="SimSun" w:cs="SimSun"/>
          <w:spacing w:val="9"/>
        </w:rPr>
        <w:t>、</w:t>
      </w:r>
      <w:r>
        <w:rPr>
          <w:rFonts w:ascii="SimSun" w:hAnsi="SimSun" w:eastAsia="SimSun" w:cs="SimSun"/>
        </w:rPr>
        <w:t>woven</w:t>
      </w:r>
      <w:r>
        <w:rPr>
          <w:rFonts w:ascii="SimSun" w:hAnsi="SimSun" w:eastAsia="SimSun" w:cs="SimSun"/>
          <w:spacing w:val="9"/>
        </w:rPr>
        <w:t>、</w:t>
      </w:r>
      <w:r>
        <w:rPr>
          <w:rFonts w:ascii="SimSun" w:hAnsi="SimSun" w:eastAsia="SimSun" w:cs="SimSun"/>
        </w:rPr>
        <w:t>textile</w:t>
      </w:r>
      <w:r>
        <w:rPr>
          <w:rFonts w:ascii="SimSun" w:hAnsi="SimSun" w:eastAsia="SimSun" w:cs="SimSun"/>
          <w:spacing w:val="9"/>
        </w:rPr>
        <w:t>-</w:t>
      </w:r>
      <w:r>
        <w:rPr>
          <w:rFonts w:ascii="SimSun" w:hAnsi="SimSun" w:eastAsia="SimSun" w:cs="SimSun"/>
        </w:rPr>
        <w:t>like</w:t>
      </w:r>
      <w:r>
        <w:rPr>
          <w:rFonts w:ascii="SimSun" w:hAnsi="SimSun" w:eastAsia="SimSun" w:cs="SimSun"/>
          <w:spacing w:val="9"/>
        </w:rPr>
        <w:t xml:space="preserve"> </w:t>
      </w:r>
      <w:r>
        <w:rPr>
          <w:spacing w:val="9"/>
        </w:rPr>
        <w:t>结构。</w:t>
      </w:r>
      <w:r>
        <w:rPr>
          <w:rFonts w:ascii="SimSun" w:hAnsi="SimSun" w:eastAsia="SimSun" w:cs="SimSun"/>
        </w:rPr>
        <w:t>Bulgari</w:t>
      </w:r>
      <w:r>
        <w:rPr>
          <w:rFonts w:ascii="SimSun" w:hAnsi="SimSun" w:eastAsia="SimSun" w:cs="SimSun"/>
          <w:spacing w:val="9"/>
        </w:rPr>
        <w:t>、</w:t>
      </w:r>
    </w:p>
    <w:p>
      <w:pPr>
        <w:pStyle w:val="BodyText"/>
        <w:ind w:left="794" w:right="78"/>
        <w:spacing w:before="134" w:line="280" w:lineRule="auto"/>
        <w:rPr/>
      </w:pPr>
      <w:r>
        <w:rPr>
          <w:rFonts w:ascii="Times New Roman" w:hAnsi="Times New Roman" w:eastAsia="Times New Roman" w:cs="Times New Roman"/>
        </w:rPr>
        <w:t>Chaumet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rFonts w:ascii="SimSun" w:hAnsi="SimSun" w:eastAsia="SimSun" w:cs="SimSun"/>
        </w:rPr>
        <w:t>、</w:t>
      </w:r>
      <w:r>
        <w:rPr>
          <w:rFonts w:ascii="Times New Roman" w:hAnsi="Times New Roman" w:eastAsia="Times New Roman" w:cs="Times New Roman"/>
        </w:rPr>
        <w:t>Boucheron       </w:t>
      </w:r>
      <w:r>
        <w:rPr/>
        <w:t>都在推“织物感”金链/宝石链；戒指、手镯普遍更厚重，强调手感与</w:t>
      </w:r>
      <w:r>
        <w:rPr/>
        <w:t xml:space="preserve"> </w:t>
      </w:r>
      <w:r>
        <w:rPr>
          <w:spacing w:val="3"/>
        </w:rPr>
        <w:t>存在感。</w:t>
      </w:r>
    </w:p>
    <w:p>
      <w:pPr>
        <w:pStyle w:val="BodyText"/>
        <w:ind w:left="474"/>
        <w:spacing w:before="272" w:line="221" w:lineRule="auto"/>
        <w:rPr/>
      </w:pPr>
      <w:r>
        <w:rPr>
          <w:rFonts w:ascii="SimSun" w:hAnsi="SimSun" w:eastAsia="SimSun" w:cs="SimSun"/>
          <w:spacing w:val="1"/>
        </w:rPr>
        <w:t>4.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1"/>
        </w:rPr>
        <w:t>可转换工艺极致化一高定件几乎必备“多形态”功能：项链→手镯</w:t>
      </w:r>
      <w:r>
        <w:rPr/>
        <w:t>→胸针、耳环→吊坠等。</w:t>
      </w:r>
    </w:p>
    <w:p>
      <w:pPr>
        <w:pStyle w:val="BodyText"/>
        <w:ind w:left="794" w:right="252"/>
        <w:spacing w:before="123" w:line="288" w:lineRule="auto"/>
        <w:rPr/>
      </w:pPr>
      <w:r>
        <w:rPr>
          <w:rFonts w:ascii="Arial" w:hAnsi="Arial" w:eastAsia="Arial" w:cs="Arial"/>
        </w:rPr>
        <w:t>Van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rFonts w:ascii="Arial" w:hAnsi="Arial" w:eastAsia="Arial" w:cs="Arial"/>
        </w:rPr>
        <w:t>Cleef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spacing w:val="6"/>
        </w:rPr>
        <w:t>的组合件、</w:t>
      </w:r>
      <w:r>
        <w:rPr>
          <w:rFonts w:ascii="Arial" w:hAnsi="Arial" w:eastAsia="Arial" w:cs="Arial"/>
        </w:rPr>
        <w:t>Cartier</w:t>
      </w:r>
      <w:r>
        <w:rPr>
          <w:rFonts w:ascii="Arial" w:hAnsi="Arial" w:eastAsia="Arial" w:cs="Arial"/>
          <w:spacing w:val="52"/>
          <w:w w:val="101"/>
        </w:rPr>
        <w:t xml:space="preserve"> </w:t>
      </w:r>
      <w:r>
        <w:rPr>
          <w:spacing w:val="6"/>
        </w:rPr>
        <w:t>的拆卸豹头、</w:t>
      </w:r>
      <w:r>
        <w:rPr>
          <w:spacing w:val="-65"/>
        </w:rPr>
        <w:t xml:space="preserve"> </w:t>
      </w:r>
      <w:r>
        <w:rPr>
          <w:rFonts w:ascii="Arial" w:hAnsi="Arial" w:eastAsia="Arial" w:cs="Arial"/>
        </w:rPr>
        <w:t>Tiffany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spacing w:val="6"/>
        </w:rPr>
        <w:t>的巨型可拆翼状项链，都将复杂金工推</w:t>
      </w:r>
      <w:r>
        <w:rPr/>
        <w:t xml:space="preserve"> </w:t>
      </w:r>
      <w:r>
        <w:rPr>
          <w:spacing w:val="1"/>
        </w:rPr>
        <w:t>向新高度。</w:t>
      </w:r>
    </w:p>
    <w:p>
      <w:pPr>
        <w:pStyle w:val="BodyText"/>
        <w:ind w:left="793" w:right="131" w:hanging="319"/>
        <w:spacing w:before="274" w:line="265" w:lineRule="auto"/>
        <w:rPr/>
      </w:pPr>
      <w:r>
        <w:rPr>
          <w:rFonts w:ascii="SimSun" w:hAnsi="SimSun" w:eastAsia="SimSun" w:cs="SimSun"/>
          <w:spacing w:val="12"/>
        </w:rPr>
        <w:t>5.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12"/>
        </w:rPr>
        <w:t>可持续叙事渗透顶级市场一虽然顶级拍卖仍以天然巨石为主，但品牌宣</w:t>
      </w:r>
      <w:r>
        <w:rPr>
          <w:spacing w:val="11"/>
        </w:rPr>
        <w:t>传中越来越多提及</w:t>
      </w:r>
      <w:r>
        <w:rPr/>
        <w:t xml:space="preserve"> </w:t>
      </w:r>
      <w:r>
        <w:rPr>
          <w:spacing w:val="8"/>
        </w:rPr>
        <w:t>实验室彩钻、伦理</w:t>
      </w:r>
      <w:r>
        <w:rPr>
          <w:rFonts w:ascii="Times New Roman" w:hAnsi="Times New Roman" w:eastAsia="Times New Roman" w:cs="Times New Roman"/>
        </w:rPr>
        <w:t>sourcing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rFonts w:ascii="SimSun" w:hAnsi="SimSun" w:eastAsia="SimSun" w:cs="SimSun"/>
          <w:spacing w:val="8"/>
        </w:rPr>
        <w:t>、  </w:t>
      </w:r>
      <w:r>
        <w:rPr>
          <w:spacing w:val="8"/>
        </w:rPr>
        <w:t>回收金。年轻高净值客户对</w:t>
      </w:r>
      <w:r>
        <w:rPr>
          <w:spacing w:val="7"/>
        </w:rPr>
        <w:t>此响应强烈。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18"/>
        <w:spacing w:before="75" w:line="221" w:lineRule="auto"/>
        <w:rPr/>
      </w:pPr>
      <w:r>
        <w:rPr>
          <w:b/>
          <w:bCs/>
          <w:spacing w:val="2"/>
        </w:rPr>
        <w:t>拍卖市场印证趋势：</w:t>
      </w:r>
    </w:p>
    <w:p>
      <w:pPr>
        <w:pStyle w:val="BodyText"/>
        <w:ind w:left="474"/>
        <w:spacing w:before="299" w:line="213" w:lineRule="auto"/>
        <w:rPr/>
      </w:pPr>
      <w:r>
        <w:rPr>
          <w:spacing w:val="2"/>
        </w:rPr>
        <w:t>·</w:t>
      </w:r>
      <w:r>
        <w:rPr>
          <w:spacing w:val="-75"/>
        </w:rPr>
        <w:t xml:space="preserve"> </w:t>
      </w:r>
      <w:r>
        <w:rPr>
          <w:spacing w:val="2"/>
        </w:rPr>
        <w:t>2025年</w:t>
      </w:r>
      <w:r>
        <w:rPr>
          <w:rFonts w:ascii="SimSun" w:hAnsi="SimSun" w:eastAsia="SimSun" w:cs="SimSun"/>
        </w:rPr>
        <w:t>Christie</w:t>
      </w:r>
      <w:r>
        <w:rPr>
          <w:rFonts w:ascii="SimSun" w:hAnsi="SimSun" w:eastAsia="SimSun" w:cs="SimSun"/>
          <w:spacing w:val="2"/>
        </w:rPr>
        <w:t>'s</w:t>
      </w:r>
      <w:r>
        <w:rPr>
          <w:spacing w:val="2"/>
        </w:rPr>
        <w:t>多件</w:t>
      </w:r>
      <w:r>
        <w:rPr>
          <w:rFonts w:ascii="SimSun" w:hAnsi="SimSun" w:eastAsia="SimSun" w:cs="SimSun"/>
        </w:rPr>
        <w:t>Tiffany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</w:rPr>
        <w:t>Paraiba</w:t>
      </w:r>
      <w:r>
        <w:rPr>
          <w:spacing w:val="2"/>
        </w:rPr>
        <w:t>碧玺套装超估价10倍成交，创品</w:t>
      </w:r>
      <w:r>
        <w:rPr>
          <w:spacing w:val="1"/>
        </w:rPr>
        <w:t>种世界纪录。</w:t>
      </w:r>
    </w:p>
    <w:p>
      <w:pPr>
        <w:pStyle w:val="BodyText"/>
        <w:ind w:left="544"/>
        <w:spacing w:before="270" w:line="212" w:lineRule="auto"/>
        <w:rPr/>
      </w:pPr>
      <w:r>
        <w:rPr>
          <w:rFonts w:ascii="Times New Roman" w:hAnsi="Times New Roman" w:eastAsia="Times New Roman" w:cs="Times New Roman"/>
          <w:spacing w:val="2"/>
        </w:rPr>
        <w:t>·</w:t>
      </w:r>
      <w:r>
        <w:rPr>
          <w:rFonts w:ascii="Times New Roman" w:hAnsi="Times New Roman" w:eastAsia="Times New Roman" w:cs="Times New Roman"/>
        </w:rPr>
        <w:t>Sotheby</w:t>
      </w:r>
      <w:r>
        <w:rPr>
          <w:rFonts w:ascii="Times New Roman" w:hAnsi="Times New Roman" w:eastAsia="Times New Roman" w:cs="Times New Roman"/>
          <w:spacing w:val="2"/>
        </w:rPr>
        <w:t>'s    </w:t>
      </w:r>
      <w:r>
        <w:rPr>
          <w:spacing w:val="2"/>
        </w:rPr>
        <w:t>蓝钻、粉钻屡破千万美元，</w:t>
      </w:r>
      <w:r>
        <w:rPr>
          <w:spacing w:val="1"/>
        </w:rPr>
        <w:t>证明市场对“颜色+稀有度”的极致偏好。</w:t>
      </w:r>
    </w:p>
    <w:p>
      <w:pPr>
        <w:pStyle w:val="BodyText"/>
        <w:ind w:left="624" w:right="65" w:hanging="150"/>
        <w:spacing w:before="257" w:line="285" w:lineRule="auto"/>
        <w:rPr/>
      </w:pPr>
      <w:r>
        <w:rPr>
          <w:spacing w:val="6"/>
        </w:rPr>
        <w:t>·</w:t>
      </w:r>
      <w:r>
        <w:rPr>
          <w:spacing w:val="-73"/>
        </w:rPr>
        <w:t xml:space="preserve"> </w:t>
      </w:r>
      <w:r>
        <w:rPr>
          <w:spacing w:val="6"/>
        </w:rPr>
        <w:t>历史名品(如</w:t>
      </w:r>
      <w:r>
        <w:rPr>
          <w:rFonts w:ascii="Arial" w:hAnsi="Arial" w:eastAsia="Arial" w:cs="Arial"/>
        </w:rPr>
        <w:t>Faberg</w:t>
      </w:r>
      <w:r>
        <w:rPr>
          <w:rFonts w:ascii="Arial" w:hAnsi="Arial" w:eastAsia="Arial" w:cs="Arial"/>
          <w:spacing w:val="6"/>
        </w:rPr>
        <w:t>é</w:t>
      </w:r>
      <w:r>
        <w:rPr>
          <w:rFonts w:ascii="Arial" w:hAnsi="Arial" w:eastAsia="Arial" w:cs="Arial"/>
          <w:spacing w:val="18"/>
          <w:w w:val="101"/>
        </w:rPr>
        <w:t xml:space="preserve"> </w:t>
      </w:r>
      <w:r>
        <w:rPr>
          <w:spacing w:val="6"/>
        </w:rPr>
        <w:t>蛋、皇室珠宝)与当代高定并驾齐驱，显示收藏者对“故事+工艺</w:t>
      </w:r>
      <w:r>
        <w:rPr>
          <w:spacing w:val="5"/>
        </w:rPr>
        <w:t>”双重</w:t>
      </w:r>
      <w:r>
        <w:rPr/>
        <w:t xml:space="preserve"> </w:t>
      </w:r>
      <w:r>
        <w:rPr>
          <w:spacing w:val="7"/>
        </w:rPr>
        <w:t>价值的认可。</w:t>
      </w:r>
    </w:p>
    <w:p>
      <w:pPr>
        <w:spacing w:line="285" w:lineRule="auto"/>
        <w:sectPr>
          <w:headerReference w:type="default" r:id="rId1"/>
          <w:pgSz w:w="12240" w:h="15840"/>
          <w:pgMar w:top="1260" w:right="1000" w:bottom="0" w:left="855" w:header="1249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20"/>
        <w:spacing w:before="78" w:line="328" w:lineRule="auto"/>
        <w:rPr>
          <w:sz w:val="24"/>
          <w:szCs w:val="24"/>
        </w:rPr>
      </w:pPr>
      <w:r>
        <w:rPr>
          <w:sz w:val="24"/>
          <w:szCs w:val="24"/>
          <w:spacing w:val="-10"/>
        </w:rPr>
        <w:t>总体而言，近三年高奢珠宝已从“戴在身上”的饰品，升级为“讲述</w:t>
      </w:r>
      <w:r>
        <w:rPr>
          <w:sz w:val="24"/>
          <w:szCs w:val="24"/>
          <w:spacing w:val="-11"/>
        </w:rPr>
        <w:t>自我与时代”的可穿戴艺术品。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5"/>
        </w:rPr>
        <w:t>未来1-2年，这一“叙事驱动+大胆视觉”的方向预计仍将持续主导，甚至可能进一步放大体积与色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彩强度。</w:t>
      </w:r>
    </w:p>
    <w:p>
      <w:pPr>
        <w:spacing w:before="144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Key Citations:</w:t>
      </w:r>
    </w:p>
    <w:p>
      <w:pPr>
        <w:ind w:left="369"/>
        <w:spacing w:before="23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·Forbes:Fine   Jewelry   Trends   Autumn/Winter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 xml:space="preserve"> 2025-</w:t>
      </w:r>
    </w:p>
    <w:p>
      <w:pPr>
        <w:ind w:left="509" w:right="1008"/>
        <w:spacing w:before="92" w:line="334" w:lineRule="auto"/>
        <w:rPr>
          <w:rFonts w:ascii="Arial" w:hAnsi="Arial" w:eastAsia="Arial" w:cs="Arial"/>
          <w:sz w:val="24"/>
          <w:szCs w:val="24"/>
        </w:rPr>
      </w:pPr>
      <w:hyperlink w:history="true" r:id="rId3">
        <w:r>
          <w:rPr>
            <w:rFonts w:ascii="Arial" w:hAnsi="Arial" w:eastAsia="Arial" w:cs="Arial"/>
            <w:sz w:val="24"/>
            <w:szCs w:val="24"/>
          </w:rPr>
          <w:t>https://www.forbes.com/sites/laiafarrangraves/2025/11/27/t</w:t>
        </w:r>
        <w:r>
          <w:rPr>
            <w:rFonts w:ascii="Arial" w:hAnsi="Arial" w:eastAsia="Arial" w:cs="Arial"/>
            <w:sz w:val="24"/>
            <w:szCs w:val="24"/>
            <w:spacing w:val="-1"/>
          </w:rPr>
          <w:t>he-fine-jewelry-trends</w:t>
        </w:r>
      </w:hyperlink>
      <w:r>
        <w:rPr>
          <w:rFonts w:ascii="Arial" w:hAnsi="Arial" w:eastAsia="Arial" w:cs="Arial"/>
          <w:sz w:val="24"/>
          <w:szCs w:val="24"/>
          <w:spacing w:val="-1"/>
        </w:rPr>
        <w:t>-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redefining-luxury-i</w:t>
      </w:r>
      <w:r>
        <w:rPr>
          <w:rFonts w:ascii="Arial" w:hAnsi="Arial" w:eastAsia="Arial" w:cs="Arial"/>
          <w:sz w:val="24"/>
          <w:szCs w:val="24"/>
          <w:spacing w:val="-1"/>
        </w:rPr>
        <w:t>n-autumnwinter-2025</w:t>
      </w:r>
    </w:p>
    <w:p>
      <w:pPr>
        <w:ind w:left="369"/>
        <w:spacing w:before="20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·Wallpaper*:A/W  2025</w:t>
      </w:r>
      <w:r>
        <w:rPr>
          <w:rFonts w:ascii="Arial" w:hAnsi="Arial" w:eastAsia="Arial" w:cs="Arial"/>
          <w:sz w:val="24"/>
          <w:szCs w:val="24"/>
          <w:spacing w:val="1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high  jewellery   is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bold  and  very   modern-</w:t>
      </w:r>
    </w:p>
    <w:p>
      <w:pPr>
        <w:ind w:left="509"/>
        <w:spacing w:before="102" w:line="328" w:lineRule="exact"/>
        <w:rPr>
          <w:rFonts w:ascii="Arial" w:hAnsi="Arial" w:eastAsia="Arial" w:cs="Arial"/>
          <w:sz w:val="24"/>
          <w:szCs w:val="24"/>
        </w:rPr>
      </w:pPr>
      <w:hyperlink w:history="true" r:id="rId4">
        <w:r>
          <w:rPr>
            <w:rFonts w:ascii="Arial" w:hAnsi="Arial" w:eastAsia="Arial" w:cs="Arial"/>
            <w:sz w:val="24"/>
            <w:szCs w:val="24"/>
            <w:position w:val="4"/>
          </w:rPr>
          <w:t>https://www.wallpaper.com/watches-jewellery/high-jeweller</w:t>
        </w:r>
        <w:r>
          <w:rPr>
            <w:rFonts w:ascii="Arial" w:hAnsi="Arial" w:eastAsia="Arial" w:cs="Arial"/>
            <w:sz w:val="24"/>
            <w:szCs w:val="24"/>
            <w:spacing w:val="-1"/>
            <w:position w:val="4"/>
          </w:rPr>
          <w:t>y/high-jewellery-2025</w:t>
        </w:r>
      </w:hyperlink>
    </w:p>
    <w:p>
      <w:pPr>
        <w:ind w:left="509" w:right="1429" w:hanging="140"/>
        <w:spacing w:before="203" w:line="32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·W  Magazine:The  5  Biggest  High  Jewelry  Trend</w:t>
      </w:r>
      <w:r>
        <w:rPr>
          <w:rFonts w:ascii="Arial" w:hAnsi="Arial" w:eastAsia="Arial" w:cs="Arial"/>
          <w:sz w:val="24"/>
          <w:szCs w:val="24"/>
          <w:spacing w:val="-2"/>
        </w:rPr>
        <w:t>s  at  Couture  Week  2025-</w:t>
      </w:r>
      <w:r>
        <w:rPr>
          <w:rFonts w:ascii="Arial" w:hAnsi="Arial" w:eastAsia="Arial" w:cs="Arial"/>
          <w:sz w:val="24"/>
          <w:szCs w:val="24"/>
        </w:rPr>
        <w:t xml:space="preserve"> </w:t>
      </w:r>
      <w:hyperlink w:history="true" r:id="rId5">
        <w:r>
          <w:rPr>
            <w:rFonts w:ascii="Arial" w:hAnsi="Arial" w:eastAsia="Arial" w:cs="Arial"/>
            <w:sz w:val="24"/>
            <w:szCs w:val="24"/>
          </w:rPr>
          <w:t>https://www.wmagazine.com/fashion/high-jewelr</w:t>
        </w:r>
        <w:r>
          <w:rPr>
            <w:rFonts w:ascii="Arial" w:hAnsi="Arial" w:eastAsia="Arial" w:cs="Arial"/>
            <w:sz w:val="24"/>
            <w:szCs w:val="24"/>
            <w:spacing w:val="-1"/>
          </w:rPr>
          <w:t>y-trends-2025-couture</w:t>
        </w:r>
      </w:hyperlink>
    </w:p>
    <w:p>
      <w:pPr>
        <w:ind w:left="509" w:right="1059" w:hanging="140"/>
        <w:spacing w:before="212" w:line="32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·Harper's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Bazaar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Singapore:Most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Dazzling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High  Jewellery   Col</w:t>
      </w:r>
      <w:r>
        <w:rPr>
          <w:rFonts w:ascii="Arial" w:hAnsi="Arial" w:eastAsia="Arial" w:cs="Arial"/>
          <w:sz w:val="24"/>
          <w:szCs w:val="24"/>
          <w:spacing w:val="-2"/>
        </w:rPr>
        <w:t>lections  2025-</w:t>
      </w:r>
      <w:r>
        <w:rPr>
          <w:rFonts w:ascii="Arial" w:hAnsi="Arial" w:eastAsia="Arial" w:cs="Arial"/>
          <w:sz w:val="24"/>
          <w:szCs w:val="24"/>
        </w:rPr>
        <w:t xml:space="preserve"> </w:t>
      </w:r>
      <w:hyperlink w:history="true" r:id="rId6">
        <w:r>
          <w:rPr>
            <w:rFonts w:ascii="Arial" w:hAnsi="Arial" w:eastAsia="Arial" w:cs="Arial"/>
            <w:sz w:val="24"/>
            <w:szCs w:val="24"/>
          </w:rPr>
          <w:t>https://www.harpersbazaar.com.sg/jewels-watches/jewe</w:t>
        </w:r>
        <w:r>
          <w:rPr>
            <w:rFonts w:ascii="Arial" w:hAnsi="Arial" w:eastAsia="Arial" w:cs="Arial"/>
            <w:sz w:val="24"/>
            <w:szCs w:val="24"/>
            <w:spacing w:val="-1"/>
          </w:rPr>
          <w:t>llery/high-jewellery</w:t>
        </w:r>
      </w:hyperlink>
      <w:r>
        <w:rPr>
          <w:rFonts w:ascii="Arial" w:hAnsi="Arial" w:eastAsia="Arial" w:cs="Arial"/>
          <w:sz w:val="24"/>
          <w:szCs w:val="24"/>
          <w:spacing w:val="-1"/>
        </w:rPr>
        <w:t>-</w:t>
      </w:r>
    </w:p>
    <w:p>
      <w:pPr>
        <w:ind w:left="509"/>
        <w:spacing w:before="10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1"/>
        </w:rPr>
        <w:t>collections-2025</w:t>
      </w:r>
    </w:p>
    <w:p>
      <w:pPr>
        <w:ind w:left="509" w:right="49" w:hanging="140"/>
        <w:spacing w:before="196" w:line="32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·Robb     Report:Best     in     Jewellery      2025-</w:t>
      </w:r>
      <w:hyperlink w:history="true" r:id="rId7">
        <w:r>
          <w:rPr>
            <w:rFonts w:ascii="Arial" w:hAnsi="Arial" w:eastAsia="Arial" w:cs="Arial"/>
            <w:sz w:val="24"/>
            <w:szCs w:val="24"/>
            <w:spacing w:val="-1"/>
          </w:rPr>
          <w:t>https://robbreport.hk/posts/best-in-jewellery-</w:t>
        </w:r>
      </w:hyperlink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hyperlink w:history="true" r:id="rId7">
        <w:r>
          <w:rPr>
            <w:rFonts w:ascii="Arial" w:hAnsi="Arial" w:eastAsia="Arial" w:cs="Arial"/>
            <w:sz w:val="24"/>
            <w:szCs w:val="24"/>
          </w:rPr>
          <w:t>2025-louis-vuitton-van-cleef-arpels-cartier-wellendor</w:t>
        </w:r>
        <w:r>
          <w:rPr>
            <w:rFonts w:ascii="Arial" w:hAnsi="Arial" w:eastAsia="Arial" w:cs="Arial"/>
            <w:sz w:val="24"/>
            <w:szCs w:val="24"/>
            <w:spacing w:val="-1"/>
          </w:rPr>
          <w:t>ff</w:t>
        </w:r>
      </w:hyperlink>
    </w:p>
    <w:p>
      <w:pPr>
        <w:ind w:left="369"/>
        <w:spacing w:before="217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3"/>
        </w:rPr>
        <w:t>·Christie's</w:t>
      </w:r>
      <w:r>
        <w:rPr>
          <w:rFonts w:ascii="Arial" w:hAnsi="Arial" w:eastAsia="Arial" w:cs="Arial"/>
          <w:sz w:val="24"/>
          <w:szCs w:val="24"/>
          <w:spacing w:val="33"/>
          <w:w w:val="101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Press:Magnificent</w:t>
      </w:r>
      <w:r>
        <w:rPr>
          <w:rFonts w:ascii="Arial" w:hAnsi="Arial" w:eastAsia="Arial" w:cs="Arial"/>
          <w:sz w:val="24"/>
          <w:szCs w:val="24"/>
          <w:spacing w:val="21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Jewels</w:t>
      </w:r>
      <w:r>
        <w:rPr>
          <w:rFonts w:ascii="Arial" w:hAnsi="Arial" w:eastAsia="Arial" w:cs="Arial"/>
          <w:sz w:val="24"/>
          <w:szCs w:val="24"/>
          <w:spacing w:val="23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$46.5M</w:t>
      </w:r>
      <w:r>
        <w:rPr>
          <w:rFonts w:ascii="Arial" w:hAnsi="Arial" w:eastAsia="Arial" w:cs="Arial"/>
          <w:sz w:val="24"/>
          <w:szCs w:val="24"/>
          <w:spacing w:val="18"/>
          <w:w w:val="101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with</w:t>
      </w:r>
      <w:r>
        <w:rPr>
          <w:rFonts w:ascii="Arial" w:hAnsi="Arial" w:eastAsia="Arial" w:cs="Arial"/>
          <w:sz w:val="24"/>
          <w:szCs w:val="24"/>
          <w:spacing w:val="27"/>
          <w:w w:val="101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Paraiba</w:t>
      </w:r>
      <w:r>
        <w:rPr>
          <w:rFonts w:ascii="Arial" w:hAnsi="Arial" w:eastAsia="Arial" w:cs="Arial"/>
          <w:sz w:val="24"/>
          <w:szCs w:val="24"/>
          <w:spacing w:val="27"/>
          <w:w w:val="101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Record-</w:t>
      </w:r>
    </w:p>
    <w:p>
      <w:pPr>
        <w:ind w:left="509"/>
        <w:spacing w:before="92" w:line="328" w:lineRule="exact"/>
        <w:rPr>
          <w:rFonts w:ascii="Arial" w:hAnsi="Arial" w:eastAsia="Arial" w:cs="Arial"/>
          <w:sz w:val="24"/>
          <w:szCs w:val="24"/>
        </w:rPr>
      </w:pPr>
      <w:hyperlink w:history="true" r:id="rId8">
        <w:r>
          <w:rPr>
            <w:rFonts w:ascii="Arial" w:hAnsi="Arial" w:eastAsia="Arial" w:cs="Arial"/>
            <w:sz w:val="24"/>
            <w:szCs w:val="24"/>
            <w:position w:val="4"/>
          </w:rPr>
          <w:t>https://press.christies.com/christies-magnificent-jewels</w:t>
        </w:r>
        <w:r>
          <w:rPr>
            <w:rFonts w:ascii="Arial" w:hAnsi="Arial" w:eastAsia="Arial" w:cs="Arial"/>
            <w:sz w:val="24"/>
            <w:szCs w:val="24"/>
            <w:spacing w:val="-1"/>
            <w:position w:val="4"/>
          </w:rPr>
          <w:t>-achieves-465-million</w:t>
        </w:r>
      </w:hyperlink>
    </w:p>
    <w:p>
      <w:pPr>
        <w:ind w:left="509" w:hanging="140"/>
        <w:spacing w:before="213" w:line="32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·Rapaport:Top    Auction      Jewels     of     2</w:t>
      </w:r>
      <w:r>
        <w:rPr>
          <w:rFonts w:ascii="Arial" w:hAnsi="Arial" w:eastAsia="Arial" w:cs="Arial"/>
          <w:sz w:val="24"/>
          <w:szCs w:val="24"/>
          <w:spacing w:val="-1"/>
        </w:rPr>
        <w:t>025-</w:t>
      </w:r>
      <w:hyperlink w:history="true" r:id="rId9">
        <w:r>
          <w:rPr>
            <w:rFonts w:ascii="Arial" w:hAnsi="Arial" w:eastAsia="Arial" w:cs="Arial"/>
            <w:sz w:val="24"/>
            <w:szCs w:val="24"/>
            <w:spacing w:val="-1"/>
          </w:rPr>
          <w:t>https://rapaport.com/news/a-glittering-year</w:t>
        </w:r>
      </w:hyperlink>
      <w:r>
        <w:rPr>
          <w:rFonts w:ascii="Arial" w:hAnsi="Arial" w:eastAsia="Arial" w:cs="Arial"/>
          <w:sz w:val="24"/>
          <w:szCs w:val="24"/>
          <w:spacing w:val="-1"/>
        </w:rPr>
        <w:t>-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at-christies-the-top-auction-je</w:t>
      </w:r>
      <w:r>
        <w:rPr>
          <w:rFonts w:ascii="Arial" w:hAnsi="Arial" w:eastAsia="Arial" w:cs="Arial"/>
          <w:sz w:val="24"/>
          <w:szCs w:val="24"/>
          <w:spacing w:val="-1"/>
        </w:rPr>
        <w:t>wels-of-2025</w:t>
      </w:r>
    </w:p>
    <w:p>
      <w:pPr>
        <w:ind w:left="369"/>
        <w:spacing w:before="20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·Sotheby's:High</w:t>
      </w:r>
      <w:r>
        <w:rPr>
          <w:rFonts w:ascii="Arial" w:hAnsi="Arial" w:eastAsia="Arial" w:cs="Arial"/>
          <w:sz w:val="24"/>
          <w:szCs w:val="24"/>
          <w:spacing w:val="17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Jewelry</w:t>
      </w:r>
      <w:r>
        <w:rPr>
          <w:rFonts w:ascii="Arial" w:hAnsi="Arial" w:eastAsia="Arial" w:cs="Arial"/>
          <w:sz w:val="24"/>
          <w:szCs w:val="24"/>
          <w:spacing w:val="14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Auc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tions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2025-</w:t>
      </w:r>
    </w:p>
    <w:p>
      <w:pPr>
        <w:ind w:left="509"/>
        <w:spacing w:before="93" w:line="327" w:lineRule="exact"/>
        <w:rPr>
          <w:rFonts w:ascii="Arial" w:hAnsi="Arial" w:eastAsia="Arial" w:cs="Arial"/>
          <w:sz w:val="24"/>
          <w:szCs w:val="24"/>
        </w:rPr>
      </w:pPr>
      <w:hyperlink w:history="true" r:id="rId10">
        <w:r>
          <w:rPr>
            <w:rFonts w:ascii="Arial" w:hAnsi="Arial" w:eastAsia="Arial" w:cs="Arial"/>
            <w:sz w:val="24"/>
            <w:szCs w:val="24"/>
            <w:position w:val="4"/>
          </w:rPr>
          <w:t>https://www.sothebys.com/en/buy/auction/20</w:t>
        </w:r>
        <w:r>
          <w:rPr>
            <w:rFonts w:ascii="Arial" w:hAnsi="Arial" w:eastAsia="Arial" w:cs="Arial"/>
            <w:sz w:val="24"/>
            <w:szCs w:val="24"/>
            <w:spacing w:val="-1"/>
            <w:position w:val="4"/>
          </w:rPr>
          <w:t>25/high-jewelry-ge2505</w:t>
        </w:r>
      </w:hyperlink>
    </w:p>
    <w:sectPr>
      <w:headerReference w:type="default" r:id="rId2"/>
      <w:pgSz w:w="12240" w:h="15840"/>
      <w:pgMar w:top="400" w:right="1132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622335</wp:posOffset>
          </wp:positionH>
          <wp:positionV relativeFrom="page">
            <wp:posOffset>793708</wp:posOffset>
          </wp:positionV>
          <wp:extent cx="6515058" cy="6437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15058" cy="6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rapaport.com/news/a-glittering-year" TargetMode="External"/><Relationship Id="rId8" Type="http://schemas.openxmlformats.org/officeDocument/2006/relationships/hyperlink" Target="https://press.christies.com/christies-magnificent-jewels-achieves-465-million" TargetMode="External"/><Relationship Id="rId7" Type="http://schemas.openxmlformats.org/officeDocument/2006/relationships/hyperlink" Target="https://robbreport.hk/posts/best-in-jewellery-2025-louis-vuitton-van-cleef-arpels-cartier-wellendorff" TargetMode="External"/><Relationship Id="rId6" Type="http://schemas.openxmlformats.org/officeDocument/2006/relationships/hyperlink" Target="https://www.harpersbazaar.com.sg/jewels-watches/jewellery/high-jewellery" TargetMode="External"/><Relationship Id="rId5" Type="http://schemas.openxmlformats.org/officeDocument/2006/relationships/hyperlink" Target="https://www.wmagazine.com/fashion/high-jewelry-trends-2025-couture" TargetMode="External"/><Relationship Id="rId4" Type="http://schemas.openxmlformats.org/officeDocument/2006/relationships/hyperlink" Target="https://www.wallpaper.com/watches-jewellery/high-jewellery/high-jewellery-2025" TargetMode="External"/><Relationship Id="rId3" Type="http://schemas.openxmlformats.org/officeDocument/2006/relationships/hyperlink" Target="https://www.forbes.com/sites/laiafarrangraves/2025/11/27/the-fine-jewelry-trends" TargetMode="External"/><Relationship Id="rId2" Type="http://schemas.openxmlformats.org/officeDocument/2006/relationships/header" Target="header2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hyperlink" Target="https://www.sothebys.com/en/buy/auction/2025/high-jewelry-ge2505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2026-03-16T00:00:35</vt:filetime>
  </property>
  <property fmtid="{D5CDD505-2E9C-101B-9397-08002B2CF9AE}" pid="4" name="UsrData">
    <vt:lpwstr>69b6d7a0115626001f4cb213wl</vt:lpwstr>
  </property>
</Properties>
</file>