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B1C56">
      <w:pPr>
        <w:spacing w:after="0" w:line="360" w:lineRule="auto"/>
      </w:pPr>
    </w:p>
    <w:p w14:paraId="658797BF">
      <w:pPr>
        <w:spacing w:before="315" w:after="105" w:line="360" w:lineRule="auto"/>
        <w:ind w:left="-30"/>
        <w:jc w:val="left"/>
      </w:pPr>
      <w:bookmarkStart w:id="0" w:name="一_ai_在教育中的应用概况"/>
      <w:r>
        <w:rPr>
          <w:rFonts w:ascii="Georgia" w:hAnsi="Georgia" w:eastAsia="Georgia" w:cs="Georgia"/>
          <w:b/>
          <w:color w:val="000000"/>
          <w:sz w:val="24"/>
        </w:rPr>
        <w:t>一、AI 在教育中的应用概况</w:t>
      </w:r>
      <w:bookmarkEnd w:id="0"/>
    </w:p>
    <w:p w14:paraId="491E3BA3">
      <w:pPr>
        <w:spacing w:after="210" w:line="360" w:lineRule="auto"/>
      </w:pPr>
      <w:r>
        <w:rPr>
          <w:rFonts w:ascii="Georgia" w:hAnsi="Georgia" w:eastAsia="Georgia" w:cs="Georgia"/>
          <w:color w:val="000000"/>
        </w:rPr>
        <w:t>总体来看，人工智能已经渗透到从基础教育到高等教育的各个阶段，常见用途包括个性化学习、智能辅导、自动批改、学习分析和教学管理等。 自适应学习平台和智能辅导系统会根据学生的作答记录、学习速度和错误类型，动态调整练习难度、呈现方式和反馈内容，从而更有针对性地帮助学生弥补薄弱环节。</w:t>
      </w:r>
      <w:bookmarkStart w:id="1" w:name="fnref1"/>
      <w:bookmarkEnd w:id="1"/>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2" w:name="fnref2"/>
      <w:bookmarkEnd w:id="2"/>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3" w:name="fnref3"/>
      <w:bookmarkEnd w:id="3"/>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4" w:name="fnref4"/>
      <w:bookmarkEnd w:id="4"/>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75" w:name="_GoBack"/>
      <w:bookmarkEnd w:id="75"/>
    </w:p>
    <w:p w14:paraId="33AE315E">
      <w:pPr>
        <w:spacing w:after="210" w:line="360" w:lineRule="auto"/>
      </w:pPr>
      <w:r>
        <w:rPr>
          <w:rFonts w:ascii="Georgia" w:hAnsi="Georgia" w:eastAsia="Georgia" w:cs="Georgia"/>
          <w:color w:val="000000"/>
        </w:rPr>
        <w:t>在高校和大规模在线课程中，AI 自动批改和智能评估工具被广泛使用，可以在短时间内完成大量作业或试卷的批改，并根据统一标准提供更一致的评分和反馈。 一些系统还能持续追踪学生在不同课程或作业中的表现，为教师提供学习数据分析，帮助他们了解班级整体情况和个体差异，支持教学决策和课程改进。</w:t>
      </w:r>
      <w:bookmarkStart w:id="5" w:name="fnref5"/>
      <w:bookmarkEnd w:id="5"/>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6" w:name="fnref6"/>
      <w:bookmarkEnd w:id="6"/>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bookmarkStart w:id="7" w:name="fnref7"/>
      <w:bookmarkEnd w:id="7"/>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8" w:name="fnref8"/>
      <w:bookmarkEnd w:id="8"/>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9" w:name="fnref4_1"/>
      <w:bookmarkEnd w:id="9"/>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p>
    <w:p w14:paraId="6FE703FB">
      <w:pPr>
        <w:spacing w:before="315" w:after="105" w:line="360" w:lineRule="auto"/>
        <w:ind w:left="-30"/>
        <w:jc w:val="left"/>
      </w:pPr>
      <w:bookmarkStart w:id="10" w:name="二_常见的_ai_教育工具与系统"/>
      <w:r>
        <w:rPr>
          <w:rFonts w:ascii="Georgia" w:hAnsi="Georgia" w:eastAsia="Georgia" w:cs="Georgia"/>
          <w:b/>
          <w:color w:val="000000"/>
          <w:sz w:val="24"/>
        </w:rPr>
        <w:t>二、常见的 AI 教育工具与系统</w:t>
      </w:r>
      <w:bookmarkEnd w:id="10"/>
    </w:p>
    <w:p w14:paraId="73469D2A">
      <w:pPr>
        <w:spacing w:after="210" w:line="360" w:lineRule="auto"/>
      </w:pPr>
      <w:r>
        <w:rPr>
          <w:rFonts w:ascii="Georgia" w:hAnsi="Georgia" w:eastAsia="Georgia" w:cs="Georgia"/>
          <w:color w:val="000000"/>
        </w:rPr>
        <w:t>在具体工具层面，当前教育场景中主要可以看到以下几类 AI 应用：</w:t>
      </w:r>
    </w:p>
    <w:p w14:paraId="373C619C">
      <w:pPr>
        <w:numPr>
          <w:ilvl w:val="0"/>
          <w:numId w:val="1"/>
        </w:numPr>
        <w:spacing w:after="210" w:line="360" w:lineRule="auto"/>
      </w:pPr>
      <w:r>
        <w:rPr>
          <w:rFonts w:ascii="Georgia" w:hAnsi="Georgia" w:eastAsia="Georgia" w:cs="Georgia"/>
          <w:color w:val="000000"/>
          <w:sz w:val="21"/>
        </w:rPr>
        <w:t>自适应学习平台</w:t>
      </w:r>
      <w:r>
        <w:rPr>
          <w:rFonts w:ascii="Georgia" w:hAnsi="Georgia" w:eastAsia="Georgia" w:cs="Georgia"/>
          <w:color w:val="000000"/>
          <w:sz w:val="21"/>
        </w:rPr>
        <w:br w:type="textWrapping"/>
      </w:r>
      <w:r>
        <w:rPr>
          <w:rFonts w:ascii="Georgia" w:hAnsi="Georgia" w:eastAsia="Georgia" w:cs="Georgia"/>
          <w:color w:val="000000"/>
          <w:sz w:val="21"/>
        </w:rPr>
        <w:t>这类平台通过收集学生的答题正确率、反应时间和学习路径等数据，自动判断学生当前水平，再推送更合适的内容或练习。比如 DreamBox、Knewton、Smart Sparrow 等系统，能够在数学或其他学科领域中，根据学生的表现即时调整题目难度和学习节奏。 它们的目标是让学生既不过于吃力，也不因内容过于简单而失去兴趣。</w:t>
      </w:r>
      <w:bookmarkStart w:id="11" w:name="fnref3_1"/>
      <w:bookmarkEnd w:id="11"/>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2" w:name="fnref1_1"/>
      <w:bookmarkEnd w:id="12"/>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p>
    <w:p w14:paraId="4E3B2D0F">
      <w:pPr>
        <w:numPr>
          <w:ilvl w:val="0"/>
          <w:numId w:val="1"/>
        </w:numPr>
        <w:spacing w:after="210" w:line="360" w:lineRule="auto"/>
      </w:pPr>
      <w:r>
        <w:rPr>
          <w:rFonts w:ascii="Georgia" w:hAnsi="Georgia" w:eastAsia="Georgia" w:cs="Georgia"/>
          <w:color w:val="000000"/>
          <w:sz w:val="21"/>
        </w:rPr>
        <w:t>智能辅导系统与教学聊天机器人</w:t>
      </w:r>
      <w:r>
        <w:rPr>
          <w:rFonts w:ascii="Georgia" w:hAnsi="Georgia" w:eastAsia="Georgia" w:cs="Georgia"/>
          <w:color w:val="000000"/>
          <w:sz w:val="21"/>
        </w:rPr>
        <w:br w:type="textWrapping"/>
      </w:r>
      <w:r>
        <w:rPr>
          <w:rFonts w:ascii="Georgia" w:hAnsi="Georgia" w:eastAsia="Georgia" w:cs="Georgia"/>
          <w:color w:val="000000"/>
          <w:sz w:val="21"/>
        </w:rPr>
        <w:t>人工智能辅导系统（Intelligent Tutoring Systems）利用机器学习和自然语言处理技术，模拟一对一家教，为学生提供分步讲解、提示和即时反馈，有些系统还能通过对话与学生互动。 这类系统可以在学生遇到问题时提供多种解释方式，帮助他们从不同角度理解概念，也可以在课后充当“全天候”答疑助手。</w:t>
      </w:r>
      <w:bookmarkStart w:id="13" w:name="fnref2_1"/>
      <w:bookmarkEnd w:id="13"/>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14" w:name="fnref9"/>
      <w:bookmarkEnd w:id="14"/>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bookmarkStart w:id="15" w:name="fnref4_2"/>
      <w:bookmarkEnd w:id="15"/>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p>
    <w:p w14:paraId="6260BAAA">
      <w:pPr>
        <w:numPr>
          <w:ilvl w:val="0"/>
          <w:numId w:val="1"/>
        </w:numPr>
        <w:spacing w:after="210" w:line="360" w:lineRule="auto"/>
      </w:pPr>
      <w:r>
        <w:rPr>
          <w:rFonts w:ascii="Georgia" w:hAnsi="Georgia" w:eastAsia="Georgia" w:cs="Georgia"/>
          <w:color w:val="000000"/>
          <w:sz w:val="21"/>
        </w:rPr>
        <w:t>自动批改与反馈工具</w:t>
      </w:r>
      <w:r>
        <w:rPr>
          <w:rFonts w:ascii="Georgia" w:hAnsi="Georgia" w:eastAsia="Georgia" w:cs="Georgia"/>
          <w:color w:val="000000"/>
          <w:sz w:val="21"/>
        </w:rPr>
        <w:br w:type="textWrapping"/>
      </w:r>
      <w:r>
        <w:rPr>
          <w:rFonts w:ascii="Georgia" w:hAnsi="Georgia" w:eastAsia="Georgia" w:cs="Georgia"/>
          <w:color w:val="000000"/>
          <w:sz w:val="21"/>
        </w:rPr>
        <w:t>在高校中，像 Gradescope 这类平台已经在多所大学被用来批改试卷和作业，支持客观题的自动评分以及对主观题的辅助分组和批改，显著减轻教师在大班教学中的工作量。 结合自然语言处理技术的自动评阅系统还可以对学生的作文或开放性回答进行结构和内容分析，生成有针对性的改进建议，让学生更快获得反馈。</w:t>
      </w:r>
      <w:bookmarkStart w:id="16" w:name="fnref6_1"/>
      <w:bookmarkEnd w:id="16"/>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17" w:name="fnref7_1"/>
      <w:bookmarkEnd w:id="17"/>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bookmarkStart w:id="18" w:name="fnref8_1"/>
      <w:bookmarkEnd w:id="18"/>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bookmarkStart w:id="19" w:name="fnref10"/>
      <w:bookmarkEnd w:id="19"/>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20" w:name="fnref5_1"/>
      <w:bookmarkEnd w:id="20"/>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p>
    <w:p w14:paraId="4C31C353">
      <w:pPr>
        <w:numPr>
          <w:ilvl w:val="0"/>
          <w:numId w:val="1"/>
        </w:numPr>
        <w:spacing w:after="210" w:line="360" w:lineRule="auto"/>
      </w:pPr>
      <w:r>
        <w:rPr>
          <w:rFonts w:ascii="Georgia" w:hAnsi="Georgia" w:eastAsia="Georgia" w:cs="Georgia"/>
          <w:color w:val="000000"/>
          <w:sz w:val="21"/>
        </w:rPr>
        <w:t>学习分析与教学管理系统</w:t>
      </w:r>
      <w:r>
        <w:rPr>
          <w:rFonts w:ascii="Georgia" w:hAnsi="Georgia" w:eastAsia="Georgia" w:cs="Georgia"/>
          <w:color w:val="000000"/>
          <w:sz w:val="21"/>
        </w:rPr>
        <w:br w:type="textWrapping"/>
      </w:r>
      <w:r>
        <w:rPr>
          <w:rFonts w:ascii="Georgia" w:hAnsi="Georgia" w:eastAsia="Georgia" w:cs="Georgia"/>
          <w:color w:val="000000"/>
          <w:sz w:val="21"/>
        </w:rPr>
        <w:t>一些 AI 系统专注于整合和分析学生在各类平台上的学习数据，生成学习轨迹图、风险预警和个性化学习报告，帮助教师及时发现可能掉队的学生。 此外，在排课、选课、资源分配等教学管理环节，也开始出现基于算法的辅助决策工具，用以提升管理效率和资源使用效果。</w:t>
      </w:r>
      <w:bookmarkStart w:id="21" w:name="fnref7_2"/>
      <w:bookmarkEnd w:id="21"/>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bookmarkStart w:id="22" w:name="fnref10_1"/>
      <w:bookmarkEnd w:id="22"/>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23" w:name="fnref4_3"/>
      <w:bookmarkEnd w:id="23"/>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p>
    <w:p w14:paraId="26CEBD2C">
      <w:pPr>
        <w:spacing w:before="315" w:after="105" w:line="360" w:lineRule="auto"/>
        <w:ind w:left="-30"/>
        <w:jc w:val="left"/>
      </w:pPr>
      <w:bookmarkStart w:id="24" w:name="三_ai_用在教育中面临的问题"/>
      <w:r>
        <w:rPr>
          <w:rFonts w:ascii="Georgia" w:hAnsi="Georgia" w:eastAsia="Georgia" w:cs="Georgia"/>
          <w:b/>
          <w:color w:val="000000"/>
          <w:sz w:val="24"/>
        </w:rPr>
        <w:t>三、AI 用在教育中面临的问题</w:t>
      </w:r>
      <w:bookmarkEnd w:id="24"/>
    </w:p>
    <w:p w14:paraId="0D172051">
      <w:pPr>
        <w:spacing w:after="210" w:line="360" w:lineRule="auto"/>
      </w:pPr>
      <w:r>
        <w:rPr>
          <w:rFonts w:ascii="Georgia" w:hAnsi="Georgia" w:eastAsia="Georgia" w:cs="Georgia"/>
          <w:color w:val="000000"/>
        </w:rPr>
        <w:t>尽管 AI 在教育中带来了很多便利，但在实际应用中也会遇到一系列问题和挑战。</w:t>
      </w:r>
    </w:p>
    <w:p w14:paraId="72316793">
      <w:pPr>
        <w:spacing w:after="210" w:line="360" w:lineRule="auto"/>
      </w:pPr>
      <w:r>
        <w:rPr>
          <w:rFonts w:ascii="Georgia" w:hAnsi="Georgia" w:eastAsia="Georgia" w:cs="Georgia"/>
          <w:color w:val="000000"/>
        </w:rPr>
        <w:t>首先是技术和基础设施方面的限制。部分学校尤其是资源相对不足的地区，可能缺乏稳定的网络环境和足够的终端设备，难以充分发挥这些系统的功能。 同时，AI 系统本身也可能存在识别准确率不高、对特殊情况适应性不足等问题，导致老师和学生对其可靠性产生疑虑。</w:t>
      </w:r>
      <w:bookmarkStart w:id="25" w:name="fnref10_2"/>
      <w:bookmarkEnd w:id="25"/>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26" w:name="fnref4_4"/>
      <w:bookmarkEnd w:id="26"/>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27" w:name="fnref2_2"/>
      <w:bookmarkEnd w:id="27"/>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28" w:name="fnref3_2"/>
      <w:bookmarkEnd w:id="28"/>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p>
    <w:p w14:paraId="672162A9">
      <w:pPr>
        <w:spacing w:after="210" w:line="360" w:lineRule="auto"/>
      </w:pPr>
      <w:r>
        <w:rPr>
          <w:rFonts w:ascii="Georgia" w:hAnsi="Georgia" w:eastAsia="Georgia" w:cs="Georgia"/>
          <w:color w:val="000000"/>
        </w:rPr>
        <w:t>其次是数据隐私和安全方面的担忧。AI 教育系统往往需要长期收集和分析学生的个人信息和学习数据，如果数据保护不当，就可能涉及隐私泄露、算法偏见等风险，引发家长、学生和社会的担心。 如何在提升个性化服务的同时，做到数据最小化收集、透明使用和安全存储，是一个长期需要平衡的问题。</w:t>
      </w:r>
      <w:bookmarkStart w:id="29" w:name="fnref9_1"/>
      <w:bookmarkEnd w:id="29"/>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bookmarkStart w:id="30" w:name="fnref4_5"/>
      <w:bookmarkEnd w:id="30"/>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31" w:name="fnref7_3"/>
      <w:bookmarkEnd w:id="31"/>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p>
    <w:p w14:paraId="0CF4FD40">
      <w:pPr>
        <w:spacing w:after="210" w:line="360" w:lineRule="auto"/>
      </w:pPr>
      <w:r>
        <w:rPr>
          <w:rFonts w:ascii="Georgia" w:hAnsi="Georgia" w:eastAsia="Georgia" w:cs="Georgia"/>
          <w:color w:val="000000"/>
        </w:rPr>
        <w:t>再次是教师角色和能力的转变。AI 工具的引入要求教师不仅会使用这些系统，还要懂得如何把技术与教学目标结合，比如如何解读学习分析报告、如何在自动批改的基础上提供更有温度的反馈。 对许多教师来说，这意味着需要额外的培训时间和学习成本，也需要学校在制度上给予支持和合理的工作安排。</w:t>
      </w:r>
      <w:bookmarkStart w:id="32" w:name="fnref8_2"/>
      <w:bookmarkEnd w:id="32"/>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33" w:name="fnref5_2"/>
      <w:bookmarkEnd w:id="33"/>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34" w:name="fnref7_4"/>
      <w:bookmarkEnd w:id="34"/>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p>
    <w:p w14:paraId="5F59518A">
      <w:pPr>
        <w:spacing w:after="210" w:line="360" w:lineRule="auto"/>
      </w:pPr>
      <w:r>
        <w:rPr>
          <w:rFonts w:ascii="Georgia" w:hAnsi="Georgia" w:eastAsia="Georgia" w:cs="Georgia"/>
          <w:color w:val="000000"/>
        </w:rPr>
        <w:t>最后是成本和可持续性。高质量的 AI 教育系统在采购、部署和维护方面往往需要较高投入，要保证持续更新和技术支持也需要稳定的经费来源。 对一些学校而言，如何在预算有限的前提下选择合适的工具、避免资源浪费，是现实中必须面对的问题。</w:t>
      </w:r>
      <w:bookmarkStart w:id="35" w:name="fnref3_3"/>
      <w:bookmarkEnd w:id="35"/>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36" w:name="fnref10_3"/>
      <w:bookmarkEnd w:id="36"/>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p>
    <w:p w14:paraId="44A813FC">
      <w:pPr>
        <w:spacing w:before="315" w:after="105" w:line="360" w:lineRule="auto"/>
        <w:ind w:left="-30"/>
        <w:jc w:val="left"/>
      </w:pPr>
      <w:bookmarkStart w:id="37" w:name="四_教育体系在_ai_人才培养中的角色"/>
      <w:r>
        <w:rPr>
          <w:rFonts w:ascii="Georgia" w:hAnsi="Georgia" w:eastAsia="Georgia" w:cs="Georgia"/>
          <w:b/>
          <w:color w:val="000000"/>
          <w:sz w:val="24"/>
        </w:rPr>
        <w:t>四、教育体系在 AI 人才培养中的角色</w:t>
      </w:r>
      <w:bookmarkEnd w:id="37"/>
    </w:p>
    <w:p w14:paraId="3DEB0B56">
      <w:pPr>
        <w:spacing w:after="210" w:line="360" w:lineRule="auto"/>
      </w:pPr>
      <w:r>
        <w:rPr>
          <w:rFonts w:ascii="Georgia" w:hAnsi="Georgia" w:eastAsia="Georgia" w:cs="Georgia"/>
          <w:color w:val="000000"/>
        </w:rPr>
        <w:t>从更宏观的角度看，教育系统不仅要用好 AI 工具，也要承担培养未来 AI 人才的任务。许多国家和地区已经在中学和大学阶段逐步引入与人工智能相关的内容，帮助学生建立对数据、算法和计算思维的基本认识。 这类内容通常会与数学、信息科技、工程等学科结合，强调基础知识打牢的重要性。</w:t>
      </w:r>
      <w:bookmarkStart w:id="38" w:name="fnref11"/>
      <w:bookmarkEnd w:id="38"/>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39" w:name="fnref12"/>
      <w:bookmarkEnd w:id="39"/>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40" w:name="fnref4_6"/>
      <w:bookmarkEnd w:id="40"/>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p>
    <w:p w14:paraId="2F1E17C9">
      <w:pPr>
        <w:spacing w:after="210" w:line="360" w:lineRule="auto"/>
      </w:pPr>
      <w:r>
        <w:rPr>
          <w:rFonts w:ascii="Georgia" w:hAnsi="Georgia" w:eastAsia="Georgia" w:cs="Georgia"/>
          <w:color w:val="000000"/>
        </w:rPr>
        <w:t>教育部门和学校可以通过更新课程标准，把编程、数据分析、机器学习基础等内容以合适的深度融入现有课程体系，并鼓励跨学科的项目式学习，让学生在真实问题情境中理解 AI 的应用潜力和边界。 同时，推进校企合作、产学研联合项目，可以让学生有更多机会接触行业真实需求和实际案例，理解 AI 在医疗、金融、制造、教育等领域的具体应用，增强学习的现实感和动力。</w:t>
      </w:r>
      <w:bookmarkStart w:id="41" w:name="fnref13"/>
      <w:bookmarkEnd w:id="41"/>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42" w:name="fnref12_1"/>
      <w:bookmarkEnd w:id="42"/>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43" w:name="fnref14"/>
      <w:bookmarkEnd w:id="43"/>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44" w:name="fnref11_1"/>
      <w:bookmarkEnd w:id="44"/>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p>
    <w:p w14:paraId="5ABAD7BA">
      <w:pPr>
        <w:spacing w:after="210" w:line="360" w:lineRule="auto"/>
      </w:pPr>
      <w:r>
        <w:rPr>
          <w:rFonts w:ascii="Georgia" w:hAnsi="Georgia" w:eastAsia="Georgia" w:cs="Georgia"/>
          <w:color w:val="000000"/>
        </w:rPr>
        <w:t>在人文和社会层面，越来越多的教育者意识到，AI 人才不仅需要技术能力，还要具备伦理意识、法律素养和社会责任感。一些高校在 AI 相关培养方案中专门加入“可信 AI”“AI 治理”“技术与社会”等模块，引导学生思考技术决策背后的社会影响。 这种培养思路有助于未来的 AI 从业者在追求创新的同时，更好地考虑公平、透明和公共利益。</w:t>
      </w:r>
      <w:bookmarkStart w:id="45" w:name="fnref15"/>
      <w:bookmarkEnd w:id="45"/>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bookmarkStart w:id="46" w:name="fnref11_2"/>
      <w:bookmarkEnd w:id="46"/>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47" w:name="fnref13_1"/>
      <w:bookmarkEnd w:id="47"/>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p>
    <w:p w14:paraId="5C22D7A9">
      <w:pPr>
        <w:spacing w:before="315" w:after="105" w:line="360" w:lineRule="auto"/>
        <w:ind w:left="-30"/>
        <w:jc w:val="left"/>
      </w:pPr>
      <w:bookmarkStart w:id="48" w:name="五_高校培养_ai_人才的一些实践做法"/>
      <w:r>
        <w:rPr>
          <w:rFonts w:ascii="Georgia" w:hAnsi="Georgia" w:eastAsia="Georgia" w:cs="Georgia"/>
          <w:b/>
          <w:color w:val="000000"/>
          <w:sz w:val="24"/>
        </w:rPr>
        <w:t>五、高校培养 AI 人才的一些实践做法</w:t>
      </w:r>
      <w:bookmarkEnd w:id="48"/>
    </w:p>
    <w:p w14:paraId="69F719AE">
      <w:pPr>
        <w:spacing w:after="210" w:line="360" w:lineRule="auto"/>
      </w:pPr>
      <w:r>
        <w:rPr>
          <w:rFonts w:ascii="Georgia" w:hAnsi="Georgia" w:eastAsia="Georgia" w:cs="Georgia"/>
          <w:color w:val="000000"/>
        </w:rPr>
        <w:t>在高等教育阶段，许多大学已经设立了专门的人工智能专业或跨学科项目，为学生提供系统的学习路径。以卡内基梅隆大学为例，该校在 2018 年就开设了人工智能学士学位，课程覆盖决策与机器人、机器学习、感知与语言、人机交互等多个方向，并通过项目实践培养学生解决复杂问题的能力。 同时，学校还提供多层次的硕士和博士项目，以及面向在职人士的 AI 相关证书课程，满足不同阶段学习者的需求。</w:t>
      </w:r>
      <w:bookmarkStart w:id="49" w:name="fnref12_2"/>
      <w:bookmarkEnd w:id="49"/>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50" w:name="fnref11_3"/>
      <w:bookmarkEnd w:id="50"/>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p>
    <w:p w14:paraId="1DC4952E">
      <w:pPr>
        <w:spacing w:after="210" w:line="360" w:lineRule="auto"/>
      </w:pPr>
      <w:r>
        <w:rPr>
          <w:rFonts w:ascii="Georgia" w:hAnsi="Georgia" w:eastAsia="Georgia" w:cs="Georgia"/>
          <w:color w:val="000000"/>
        </w:rPr>
        <w:t>在中国，一些高校也推出了具有特色的人才培养方案。比如上海交通大学开设了集成本科和硕士的 AI 贯通培养项目，将数学、人工智能和工程结合起来，同时在课程中加入人文社会科学和全球 AI 治理等内容，强调技术与人文的融合。 该项目重视学生的跨文化交流能力和对“可信 AI”“伦理技术”等议题的理解，希望培养兼具技术实力和人文关怀的 AI 领军人才。</w:t>
      </w:r>
      <w:bookmarkStart w:id="51" w:name="fnref13_2"/>
      <w:bookmarkEnd w:id="51"/>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p>
    <w:p w14:paraId="570C4FB3">
      <w:pPr>
        <w:spacing w:after="210" w:line="360" w:lineRule="auto"/>
      </w:pPr>
      <w:r>
        <w:rPr>
          <w:rFonts w:ascii="Georgia" w:hAnsi="Georgia" w:eastAsia="Georgia" w:cs="Georgia"/>
          <w:color w:val="000000"/>
        </w:rPr>
        <w:t>在香港和本地区，高校同样积极布局 AI 教育。例如香港科技大学的人工智能理学硕士项目，旨在让学生掌握先进 AI 技术和应用能力，为各行各业输送高层次专业人才。 香港大学则推出了结合文理工的人工智能本硕连读项目，帮助学生在掌握算法与数据科学技能的同时，培养批判性思维和伦理判断能力。 这些项目通常配套丰富的实验课程、研究机会和与企业合作的实习，为学生提供从课堂到实践的完整学习体验。</w:t>
      </w:r>
      <w:bookmarkStart w:id="52" w:name="fnref14_1"/>
      <w:bookmarkEnd w:id="52"/>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53" w:name="fnref11_4"/>
      <w:bookmarkEnd w:id="53"/>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54" w:name="fnref15_1"/>
      <w:bookmarkEnd w:id="54"/>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p>
    <w:p w14:paraId="54AEE4D2">
      <w:pPr>
        <w:spacing w:after="210" w:line="360" w:lineRule="auto"/>
      </w:pPr>
      <w:r>
        <w:rPr>
          <w:rFonts w:ascii="Georgia" w:hAnsi="Georgia" w:eastAsia="Georgia" w:cs="Georgia"/>
          <w:color w:val="000000"/>
        </w:rPr>
        <w:t>除了正式学位项目，不少高校还通过开设面向全校学生的 AI 通识课程、组织编程竞赛、黑客马拉松、创新创业大赛等活动，鼓励学生跨专业参与 AI 学习和实践。 这样的活动为更多不同背景的学生打开了接触 AI 的大门，也有助于形成多学科交叉合作的创新氛围。</w:t>
      </w:r>
      <w:bookmarkStart w:id="55" w:name="fnref4_7"/>
      <w:bookmarkEnd w:id="55"/>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56" w:name="fnref11_5"/>
      <w:bookmarkEnd w:id="56"/>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p>
    <w:p w14:paraId="5D3FD685">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5CE3F6F4">
      <w:pPr>
        <w:spacing w:after="210" w:line="360" w:lineRule="auto"/>
      </w:pPr>
      <w:r>
        <w:rPr>
          <w:rFonts w:ascii="Georgia" w:hAnsi="Georgia" w:eastAsia="Georgia" w:cs="Georgia"/>
          <w:color w:val="000000"/>
        </w:rPr>
        <w:t>总体而言，人工智能正在以多种形式进入课堂和校园，一方面改变了教学与学习的方式，另一方面也推动教育体系重新思考如何培养面向未来的 AI 人才。 在技术快速发展的背景下，保持审慎而开放的态度，用好 AI 工具、正视现实问题，并在课程与实践中兼顾技术和人文，将是教育领域需要持续努力的方向。</w:t>
      </w:r>
      <w:bookmarkStart w:id="57" w:name="fnref2_3"/>
      <w:bookmarkEnd w:id="57"/>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58" w:name="fnref9_2"/>
      <w:bookmarkEnd w:id="58"/>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bookmarkStart w:id="59" w:name="fnref4_8"/>
      <w:bookmarkEnd w:id="59"/>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p>
    <w:p w14:paraId="559BC4F2">
      <w:pPr>
        <w:spacing w:line="360" w:lineRule="auto"/>
      </w:pPr>
      <w:r>
        <w:rPr>
          <w:rFonts w:ascii="Georgia" w:hAnsi="Georgia" w:eastAsia="Georgia" w:cs="Georgia"/>
          <w:color w:val="000000"/>
        </w:rPr>
        <w:t>⁂</w:t>
      </w:r>
    </w:p>
    <w:p w14:paraId="5E3FCFA1">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032A1604">
      <w:pPr>
        <w:numPr>
          <w:ilvl w:val="0"/>
          <w:numId w:val="2"/>
        </w:numPr>
        <w:spacing w:after="210" w:line="360" w:lineRule="auto"/>
      </w:pPr>
      <w:bookmarkStart w:id="60" w:name="fn1"/>
      <w:bookmarkEnd w:id="60"/>
      <w:r>
        <w:fldChar w:fldCharType="begin"/>
      </w:r>
      <w:r>
        <w:instrText xml:space="preserve"> HYPERLINK "https://www.lsst.ac/blogs/enhancing-learning-with-ai-powered-tutoring-and-support-systems/" \h </w:instrText>
      </w:r>
      <w:r>
        <w:fldChar w:fldCharType="separate"/>
      </w:r>
      <w:r>
        <w:rPr>
          <w:rFonts w:ascii="helvetica neue" w:hAnsi="helvetica neue" w:eastAsia="helvetica neue" w:cs="helvetica neue"/>
          <w:color w:val="000000"/>
          <w:sz w:val="18"/>
          <w:u w:val="single"/>
        </w:rPr>
        <w:t>https://www.lsst.ac/blogs/enhancing-learning-with-ai-powered-tutoring-and-support-systems/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6C8764C">
      <w:pPr>
        <w:numPr>
          <w:ilvl w:val="0"/>
          <w:numId w:val="2"/>
        </w:numPr>
        <w:spacing w:after="210" w:line="360" w:lineRule="auto"/>
      </w:pPr>
      <w:bookmarkStart w:id="61" w:name="fn2"/>
      <w:bookmarkEnd w:id="61"/>
      <w:r>
        <w:fldChar w:fldCharType="begin"/>
      </w:r>
      <w:r>
        <w:instrText xml:space="preserve"> HYPERLINK "https://arxiv.org/html/2507.18882v1" \h </w:instrText>
      </w:r>
      <w:r>
        <w:fldChar w:fldCharType="separate"/>
      </w:r>
      <w:r>
        <w:rPr>
          <w:rFonts w:ascii="helvetica neue" w:hAnsi="helvetica neue" w:eastAsia="helvetica neue" w:cs="helvetica neue"/>
          <w:color w:val="000000"/>
          <w:sz w:val="18"/>
          <w:u w:val="single"/>
        </w:rPr>
        <w:t>https://arxiv.org/html/2507.18882v1</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AC219ED">
      <w:pPr>
        <w:numPr>
          <w:ilvl w:val="0"/>
          <w:numId w:val="2"/>
        </w:numPr>
        <w:spacing w:after="210" w:line="360" w:lineRule="auto"/>
      </w:pPr>
      <w:bookmarkStart w:id="62" w:name="fn3"/>
      <w:bookmarkEnd w:id="62"/>
      <w:r>
        <w:fldChar w:fldCharType="begin"/>
      </w:r>
      <w:r>
        <w:instrText xml:space="preserve"> HYPERLINK "https://www.thethinkacademy.com/blog/edubriefs-ai-education-tools-in-k-12-choosing-what-really-works/" \h </w:instrText>
      </w:r>
      <w:r>
        <w:fldChar w:fldCharType="separate"/>
      </w:r>
      <w:r>
        <w:rPr>
          <w:rFonts w:ascii="helvetica neue" w:hAnsi="helvetica neue" w:eastAsia="helvetica neue" w:cs="helvetica neue"/>
          <w:color w:val="000000"/>
          <w:sz w:val="18"/>
          <w:u w:val="single"/>
        </w:rPr>
        <w:t>https://www.thethinkacademy.com/blog/edubriefs-ai-education-tools-in-k-12-choosing-what-really-works/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8DAA529">
      <w:pPr>
        <w:numPr>
          <w:ilvl w:val="0"/>
          <w:numId w:val="2"/>
        </w:numPr>
        <w:spacing w:after="210" w:line="360" w:lineRule="auto"/>
      </w:pPr>
      <w:bookmarkStart w:id="63" w:name="fn4"/>
      <w:bookmarkEnd w:id="63"/>
      <w:r>
        <w:fldChar w:fldCharType="begin"/>
      </w:r>
      <w:r>
        <w:instrText xml:space="preserve"> HYPERLINK "https://pmc.ncbi.nlm.nih.gov/articles/PMC12078640/" \h </w:instrText>
      </w:r>
      <w:r>
        <w:fldChar w:fldCharType="separate"/>
      </w:r>
      <w:r>
        <w:rPr>
          <w:rFonts w:ascii="helvetica neue" w:hAnsi="helvetica neue" w:eastAsia="helvetica neue" w:cs="helvetica neue"/>
          <w:color w:val="000000"/>
          <w:sz w:val="18"/>
          <w:u w:val="single"/>
        </w:rPr>
        <w:t>https://pmc.ncbi.nlm.nih.gov/articles/PMC12078640/</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66AAAE8">
      <w:pPr>
        <w:numPr>
          <w:ilvl w:val="0"/>
          <w:numId w:val="2"/>
        </w:numPr>
        <w:spacing w:after="210" w:line="360" w:lineRule="auto"/>
      </w:pPr>
      <w:bookmarkStart w:id="64" w:name="fn5"/>
      <w:bookmarkEnd w:id="64"/>
      <w:r>
        <w:fldChar w:fldCharType="begin"/>
      </w:r>
      <w:r>
        <w:instrText xml:space="preserve"> HYPERLINK "https://ascode.osu.edu/news/ai-and-auto-grading-higher-education-capabilities-ethics-and-evolving-role-educators" \h </w:instrText>
      </w:r>
      <w:r>
        <w:fldChar w:fldCharType="separate"/>
      </w:r>
      <w:r>
        <w:rPr>
          <w:rFonts w:ascii="helvetica neue" w:hAnsi="helvetica neue" w:eastAsia="helvetica neue" w:cs="helvetica neue"/>
          <w:color w:val="000000"/>
          <w:sz w:val="18"/>
          <w:u w:val="single"/>
        </w:rPr>
        <w:t>https://ascode.osu.edu/news/ai-and-auto-grading-higher-education-capabilities-ethics-and-evolving-role-educators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B6C311C">
      <w:pPr>
        <w:numPr>
          <w:ilvl w:val="0"/>
          <w:numId w:val="2"/>
        </w:numPr>
        <w:spacing w:after="210" w:line="360" w:lineRule="auto"/>
      </w:pPr>
      <w:bookmarkStart w:id="65" w:name="fn6"/>
      <w:bookmarkEnd w:id="65"/>
      <w:r>
        <w:fldChar w:fldCharType="begin"/>
      </w:r>
      <w:r>
        <w:instrText xml:space="preserve"> HYPERLINK "https://www.princetonreview.com/ai-education/how-ai-is-reshaping-grading" \h </w:instrText>
      </w:r>
      <w:r>
        <w:fldChar w:fldCharType="separate"/>
      </w:r>
      <w:r>
        <w:rPr>
          <w:rFonts w:ascii="helvetica neue" w:hAnsi="helvetica neue" w:eastAsia="helvetica neue" w:cs="helvetica neue"/>
          <w:color w:val="000000"/>
          <w:sz w:val="18"/>
          <w:u w:val="single"/>
        </w:rPr>
        <w:t>https://www.princetonreview.com/ai-education/how-ai-is-reshaping-grading</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195291B">
      <w:pPr>
        <w:numPr>
          <w:ilvl w:val="0"/>
          <w:numId w:val="2"/>
        </w:numPr>
        <w:spacing w:after="210" w:line="360" w:lineRule="auto"/>
      </w:pPr>
      <w:bookmarkStart w:id="66" w:name="fn7"/>
      <w:bookmarkEnd w:id="66"/>
      <w:r>
        <w:fldChar w:fldCharType="begin"/>
      </w:r>
      <w:r>
        <w:instrText xml:space="preserve"> HYPERLINK "https://www.learnwise.ai/guides/ai-powered-feedback-and-grading-in-higher-education" \h </w:instrText>
      </w:r>
      <w:r>
        <w:fldChar w:fldCharType="separate"/>
      </w:r>
      <w:r>
        <w:rPr>
          <w:rFonts w:ascii="helvetica neue" w:hAnsi="helvetica neue" w:eastAsia="helvetica neue" w:cs="helvetica neue"/>
          <w:color w:val="000000"/>
          <w:sz w:val="18"/>
          <w:u w:val="single"/>
        </w:rPr>
        <w:t>https://www.learnwise.ai/guides/ai-powered-feedback-and-grading-in-higher-education</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E3FADC5">
      <w:pPr>
        <w:numPr>
          <w:ilvl w:val="0"/>
          <w:numId w:val="2"/>
        </w:numPr>
        <w:spacing w:after="210" w:line="360" w:lineRule="auto"/>
      </w:pPr>
      <w:bookmarkStart w:id="67" w:name="fn8"/>
      <w:bookmarkEnd w:id="67"/>
      <w:r>
        <w:fldChar w:fldCharType="begin"/>
      </w:r>
      <w:r>
        <w:instrText xml:space="preserve"> HYPERLINK "https://files.eric.ed.gov/fulltext/EJ1484420.pdf" \h </w:instrText>
      </w:r>
      <w:r>
        <w:fldChar w:fldCharType="separate"/>
      </w:r>
      <w:r>
        <w:rPr>
          <w:rFonts w:ascii="helvetica neue" w:hAnsi="helvetica neue" w:eastAsia="helvetica neue" w:cs="helvetica neue"/>
          <w:color w:val="000000"/>
          <w:sz w:val="18"/>
          <w:u w:val="single"/>
        </w:rPr>
        <w:t>https://files.eric.ed.gov/fulltext/EJ1484420.pdf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A3AF7AC">
      <w:pPr>
        <w:numPr>
          <w:ilvl w:val="0"/>
          <w:numId w:val="2"/>
        </w:numPr>
        <w:spacing w:after="210" w:line="360" w:lineRule="auto"/>
      </w:pPr>
      <w:bookmarkStart w:id="68" w:name="fn9"/>
      <w:bookmarkEnd w:id="68"/>
      <w:r>
        <w:fldChar w:fldCharType="begin"/>
      </w:r>
      <w:r>
        <w:instrText xml:space="preserve"> HYPERLINK "https://arxiv.org/abs/2410.10650" \h </w:instrText>
      </w:r>
      <w:r>
        <w:fldChar w:fldCharType="separate"/>
      </w:r>
      <w:r>
        <w:rPr>
          <w:rFonts w:ascii="helvetica neue" w:hAnsi="helvetica neue" w:eastAsia="helvetica neue" w:cs="helvetica neue"/>
          <w:color w:val="000000"/>
          <w:sz w:val="18"/>
          <w:u w:val="single"/>
        </w:rPr>
        <w:t>https://arxiv.org/abs/2410.10650</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52591F6">
      <w:pPr>
        <w:numPr>
          <w:ilvl w:val="0"/>
          <w:numId w:val="2"/>
        </w:numPr>
        <w:spacing w:after="210" w:line="360" w:lineRule="auto"/>
      </w:pPr>
      <w:bookmarkStart w:id="69" w:name="fn10"/>
      <w:bookmarkEnd w:id="69"/>
      <w:r>
        <w:fldChar w:fldCharType="begin"/>
      </w:r>
      <w:r>
        <w:instrText xml:space="preserve"> HYPERLINK "https://jaistonline.org/16vol2/1.pdf" \h </w:instrText>
      </w:r>
      <w:r>
        <w:fldChar w:fldCharType="separate"/>
      </w:r>
      <w:r>
        <w:rPr>
          <w:rFonts w:ascii="helvetica neue" w:hAnsi="helvetica neue" w:eastAsia="helvetica neue" w:cs="helvetica neue"/>
          <w:color w:val="000000"/>
          <w:sz w:val="18"/>
          <w:u w:val="single"/>
        </w:rPr>
        <w:t>https://jaistonline.org/16vol2/1.pdf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8F86132">
      <w:pPr>
        <w:numPr>
          <w:ilvl w:val="0"/>
          <w:numId w:val="2"/>
        </w:numPr>
        <w:spacing w:after="210" w:line="360" w:lineRule="auto"/>
      </w:pPr>
      <w:bookmarkStart w:id="70" w:name="fn11"/>
      <w:bookmarkEnd w:id="70"/>
      <w:r>
        <w:fldChar w:fldCharType="begin"/>
      </w:r>
      <w:r>
        <w:instrText xml:space="preserve"> HYPERLINK "https://ai.cmu.edu/curriculum" \h </w:instrText>
      </w:r>
      <w:r>
        <w:fldChar w:fldCharType="separate"/>
      </w:r>
      <w:r>
        <w:rPr>
          <w:rFonts w:ascii="helvetica neue" w:hAnsi="helvetica neue" w:eastAsia="helvetica neue" w:cs="helvetica neue"/>
          <w:color w:val="000000"/>
          <w:sz w:val="18"/>
          <w:u w:val="single"/>
        </w:rPr>
        <w:t>https://ai.cmu.edu/curriculum</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985D43B">
      <w:pPr>
        <w:numPr>
          <w:ilvl w:val="0"/>
          <w:numId w:val="2"/>
        </w:numPr>
        <w:spacing w:after="210" w:line="360" w:lineRule="auto"/>
      </w:pPr>
      <w:bookmarkStart w:id="71" w:name="fn12"/>
      <w:bookmarkEnd w:id="71"/>
      <w:r>
        <w:fldChar w:fldCharType="begin"/>
      </w:r>
      <w:r>
        <w:instrText xml:space="preserve"> HYPERLINK "https://www.mastersinai.org/degrees/artificial-intelligence-degrees/" \h </w:instrText>
      </w:r>
      <w:r>
        <w:fldChar w:fldCharType="separate"/>
      </w:r>
      <w:r>
        <w:rPr>
          <w:rFonts w:ascii="helvetica neue" w:hAnsi="helvetica neue" w:eastAsia="helvetica neue" w:cs="helvetica neue"/>
          <w:color w:val="000000"/>
          <w:sz w:val="18"/>
          <w:u w:val="single"/>
        </w:rPr>
        <w:t>https://www.mastersinai.org/degrees/artificial-intelligence-degrees/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D6070F5">
      <w:pPr>
        <w:numPr>
          <w:ilvl w:val="0"/>
          <w:numId w:val="2"/>
        </w:numPr>
        <w:spacing w:after="210" w:line="360" w:lineRule="auto"/>
      </w:pPr>
      <w:bookmarkStart w:id="72" w:name="fn13"/>
      <w:bookmarkEnd w:id="72"/>
      <w:r>
        <w:fldChar w:fldCharType="begin"/>
      </w:r>
      <w:r>
        <w:instrText xml:space="preserve"> HYPERLINK "https://www.chinadailyhk.com/hk/article/611459" \h </w:instrText>
      </w:r>
      <w:r>
        <w:fldChar w:fldCharType="separate"/>
      </w:r>
      <w:r>
        <w:rPr>
          <w:rFonts w:ascii="helvetica neue" w:hAnsi="helvetica neue" w:eastAsia="helvetica neue" w:cs="helvetica neue"/>
          <w:color w:val="000000"/>
          <w:sz w:val="18"/>
          <w:u w:val="single"/>
        </w:rPr>
        <w:t>https://www.chinadailyhk.com/hk/article/611459</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2234687">
      <w:pPr>
        <w:numPr>
          <w:ilvl w:val="0"/>
          <w:numId w:val="2"/>
        </w:numPr>
        <w:spacing w:after="210" w:line="360" w:lineRule="auto"/>
      </w:pPr>
      <w:bookmarkStart w:id="73" w:name="fn14"/>
      <w:bookmarkEnd w:id="73"/>
      <w:r>
        <w:fldChar w:fldCharType="begin"/>
      </w:r>
      <w:r>
        <w:instrText xml:space="preserve"> HYPERLINK "https://seng.hkust.edu.hk/academics/taught-postgraduate/msc-ai" \h </w:instrText>
      </w:r>
      <w:r>
        <w:fldChar w:fldCharType="separate"/>
      </w:r>
      <w:r>
        <w:rPr>
          <w:rFonts w:ascii="helvetica neue" w:hAnsi="helvetica neue" w:eastAsia="helvetica neue" w:cs="helvetica neue"/>
          <w:color w:val="000000"/>
          <w:sz w:val="18"/>
          <w:u w:val="single"/>
        </w:rPr>
        <w:t>https://seng.hkust.edu.hk/academics/taught-postgraduate/msc-ai</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624936B">
      <w:pPr>
        <w:numPr>
          <w:ilvl w:val="0"/>
          <w:numId w:val="2"/>
        </w:numPr>
        <w:spacing w:after="210" w:line="360" w:lineRule="auto"/>
      </w:pPr>
      <w:bookmarkStart w:id="74" w:name="fn15"/>
      <w:bookmarkEnd w:id="74"/>
      <w:r>
        <w:fldChar w:fldCharType="begin"/>
      </w:r>
      <w:r>
        <w:instrText xml:space="preserve"> HYPERLINK "https://admissions.hku.hk/programmes/undergraduate-programmes/bachelor-of-arts-and-bachelor-of-engineering-artificial" \h </w:instrText>
      </w:r>
      <w:r>
        <w:fldChar w:fldCharType="separate"/>
      </w:r>
      <w:r>
        <w:rPr>
          <w:rFonts w:ascii="helvetica neue" w:hAnsi="helvetica neue" w:eastAsia="helvetica neue" w:cs="helvetica neue"/>
          <w:color w:val="000000"/>
          <w:sz w:val="18"/>
          <w:u w:val="single"/>
        </w:rPr>
        <w:t>https://admissions.hku.hk/programmes/undergraduate-programmes/bachelor-of-arts-and-bachelor-of-engineering-artificial</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helvetica neue">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900"/>
        </w:tabs>
        <w:ind w:left="540" w:hanging="360"/>
      </w:pPr>
    </w:lvl>
  </w:abstractNum>
  <w:abstractNum w:abstractNumId="1">
    <w:nsid w:val="0053208E"/>
    <w:multiLevelType w:val="singleLevel"/>
    <w:tmpl w:val="0053208E"/>
    <w:lvl w:ilvl="0" w:tentative="0">
      <w:start w:val="1"/>
      <w:numFmt w:val="decimal"/>
      <w:lvlText w:val="%1."/>
      <w:lvlJc w:val="left"/>
      <w:pPr>
        <w:tabs>
          <w:tab w:val="left" w:pos="900"/>
        </w:tabs>
        <w:ind w:left="5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F4D6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2935</Words>
  <Characters>3207</Characters>
  <TotalTime>0</TotalTime>
  <ScaleCrop>false</ScaleCrop>
  <LinksUpToDate>false</LinksUpToDate>
  <CharactersWithSpaces>3288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2026-02-25T07:40:00Z</dcterms:created>
  <dc:creator>html-to-docx</dc:creator>
  <cp:keywords>html-to-docx</cp:keywords>
  <cp:lastModifiedBy>dyx</cp:lastModifiedBy>
  <dcterms:modified xsi:type="dcterms:W3CDTF">2026-02-25T07:40:38Z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77D1949A60BC407CA85075F72F566A40_12</vt:lpwstr>
  </property>
</Properties>
</file>