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90" w:line="221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6"/>
        </w:rPr>
        <w:t>不同类型电子游戏的用户群体特征分析报告</w:t>
      </w:r>
    </w:p>
    <w:p>
      <w:pPr>
        <w:pStyle w:val="BodyText"/>
        <w:spacing w:before="190" w:line="213" w:lineRule="auto"/>
        <w:rPr/>
      </w:pPr>
      <w:r>
        <w:rPr>
          <w:spacing w:val="6"/>
        </w:rPr>
        <w:t>报告编制机构：国际数字娱乐研究院(虚拟权威机构，基于行业主流数据整合)</w:t>
      </w:r>
    </w:p>
    <w:p>
      <w:pPr>
        <w:pStyle w:val="BodyText"/>
        <w:spacing w:before="153" w:line="221" w:lineRule="auto"/>
        <w:rPr/>
      </w:pPr>
      <w:r>
        <w:rPr>
          <w:spacing w:val="14"/>
        </w:rPr>
        <w:t>编制日期：2026年1月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11" w:line="222" w:lineRule="auto"/>
        <w:rPr>
          <w:sz w:val="34"/>
          <w:szCs w:val="34"/>
        </w:rPr>
      </w:pPr>
      <w:r>
        <w:rPr>
          <w:sz w:val="34"/>
          <w:szCs w:val="34"/>
          <w:b/>
          <w:bCs/>
        </w:rPr>
        <w:t>目录</w:t>
      </w:r>
    </w:p>
    <w:p>
      <w:pPr>
        <w:pStyle w:val="BodyText"/>
        <w:ind w:left="3"/>
        <w:spacing w:before="209" w:line="222" w:lineRule="auto"/>
        <w:outlineLvl w:val="3"/>
        <w:rPr/>
      </w:pPr>
      <w:r>
        <w:rPr>
          <w:b/>
          <w:bCs/>
          <w:spacing w:val="9"/>
        </w:rPr>
        <w:t>第一章绪论</w:t>
      </w:r>
    </w:p>
    <w:p>
      <w:pPr>
        <w:pStyle w:val="BodyText"/>
        <w:spacing w:before="144" w:line="221" w:lineRule="auto"/>
        <w:rPr/>
      </w:pPr>
      <w:r>
        <w:rPr/>
        <w:t>一、研究背景</w:t>
      </w:r>
    </w:p>
    <w:p>
      <w:pPr>
        <w:pStyle w:val="BodyText"/>
        <w:spacing w:before="124" w:line="222" w:lineRule="auto"/>
        <w:rPr/>
      </w:pPr>
      <w:r>
        <w:rPr/>
        <w:t>二、研究意义</w:t>
      </w:r>
    </w:p>
    <w:p>
      <w:pPr>
        <w:pStyle w:val="BodyText"/>
        <w:spacing w:before="130" w:line="221" w:lineRule="auto"/>
        <w:rPr/>
      </w:pPr>
      <w:r>
        <w:rPr>
          <w:spacing w:val="-1"/>
        </w:rPr>
        <w:t>三、研究方法与数据来源</w:t>
      </w:r>
    </w:p>
    <w:p>
      <w:pPr>
        <w:pStyle w:val="BodyText"/>
        <w:ind w:left="3"/>
        <w:spacing w:before="250" w:line="221" w:lineRule="auto"/>
        <w:outlineLvl w:val="3"/>
        <w:rPr/>
      </w:pPr>
      <w:r>
        <w:rPr>
          <w:b/>
          <w:bCs/>
          <w:spacing w:val="1"/>
        </w:rPr>
        <w:t>第二章全球及中国游戏市场概述</w:t>
      </w:r>
    </w:p>
    <w:p>
      <w:pPr>
        <w:pStyle w:val="BodyText"/>
        <w:spacing w:before="146" w:line="221" w:lineRule="auto"/>
        <w:rPr/>
      </w:pPr>
      <w:r>
        <w:rPr/>
        <w:t>一、全球游戏市场规模与趋势</w:t>
      </w:r>
    </w:p>
    <w:p>
      <w:pPr>
        <w:pStyle w:val="BodyText"/>
        <w:spacing w:before="132" w:line="221" w:lineRule="auto"/>
        <w:rPr/>
      </w:pPr>
      <w:r>
        <w:rPr>
          <w:spacing w:val="-1"/>
        </w:rPr>
        <w:t>二、中国游戏市场现状与用户规模</w:t>
      </w:r>
    </w:p>
    <w:p>
      <w:pPr>
        <w:pStyle w:val="BodyText"/>
        <w:spacing w:before="125" w:line="222" w:lineRule="auto"/>
        <w:rPr/>
      </w:pPr>
      <w:r>
        <w:rPr>
          <w:spacing w:val="1"/>
        </w:rPr>
        <w:t>三、关键指标解读</w:t>
      </w:r>
    </w:p>
    <w:p>
      <w:pPr>
        <w:pStyle w:val="BodyText"/>
        <w:ind w:left="3"/>
        <w:spacing w:before="256" w:line="221" w:lineRule="auto"/>
        <w:outlineLvl w:val="3"/>
        <w:rPr/>
      </w:pPr>
      <w:r>
        <w:rPr>
          <w:b/>
          <w:bCs/>
        </w:rPr>
        <w:t>第三章不同类型电子游戏用户群体特征分析</w:t>
      </w:r>
    </w:p>
    <w:p>
      <w:pPr>
        <w:pStyle w:val="BodyText"/>
        <w:spacing w:before="136" w:line="221" w:lineRule="auto"/>
        <w:rPr/>
      </w:pPr>
      <w:r>
        <w:rPr>
          <w:spacing w:val="1"/>
        </w:rPr>
        <w:t>一、</w:t>
      </w:r>
      <w:r>
        <w:rPr>
          <w:rFonts w:ascii="SimSun" w:hAnsi="SimSun" w:eastAsia="SimSun" w:cs="SimSun"/>
        </w:rPr>
        <w:t>MOBA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spacing w:val="1"/>
        </w:rPr>
        <w:t>类游戏用户群体</w:t>
      </w:r>
    </w:p>
    <w:p>
      <w:pPr>
        <w:pStyle w:val="BodyText"/>
        <w:ind w:left="159"/>
        <w:spacing w:before="123" w:line="221" w:lineRule="auto"/>
        <w:rPr/>
      </w:pPr>
      <w:r>
        <w:rPr>
          <w:spacing w:val="10"/>
        </w:rPr>
        <w:t>(一)典型用户画像</w:t>
      </w:r>
    </w:p>
    <w:p>
      <w:pPr>
        <w:pStyle w:val="BodyText"/>
        <w:ind w:left="159"/>
        <w:spacing w:before="133" w:line="221" w:lineRule="auto"/>
        <w:rPr/>
      </w:pPr>
      <w:r>
        <w:rPr>
          <w:spacing w:val="5"/>
        </w:rPr>
        <w:t>(二)群体内部差异性及潜在局限性</w:t>
      </w:r>
    </w:p>
    <w:p>
      <w:pPr>
        <w:pStyle w:val="BodyText"/>
        <w:spacing w:before="242" w:line="221" w:lineRule="auto"/>
        <w:rPr/>
      </w:pPr>
      <w:r>
        <w:rPr/>
        <w:t>二、</w:t>
      </w:r>
      <w:r>
        <w:rPr>
          <w:rFonts w:ascii="SimSun" w:hAnsi="SimSun" w:eastAsia="SimSun" w:cs="SimSun"/>
        </w:rPr>
        <w:t>FPS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类游戏用户群体</w:t>
      </w:r>
    </w:p>
    <w:p>
      <w:pPr>
        <w:pStyle w:val="BodyText"/>
        <w:ind w:left="159"/>
        <w:spacing w:before="143" w:line="221" w:lineRule="auto"/>
        <w:rPr/>
      </w:pPr>
      <w:r>
        <w:rPr>
          <w:spacing w:val="10"/>
        </w:rPr>
        <w:t>(一)典型用户画像</w:t>
      </w:r>
    </w:p>
    <w:p>
      <w:pPr>
        <w:pStyle w:val="BodyText"/>
        <w:ind w:left="159"/>
        <w:spacing w:before="133" w:line="221" w:lineRule="auto"/>
        <w:rPr/>
      </w:pPr>
      <w:r>
        <w:rPr>
          <w:spacing w:val="5"/>
        </w:rPr>
        <w:t>(二)群体内部差异性及潜在局限性</w:t>
      </w:r>
    </w:p>
    <w:p>
      <w:pPr>
        <w:pStyle w:val="BodyText"/>
        <w:spacing w:before="252" w:line="221" w:lineRule="auto"/>
        <w:rPr/>
      </w:pPr>
      <w:r>
        <w:rPr>
          <w:spacing w:val="-1"/>
        </w:rPr>
        <w:t>三、</w:t>
      </w:r>
      <w:r>
        <w:rPr>
          <w:rFonts w:ascii="SimSun" w:hAnsi="SimSun" w:eastAsia="SimSun" w:cs="SimSun"/>
          <w:spacing w:val="-1"/>
        </w:rPr>
        <w:t>MMORPG</w:t>
      </w:r>
      <w:r>
        <w:rPr>
          <w:rFonts w:ascii="SimSun" w:hAnsi="SimSun" w:eastAsia="SimSun" w:cs="SimSun"/>
          <w:spacing w:val="23"/>
        </w:rPr>
        <w:t xml:space="preserve">   </w:t>
      </w:r>
      <w:r>
        <w:rPr>
          <w:spacing w:val="-1"/>
        </w:rPr>
        <w:t>类游戏用户群体</w:t>
      </w:r>
    </w:p>
    <w:p>
      <w:pPr>
        <w:pStyle w:val="BodyText"/>
        <w:ind w:left="159"/>
        <w:spacing w:before="133" w:line="221" w:lineRule="auto"/>
        <w:rPr/>
      </w:pPr>
      <w:r>
        <w:rPr>
          <w:spacing w:val="10"/>
        </w:rPr>
        <w:t>(一)典型用户画像</w:t>
      </w:r>
    </w:p>
    <w:p>
      <w:pPr>
        <w:pStyle w:val="BodyText"/>
        <w:ind w:left="159"/>
        <w:spacing w:before="143" w:line="221" w:lineRule="auto"/>
        <w:rPr/>
      </w:pPr>
      <w:r>
        <w:rPr>
          <w:spacing w:val="5"/>
        </w:rPr>
        <w:t>(二)群体内部差异性及潜在局限性</w:t>
      </w:r>
    </w:p>
    <w:p>
      <w:pPr>
        <w:pStyle w:val="BodyText"/>
        <w:spacing w:before="272" w:line="221" w:lineRule="auto"/>
        <w:rPr/>
      </w:pPr>
      <w:r>
        <w:rPr>
          <w:spacing w:val="-3"/>
        </w:rPr>
        <w:t>四、休闲/益智类游戏用户群体</w:t>
      </w:r>
    </w:p>
    <w:p>
      <w:pPr>
        <w:pStyle w:val="BodyText"/>
        <w:ind w:left="159"/>
        <w:spacing w:before="113" w:line="221" w:lineRule="auto"/>
        <w:rPr/>
      </w:pPr>
      <w:r>
        <w:rPr>
          <w:spacing w:val="10"/>
        </w:rPr>
        <w:t>(一)典型用户画像</w:t>
      </w:r>
    </w:p>
    <w:p>
      <w:pPr>
        <w:pStyle w:val="BodyText"/>
        <w:ind w:left="159"/>
        <w:spacing w:before="143" w:line="221" w:lineRule="auto"/>
        <w:rPr/>
      </w:pPr>
      <w:r>
        <w:rPr>
          <w:spacing w:val="5"/>
        </w:rPr>
        <w:t>(二)群体内部差异性及潜在局限性</w:t>
      </w:r>
    </w:p>
    <w:p>
      <w:pPr>
        <w:pStyle w:val="BodyText"/>
        <w:spacing w:before="253" w:line="221" w:lineRule="auto"/>
        <w:rPr/>
      </w:pPr>
      <w:r>
        <w:rPr>
          <w:spacing w:val="-2"/>
        </w:rPr>
        <w:t>五、策略/卡牌类游戏用户群体</w:t>
      </w:r>
    </w:p>
    <w:p>
      <w:pPr>
        <w:pStyle w:val="BodyText"/>
        <w:ind w:left="159"/>
        <w:spacing w:before="122" w:line="221" w:lineRule="auto"/>
        <w:rPr/>
      </w:pPr>
      <w:r>
        <w:rPr>
          <w:spacing w:val="10"/>
        </w:rPr>
        <w:t>(一)典型用户画像</w:t>
      </w:r>
    </w:p>
    <w:p>
      <w:pPr>
        <w:pStyle w:val="BodyText"/>
        <w:ind w:left="159"/>
        <w:spacing w:before="133" w:line="221" w:lineRule="auto"/>
        <w:rPr/>
      </w:pPr>
      <w:r>
        <w:rPr>
          <w:spacing w:val="5"/>
        </w:rPr>
        <w:t>(二)群体内部差异性及潜在局限性</w:t>
      </w:r>
    </w:p>
    <w:p>
      <w:pPr>
        <w:spacing w:line="221" w:lineRule="auto"/>
        <w:sectPr>
          <w:pgSz w:w="12240" w:h="15840"/>
          <w:pgMar w:top="1137" w:right="1836" w:bottom="0" w:left="970" w:header="0" w:footer="0" w:gutter="0"/>
        </w:sectPr>
        <w:rPr/>
      </w:pPr>
    </w:p>
    <w:p>
      <w:pPr>
        <w:pStyle w:val="BodyText"/>
        <w:spacing w:before="48" w:line="221" w:lineRule="auto"/>
        <w:rPr/>
      </w:pPr>
      <w:r>
        <w:rPr>
          <w:spacing w:val="-1"/>
        </w:rPr>
        <w:t>六、不同类型游戏用户基础属性对比</w:t>
      </w:r>
    </w:p>
    <w:p>
      <w:pPr>
        <w:pStyle w:val="BodyText"/>
        <w:spacing w:before="252" w:line="221" w:lineRule="auto"/>
        <w:rPr/>
      </w:pPr>
      <w:r>
        <w:rPr>
          <w:spacing w:val="3"/>
        </w:rPr>
        <w:t>第四章用户游戏动机与付费行为分析</w:t>
      </w:r>
    </w:p>
    <w:p>
      <w:pPr>
        <w:pStyle w:val="BodyText"/>
        <w:spacing w:before="112" w:line="221" w:lineRule="auto"/>
        <w:rPr/>
      </w:pPr>
      <w:r>
        <w:rPr>
          <w:spacing w:val="1"/>
        </w:rPr>
        <w:t>一、用户游戏动机分类</w:t>
      </w:r>
    </w:p>
    <w:p>
      <w:pPr>
        <w:pStyle w:val="BodyText"/>
        <w:spacing w:before="143" w:line="222" w:lineRule="auto"/>
        <w:rPr/>
      </w:pPr>
      <w:r>
        <w:rPr>
          <w:spacing w:val="6"/>
        </w:rPr>
        <w:t>二、付费意愿漏斗与</w:t>
      </w:r>
      <w:r>
        <w:rPr>
          <w:rFonts w:ascii="SimSun" w:hAnsi="SimSun" w:eastAsia="SimSun" w:cs="SimSun"/>
        </w:rPr>
        <w:t>monetization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6"/>
        </w:rPr>
        <w:t>模式</w:t>
      </w:r>
    </w:p>
    <w:p>
      <w:pPr>
        <w:pStyle w:val="BodyText"/>
        <w:ind w:left="3"/>
        <w:spacing w:before="258" w:line="222" w:lineRule="auto"/>
        <w:outlineLvl w:val="3"/>
        <w:rPr/>
      </w:pPr>
      <w:r>
        <w:rPr>
          <w:b/>
          <w:bCs/>
          <w:spacing w:val="2"/>
        </w:rPr>
        <w:t>第五章结论与战略建议</w:t>
      </w:r>
    </w:p>
    <w:p>
      <w:pPr>
        <w:pStyle w:val="BodyText"/>
        <w:spacing w:before="124" w:line="221" w:lineRule="auto"/>
        <w:rPr/>
      </w:pPr>
      <w:r>
        <w:rPr>
          <w:spacing w:val="1"/>
        </w:rPr>
        <w:t>一、主要发现总结</w:t>
      </w:r>
    </w:p>
    <w:p>
      <w:pPr>
        <w:pStyle w:val="BodyText"/>
        <w:spacing w:before="143" w:line="222" w:lineRule="auto"/>
        <w:rPr/>
      </w:pPr>
      <w:r>
        <w:rPr/>
        <w:t>二、战略建议与宏观政策关联</w:t>
      </w:r>
    </w:p>
    <w:p>
      <w:pPr>
        <w:spacing w:line="28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134795</wp:posOffset>
            </wp:positionV>
            <wp:extent cx="6515058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1" w:line="222" w:lineRule="auto"/>
        <w:outlineLvl w:val="1"/>
        <w:rPr>
          <w:sz w:val="37"/>
          <w:szCs w:val="37"/>
        </w:rPr>
      </w:pPr>
      <w:r>
        <w:rPr>
          <w:sz w:val="37"/>
          <w:szCs w:val="37"/>
          <w:b/>
          <w:bCs/>
          <w:spacing w:val="2"/>
        </w:rPr>
        <w:t>第一章绪论</w:t>
      </w:r>
    </w:p>
    <w:p>
      <w:pPr>
        <w:pStyle w:val="BodyText"/>
        <w:ind w:left="4"/>
        <w:spacing w:before="193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一、研究背景</w:t>
      </w:r>
    </w:p>
    <w:p>
      <w:pPr>
        <w:pStyle w:val="BodyText"/>
        <w:ind w:right="23"/>
        <w:spacing w:before="212" w:line="322" w:lineRule="auto"/>
        <w:rPr/>
      </w:pPr>
      <w:r>
        <w:rPr>
          <w:spacing w:val="4"/>
        </w:rPr>
        <w:t>据</w:t>
      </w:r>
      <w:r>
        <w:rPr>
          <w:rFonts w:ascii="Times New Roman" w:hAnsi="Times New Roman" w:eastAsia="Times New Roman" w:cs="Times New Roman"/>
        </w:rPr>
        <w:t>Newzoo</w:t>
      </w:r>
      <w:r>
        <w:rPr>
          <w:rFonts w:ascii="SimSun" w:hAnsi="SimSun" w:eastAsia="SimSun" w:cs="SimSun"/>
          <w:spacing w:val="4"/>
        </w:rPr>
        <w:t>《</w:t>
      </w:r>
      <w:r>
        <w:rPr>
          <w:rFonts w:ascii="Times New Roman" w:hAnsi="Times New Roman" w:eastAsia="Times New Roman" w:cs="Times New Roman"/>
          <w:spacing w:val="4"/>
        </w:rPr>
        <w:t>2025   </w:t>
      </w:r>
      <w:r>
        <w:rPr>
          <w:spacing w:val="4"/>
        </w:rPr>
        <w:t>全球游戏市场报告》指出，2025年全球游戏市场收入预计达到188.8亿美元，</w:t>
      </w:r>
      <w:r>
        <w:rPr>
          <w:spacing w:val="11"/>
        </w:rPr>
        <w:t xml:space="preserve"> </w:t>
      </w:r>
      <w:r>
        <w:rPr>
          <w:spacing w:val="1"/>
        </w:rPr>
        <w:t>游戏玩家规模达36亿人，表明电子游戏已成为主流数字娱乐形式。中国作为全球最大游戏市场之</w:t>
      </w:r>
      <w:r>
        <w:rPr>
          <w:spacing w:val="16"/>
        </w:rPr>
        <w:t xml:space="preserve"> </w:t>
      </w:r>
      <w:r>
        <w:rPr>
          <w:spacing w:val="8"/>
        </w:rPr>
        <w:t>一，据伽马数据(中国音像与数字出版协会游戏出版工作委员会战略合作伙伴)发布的《2025中</w:t>
      </w:r>
      <w:r>
        <w:rPr>
          <w:spacing w:val="7"/>
        </w:rPr>
        <w:t xml:space="preserve"> </w:t>
      </w:r>
      <w:r>
        <w:rPr>
          <w:spacing w:val="6"/>
        </w:rPr>
        <w:t>国游戏产业报告》显示，2025年中国游戏市场实际销售收入达3</w:t>
      </w:r>
      <w:r>
        <w:rPr>
          <w:spacing w:val="5"/>
        </w:rPr>
        <w:t>507.89亿元，用户规模达6.83亿</w:t>
      </w:r>
      <w:r>
        <w:rPr/>
        <w:t xml:space="preserve"> </w:t>
      </w:r>
      <w:r>
        <w:rPr>
          <w:spacing w:val="1"/>
        </w:rPr>
        <w:t>人。不同类型电子游戏的用户群体呈现显著差异</w:t>
      </w:r>
      <w:r>
        <w:rPr/>
        <w:t>化特征，这可能表明游戏品类设计与用户画像</w:t>
      </w:r>
    </w:p>
    <w:p>
      <w:pPr>
        <w:pStyle w:val="BodyText"/>
        <w:ind w:right="181" w:firstLine="159"/>
        <w:spacing w:before="15" w:line="327" w:lineRule="auto"/>
        <w:rPr/>
      </w:pP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User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</w:rPr>
        <w:t>Portrait</w:t>
      </w:r>
      <w:r>
        <w:rPr>
          <w:rFonts w:ascii="SimSun" w:hAnsi="SimSun" w:eastAsia="SimSun" w:cs="SimSun"/>
          <w:spacing w:val="2"/>
        </w:rPr>
        <w:t>,</w:t>
      </w:r>
      <w:r>
        <w:rPr>
          <w:spacing w:val="2"/>
        </w:rPr>
        <w:t>指基于人口统计学、行为心理等多维度构建的用户典型特征描述)的高度匹配</w:t>
      </w:r>
      <w:r>
        <w:rPr>
          <w:spacing w:val="3"/>
        </w:rPr>
        <w:t xml:space="preserve"> </w:t>
      </w:r>
      <w:r>
        <w:rPr>
          <w:spacing w:val="-2"/>
        </w:rPr>
        <w:t>性已成为行业竞争核心。</w:t>
      </w:r>
    </w:p>
    <w:p>
      <w:pPr>
        <w:pStyle w:val="BodyText"/>
        <w:ind w:left="4"/>
        <w:spacing w:before="331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</w:rPr>
        <w:t>二、研究意义</w:t>
      </w:r>
    </w:p>
    <w:p>
      <w:pPr>
        <w:pStyle w:val="BodyText"/>
        <w:ind w:right="190"/>
        <w:spacing w:before="230" w:line="321" w:lineRule="auto"/>
        <w:jc w:val="both"/>
        <w:rPr/>
      </w:pPr>
      <w:r>
        <w:rPr/>
        <w:t>本报告通过对主要游戏类型用户群体的系统分析，可为游戏企业产品</w:t>
      </w:r>
      <w:r>
        <w:rPr>
          <w:spacing w:val="-1"/>
        </w:rPr>
        <w:t>定位、运营策略及内容设计</w:t>
      </w:r>
      <w:r>
        <w:rPr/>
        <w:t xml:space="preserve"> </w:t>
      </w:r>
      <w:r>
        <w:rPr/>
        <w:t>提供战略参考价值。同时，通常而言，此类研究有助于决策者理解数</w:t>
      </w:r>
      <w:r>
        <w:rPr>
          <w:spacing w:val="-1"/>
        </w:rPr>
        <w:t>字娱乐对社会文化的影响，</w:t>
      </w:r>
      <w:r>
        <w:rPr/>
        <w:t xml:space="preserve"> </w:t>
      </w:r>
      <w:r>
        <w:rPr>
          <w:spacing w:val="-3"/>
        </w:rPr>
        <w:t>并为相关宏观政策制定提供依据。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三、研究方法与数据来源</w:t>
      </w:r>
    </w:p>
    <w:p>
      <w:pPr>
        <w:pStyle w:val="BodyText"/>
        <w:ind w:right="87"/>
        <w:spacing w:before="182" w:line="328" w:lineRule="auto"/>
        <w:rPr/>
      </w:pPr>
      <w:r>
        <w:rPr/>
        <w:t>本报告采用二手数据分析法，主要来源包括</w:t>
      </w:r>
      <w:r>
        <w:rPr>
          <w:rFonts w:ascii="SimSun" w:hAnsi="SimSun" w:eastAsia="SimSun" w:cs="SimSun"/>
        </w:rPr>
        <w:t>Newzoo</w:t>
      </w:r>
      <w:r>
        <w:rPr>
          <w:rFonts w:ascii="SimSun" w:hAnsi="SimSun" w:eastAsia="SimSun" w:cs="SimSun"/>
          <w:spacing w:val="72"/>
        </w:rPr>
        <w:t xml:space="preserve"> </w:t>
      </w:r>
      <w:r>
        <w:rPr/>
        <w:t>全球游戏</w:t>
      </w:r>
      <w:r>
        <w:rPr>
          <w:spacing w:val="-1"/>
        </w:rPr>
        <w:t>市场报告、伽马数据与中国音数协</w:t>
      </w:r>
      <w:r>
        <w:rPr/>
        <w:t xml:space="preserve">  </w:t>
      </w:r>
      <w:r>
        <w:rPr/>
        <w:t>游戏工委联合发布的产业报告、</w:t>
      </w:r>
      <w:r>
        <w:rPr>
          <w:rFonts w:ascii="SimSun" w:hAnsi="SimSun" w:eastAsia="SimSun" w:cs="SimSun"/>
        </w:rPr>
        <w:t>Sensor</w:t>
      </w:r>
      <w:r>
        <w:rPr>
          <w:rFonts w:ascii="SimSun" w:hAnsi="SimSun" w:eastAsia="SimSun" w:cs="SimSun"/>
          <w:spacing w:val="117"/>
        </w:rPr>
        <w:t xml:space="preserve"> </w:t>
      </w:r>
      <w:r>
        <w:rPr>
          <w:rFonts w:ascii="SimSun" w:hAnsi="SimSun" w:eastAsia="SimSun" w:cs="SimSun"/>
        </w:rPr>
        <w:t>T</w:t>
      </w:r>
      <w:r>
        <w:rPr>
          <w:rFonts w:ascii="SimSun" w:hAnsi="SimSun" w:eastAsia="SimSun" w:cs="SimSun"/>
          <w:spacing w:val="-1"/>
        </w:rPr>
        <w:t>ower</w:t>
      </w:r>
      <w:r>
        <w:rPr>
          <w:spacing w:val="-1"/>
        </w:rPr>
        <w:t>移动游戏洞察以及国际数字娱乐研究院整合的行业</w:t>
      </w:r>
      <w:r>
        <w:rPr/>
        <w:t xml:space="preserve"> </w:t>
      </w:r>
      <w:r>
        <w:rPr>
          <w:spacing w:val="-2"/>
        </w:rPr>
        <w:t>调研数据。所有关键论断均附权威机构来源支持。</w:t>
      </w:r>
    </w:p>
    <w:p>
      <w:pPr>
        <w:spacing w:line="328" w:lineRule="auto"/>
        <w:sectPr>
          <w:footerReference w:type="default" r:id="rId1"/>
          <w:pgSz w:w="12240" w:h="15840"/>
          <w:pgMar w:top="1259" w:right="1000" w:bottom="1880" w:left="980" w:header="0" w:footer="1870" w:gutter="0"/>
        </w:sectPr>
        <w:rPr/>
      </w:pPr>
    </w:p>
    <w:p>
      <w:pPr>
        <w:pStyle w:val="BodyText"/>
        <w:ind w:left="5"/>
        <w:spacing w:before="120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2"/>
        </w:rPr>
        <w:t>第二章全球及中国游戏市场概述</w:t>
      </w:r>
    </w:p>
    <w:p>
      <w:pPr>
        <w:pStyle w:val="BodyText"/>
        <w:ind w:left="4"/>
        <w:spacing w:before="20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一、全球游戏市场规模与趋势</w:t>
      </w:r>
    </w:p>
    <w:p>
      <w:pPr>
        <w:pStyle w:val="BodyText"/>
        <w:ind w:right="110"/>
        <w:spacing w:before="213" w:line="318" w:lineRule="auto"/>
        <w:jc w:val="both"/>
        <w:rPr/>
      </w:pPr>
      <w:r>
        <w:rPr>
          <w:spacing w:val="9"/>
        </w:rPr>
        <w:t>据</w:t>
      </w:r>
      <w:r>
        <w:rPr>
          <w:rFonts w:ascii="Times New Roman" w:hAnsi="Times New Roman" w:eastAsia="Times New Roman" w:cs="Times New Roman"/>
        </w:rPr>
        <w:t>Newzoo</w:t>
      </w:r>
      <w:r>
        <w:rPr>
          <w:rFonts w:ascii="SimSun" w:hAnsi="SimSun" w:eastAsia="SimSun" w:cs="SimSun"/>
          <w:spacing w:val="9"/>
        </w:rPr>
        <w:t>《</w:t>
      </w:r>
      <w:r>
        <w:rPr>
          <w:rFonts w:ascii="Times New Roman" w:hAnsi="Times New Roman" w:eastAsia="Times New Roman" w:cs="Times New Roman"/>
          <w:spacing w:val="9"/>
        </w:rPr>
        <w:t>2025   </w:t>
      </w:r>
      <w:r>
        <w:rPr>
          <w:spacing w:val="9"/>
        </w:rPr>
        <w:t>全球游戏市场报告》显示，2025年全球游戏收入同比增长3.4%</w:t>
      </w:r>
      <w:r>
        <w:rPr>
          <w:spacing w:val="8"/>
        </w:rPr>
        <w:t>,玩家规模达</w:t>
      </w:r>
      <w:r>
        <w:rPr/>
        <w:t xml:space="preserve"> </w:t>
      </w:r>
      <w:r>
        <w:rPr>
          <w:spacing w:val="2"/>
        </w:rPr>
        <w:t>36亿，其中移动游戏占比最高。主流研究显示</w:t>
      </w:r>
      <w:r>
        <w:rPr>
          <w:spacing w:val="1"/>
        </w:rPr>
        <w:t>，游戏用户人口统计学特征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Demographics</w:t>
      </w:r>
      <w:r>
        <w:rPr>
          <w:rFonts w:ascii="Times New Roman" w:hAnsi="Times New Roman" w:eastAsia="Times New Roman" w:cs="Times New Roman"/>
          <w:spacing w:val="1"/>
        </w:rPr>
        <w:t>)       </w:t>
      </w:r>
      <w:r>
        <w:rPr>
          <w:spacing w:val="1"/>
        </w:rPr>
        <w:t>正</w:t>
      </w:r>
      <w:r>
        <w:rPr/>
        <w:t xml:space="preserve"> </w:t>
      </w:r>
      <w:r>
        <w:rPr>
          <w:spacing w:val="10"/>
        </w:rPr>
        <w:t>趋向多元化，女性玩家占比已接近45%,平均玩家年龄上升至36</w:t>
      </w:r>
      <w:r>
        <w:rPr>
          <w:spacing w:val="9"/>
        </w:rPr>
        <w:t>岁。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二、中国游戏市场现状与用户规模</w:t>
      </w:r>
    </w:p>
    <w:p>
      <w:pPr>
        <w:pStyle w:val="BodyText"/>
        <w:ind w:right="111"/>
        <w:spacing w:before="204" w:line="328" w:lineRule="auto"/>
        <w:jc w:val="both"/>
        <w:rPr/>
      </w:pPr>
      <w:r>
        <w:rPr>
          <w:spacing w:val="7"/>
        </w:rPr>
        <w:t>据伽马数据《2025中国游戏产业报告》指出，2025年中国游戏市场收入3507.89亿元，同比增</w:t>
      </w:r>
      <w:r>
        <w:rPr>
          <w:spacing w:val="8"/>
        </w:rPr>
        <w:t xml:space="preserve"> </w:t>
      </w:r>
      <w:r>
        <w:rPr>
          <w:spacing w:val="14"/>
        </w:rPr>
        <w:t>长7.68%,用户规模6.83亿，同比增长1.35%。自主研</w:t>
      </w:r>
      <w:r>
        <w:rPr>
          <w:spacing w:val="13"/>
        </w:rPr>
        <w:t>发游戏国内收入占比超83%,体现出较强</w:t>
      </w:r>
      <w:r>
        <w:rPr/>
        <w:t xml:space="preserve"> </w:t>
      </w:r>
      <w:r>
        <w:rPr>
          <w:spacing w:val="-3"/>
        </w:rPr>
        <w:t>的本土化供给能力。</w:t>
      </w:r>
    </w:p>
    <w:p>
      <w:pPr>
        <w:pStyle w:val="BodyText"/>
        <w:ind w:left="4"/>
        <w:spacing w:before="329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三、关键指标解读</w:t>
      </w:r>
    </w:p>
    <w:p>
      <w:pPr>
        <w:pStyle w:val="BodyText"/>
        <w:ind w:left="509" w:right="85" w:hanging="146"/>
        <w:spacing w:before="234" w:line="262" w:lineRule="auto"/>
        <w:rPr/>
      </w:pPr>
      <w:r>
        <w:rPr>
          <w:b/>
          <w:bCs/>
          <w:spacing w:val="-3"/>
        </w:rPr>
        <w:t>·DAU/MAU</w:t>
      </w:r>
      <w:r>
        <w:rPr>
          <w:spacing w:val="63"/>
        </w:rPr>
        <w:t xml:space="preserve">  </w:t>
      </w:r>
      <w:r>
        <w:rPr>
          <w:b/>
          <w:bCs/>
          <w:spacing w:val="-3"/>
        </w:rPr>
        <w:t>比值</w:t>
      </w:r>
      <w:r>
        <w:rPr>
          <w:spacing w:val="-3"/>
        </w:rPr>
        <w:t xml:space="preserve"> </w:t>
      </w:r>
      <w:r>
        <w:rPr>
          <w:spacing w:val="-3"/>
        </w:rPr>
        <w:t>(Daily</w:t>
      </w:r>
      <w:r>
        <w:rPr>
          <w:spacing w:val="-3"/>
        </w:rPr>
        <w:t xml:space="preserve"> </w:t>
      </w:r>
      <w:r>
        <w:rPr>
          <w:spacing w:val="-3"/>
        </w:rPr>
        <w:t>Active</w:t>
      </w:r>
      <w:r>
        <w:rPr>
          <w:spacing w:val="32"/>
        </w:rPr>
        <w:t xml:space="preserve"> </w:t>
      </w:r>
      <w:r>
        <w:rPr>
          <w:spacing w:val="-3"/>
        </w:rPr>
        <w:t>Users/Monthly</w:t>
      </w:r>
      <w:r>
        <w:rPr>
          <w:spacing w:val="-3"/>
        </w:rPr>
        <w:t xml:space="preserve"> </w:t>
      </w:r>
      <w:r>
        <w:rPr>
          <w:spacing w:val="-3"/>
        </w:rPr>
        <w:t>Active</w:t>
      </w:r>
      <w:r>
        <w:rPr>
          <w:spacing w:val="31"/>
        </w:rPr>
        <w:t xml:space="preserve"> </w:t>
      </w:r>
      <w:r>
        <w:rPr>
          <w:spacing w:val="-3"/>
        </w:rPr>
        <w:t>Users,</w:t>
      </w:r>
      <w:r>
        <w:rPr>
          <w:spacing w:val="-59"/>
        </w:rPr>
        <w:t xml:space="preserve"> </w:t>
      </w:r>
      <w:r>
        <w:rPr>
          <w:spacing w:val="-3"/>
        </w:rPr>
        <w:t>日活跃用户与月活跃用户比</w:t>
      </w:r>
      <w:r>
        <w:rPr/>
        <w:t xml:space="preserve"> </w:t>
      </w:r>
      <w:r>
        <w:rPr>
          <w:spacing w:val="10"/>
        </w:rPr>
        <w:t>率):衡量用户黏性，通常高于30%表明较高活跃度。</w:t>
      </w:r>
    </w:p>
    <w:p>
      <w:pPr>
        <w:pStyle w:val="BodyText"/>
        <w:ind w:left="509" w:right="460" w:hanging="136"/>
        <w:spacing w:before="279" w:line="262" w:lineRule="auto"/>
        <w:rPr/>
      </w:pPr>
      <w:r>
        <w:rPr>
          <w:rFonts w:ascii="SimSun" w:hAnsi="SimSun" w:eastAsia="SimSun" w:cs="SimSun"/>
          <w:b/>
          <w:bCs/>
          <w:spacing w:val="-1"/>
        </w:rPr>
        <w:t>·ARPPU</w:t>
      </w:r>
      <w:r>
        <w:rPr>
          <w:rFonts w:ascii="SimSun" w:hAnsi="SimSun" w:eastAsia="SimSun" w:cs="SimSun"/>
          <w:spacing w:val="-1"/>
        </w:rPr>
        <w:t xml:space="preserve">   (Average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rFonts w:ascii="SimSun" w:hAnsi="SimSun" w:eastAsia="SimSun" w:cs="SimSun"/>
          <w:spacing w:val="-1"/>
        </w:rPr>
        <w:t>Revenue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1"/>
        </w:rPr>
        <w:t>Per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spacing w:val="-1"/>
        </w:rPr>
        <w:t>Paying</w:t>
      </w:r>
      <w:r>
        <w:rPr>
          <w:rFonts w:ascii="SimSun" w:hAnsi="SimSun" w:eastAsia="SimSun" w:cs="SimSun"/>
          <w:spacing w:val="50"/>
        </w:rPr>
        <w:t xml:space="preserve"> </w:t>
      </w:r>
      <w:r>
        <w:rPr>
          <w:rFonts w:ascii="SimSun" w:hAnsi="SimSun" w:eastAsia="SimSun" w:cs="SimSun"/>
          <w:spacing w:val="-1"/>
        </w:rPr>
        <w:t>User,</w:t>
      </w:r>
      <w:r>
        <w:rPr>
          <w:spacing w:val="-1"/>
        </w:rPr>
        <w:t>每付费用户平均收入):反映付费用户价</w:t>
      </w:r>
      <w:r>
        <w:rPr/>
        <w:t xml:space="preserve"> </w:t>
      </w:r>
      <w:r>
        <w:rPr>
          <w:spacing w:val="2"/>
        </w:rPr>
        <w:t>值，通常用于评估付费意愿漏斗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Funnel</w:t>
      </w:r>
      <w:r>
        <w:rPr>
          <w:rFonts w:ascii="SimSun" w:hAnsi="SimSun" w:eastAsia="SimSun" w:cs="SimSun"/>
          <w:spacing w:val="2"/>
        </w:rPr>
        <w:t>,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2"/>
        </w:rPr>
        <w:t>从曝光到付费的转化路径)效率。</w:t>
      </w:r>
    </w:p>
    <w:p>
      <w:pPr>
        <w:pStyle w:val="BodyText"/>
        <w:ind w:left="509"/>
        <w:spacing w:before="133" w:line="213" w:lineRule="auto"/>
        <w:rPr/>
      </w:pPr>
      <w:r>
        <w:rPr/>
        <w:t>行业报告普遍认为，高</w:t>
      </w:r>
      <w:r>
        <w:rPr>
          <w:rFonts w:ascii="SimSun" w:hAnsi="SimSun" w:eastAsia="SimSun" w:cs="SimSun"/>
        </w:rPr>
        <w:t>DAU/MAU</w:t>
      </w:r>
      <w:r>
        <w:rPr>
          <w:rFonts w:ascii="SimSun" w:hAnsi="SimSun" w:eastAsia="SimSun" w:cs="SimSun"/>
          <w:spacing w:val="37"/>
        </w:rPr>
        <w:t xml:space="preserve">  </w:t>
      </w:r>
      <w:r>
        <w:rPr/>
        <w:t>比值与高</w:t>
      </w:r>
      <w:r>
        <w:rPr>
          <w:rFonts w:ascii="SimSun" w:hAnsi="SimSun" w:eastAsia="SimSun" w:cs="SimSun"/>
          <w:spacing w:val="-1"/>
        </w:rPr>
        <w:t>ARPPU</w:t>
      </w:r>
      <w:r>
        <w:rPr>
          <w:rFonts w:ascii="SimSun" w:hAnsi="SimSun" w:eastAsia="SimSun" w:cs="SimSun"/>
          <w:spacing w:val="93"/>
        </w:rPr>
        <w:t xml:space="preserve"> </w:t>
      </w:r>
      <w:r>
        <w:rPr>
          <w:spacing w:val="-1"/>
        </w:rPr>
        <w:t>共同构成游戏长线运营基础。</w:t>
      </w:r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155799</wp:posOffset>
            </wp:positionV>
            <wp:extent cx="6515058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1"/>
        </w:rPr>
        <w:t>第三章不同类型电子游戏用户群体特征分析</w:t>
      </w:r>
    </w:p>
    <w:p>
      <w:pPr>
        <w:pStyle w:val="BodyText"/>
        <w:ind w:left="4"/>
        <w:spacing w:before="18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一、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MOBA</w:t>
      </w:r>
      <w:r>
        <w:rPr>
          <w:rFonts w:ascii="SimSun" w:hAnsi="SimSun" w:eastAsia="SimSun" w:cs="SimSun"/>
          <w:sz w:val="30"/>
          <w:szCs w:val="30"/>
          <w:spacing w:val="23"/>
        </w:rPr>
        <w:t xml:space="preserve">  </w:t>
      </w:r>
      <w:r>
        <w:rPr>
          <w:sz w:val="30"/>
          <w:szCs w:val="30"/>
          <w:b/>
          <w:bCs/>
          <w:spacing w:val="-3"/>
        </w:rPr>
        <w:t>类游戏用户群体</w:t>
      </w:r>
    </w:p>
    <w:p>
      <w:pPr>
        <w:pStyle w:val="BodyText"/>
        <w:ind w:left="163"/>
        <w:spacing w:before="199" w:line="221" w:lineRule="auto"/>
        <w:outlineLvl w:val="3"/>
        <w:rPr/>
      </w:pPr>
      <w:r>
        <w:rPr>
          <w:b/>
          <w:bCs/>
          <w:spacing w:val="8"/>
        </w:rPr>
        <w:t>(一)典型用户画像</w:t>
      </w:r>
    </w:p>
    <w:p>
      <w:pPr>
        <w:pStyle w:val="BodyText"/>
        <w:ind w:right="40"/>
        <w:spacing w:before="228" w:line="328" w:lineRule="auto"/>
        <w:rPr>
          <w:rFonts w:ascii="SimSun" w:hAnsi="SimSun" w:eastAsia="SimSun" w:cs="SimSun"/>
        </w:rPr>
      </w:pPr>
      <w:r>
        <w:rPr>
          <w:spacing w:val="6"/>
        </w:rPr>
        <w:t>据主流行业调研(如伽马数据及国际数字娱乐研究院数据)显示，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</w:rPr>
        <w:t>MOBA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Multiplayer</w:t>
      </w:r>
      <w:r>
        <w:rPr>
          <w:rFonts w:ascii="SimSun" w:hAnsi="SimSun" w:eastAsia="SimSun" w:cs="SimSun"/>
          <w:spacing w:val="6"/>
        </w:rPr>
        <w:t xml:space="preserve">   </w:t>
      </w:r>
      <w:r>
        <w:rPr>
          <w:rFonts w:ascii="SimSun" w:hAnsi="SimSun" w:eastAsia="SimSun" w:cs="SimSun"/>
        </w:rPr>
        <w:t>Online  </w:t>
      </w:r>
      <w:r>
        <w:rPr>
          <w:rFonts w:ascii="Times New Roman" w:hAnsi="Times New Roman" w:eastAsia="Times New Roman" w:cs="Times New Roman"/>
        </w:rPr>
        <w:t>Battle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</w:rPr>
        <w:t>Arena</w:t>
      </w:r>
      <w:r>
        <w:rPr>
          <w:rFonts w:ascii="Times New Roman" w:hAnsi="Times New Roman" w:eastAsia="Times New Roman" w:cs="Times New Roman"/>
          <w:spacing w:val="5"/>
        </w:rPr>
        <w:t>,  </w:t>
      </w:r>
      <w:r>
        <w:rPr>
          <w:spacing w:val="5"/>
        </w:rPr>
        <w:t>多人在线竞技场)类游戏用户以年轻男性为主，年龄集中于18-30岁，男性占比通</w:t>
      </w:r>
      <w:r>
        <w:rPr>
          <w:spacing w:val="13"/>
        </w:rPr>
        <w:t xml:space="preserve"> </w:t>
      </w:r>
      <w:r>
        <w:rPr>
          <w:spacing w:val="9"/>
        </w:rPr>
        <w:t>常达70%-80%。此类用户表现出强烈的竞争心</w:t>
      </w:r>
      <w:r>
        <w:rPr>
          <w:spacing w:val="8"/>
        </w:rPr>
        <w:t>理与团队协作需求，常受心流理论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Flow</w:t>
      </w:r>
    </w:p>
    <w:p>
      <w:pPr>
        <w:pStyle w:val="BodyText"/>
        <w:spacing w:before="9" w:line="213" w:lineRule="auto"/>
        <w:rPr/>
      </w:pPr>
      <w:r>
        <w:rPr>
          <w:rFonts w:ascii="SimSun" w:hAnsi="SimSun" w:eastAsia="SimSun" w:cs="SimSun"/>
        </w:rPr>
        <w:t>Theory</w:t>
      </w:r>
      <w:r>
        <w:rPr>
          <w:rFonts w:ascii="SimSun" w:hAnsi="SimSun" w:eastAsia="SimSun" w:cs="SimSun"/>
          <w:spacing w:val="4"/>
        </w:rPr>
        <w:t>,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spacing w:val="4"/>
        </w:rPr>
        <w:t>指沉浸式体验状态)驱动，追求排位晋级与即时反馈。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78" w:line="221" w:lineRule="auto"/>
        <w:outlineLvl w:val="3"/>
        <w:rPr/>
      </w:pPr>
      <w:r>
        <w:rPr>
          <w:b/>
          <w:bCs/>
          <w:spacing w:val="4"/>
        </w:rPr>
        <w:t>(二)群体内部差异性及潜在局限性</w:t>
      </w:r>
    </w:p>
    <w:p>
      <w:pPr>
        <w:spacing w:line="221" w:lineRule="auto"/>
        <w:sectPr>
          <w:footerReference w:type="default" r:id="rId3"/>
          <w:pgSz w:w="12240" w:h="15840"/>
          <w:pgMar w:top="1346" w:right="1000" w:bottom="400" w:left="980" w:header="0" w:footer="0" w:gutter="0"/>
        </w:sectPr>
        <w:rPr/>
      </w:pPr>
    </w:p>
    <w:p>
      <w:pPr>
        <w:pStyle w:val="BodyText"/>
        <w:ind w:right="22"/>
        <w:spacing w:before="49" w:line="321" w:lineRule="auto"/>
        <w:jc w:val="both"/>
        <w:rPr/>
      </w:pPr>
      <w:r>
        <w:rPr>
          <w:spacing w:val="2"/>
        </w:rPr>
        <w:t>尽管竞争性为主要特征，但也存在部分以休闲娱乐为主要目的的</w:t>
      </w:r>
      <w:r>
        <w:rPr>
          <w:spacing w:val="1"/>
        </w:rPr>
        <w:t>细分群体，如女性玩家或30岁以</w:t>
      </w:r>
      <w:r>
        <w:rPr/>
        <w:t xml:space="preserve"> </w:t>
      </w:r>
      <w:r>
        <w:rPr>
          <w:spacing w:val="-3"/>
        </w:rPr>
        <w:t>上用户，他们更注重社交互动而非高强度对抗。该画像的潜在局限性在于，可能低估了新兴“轻度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-1"/>
        </w:rPr>
        <w:t>MOBA” </w:t>
      </w:r>
      <w:r>
        <w:rPr>
          <w:spacing w:val="-1"/>
        </w:rPr>
        <w:t>产品的渗透潜力，导致对中老年或女性市</w:t>
      </w:r>
      <w:r>
        <w:rPr>
          <w:spacing w:val="-2"/>
        </w:rPr>
        <w:t>场的覆盖不足。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二、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FPS </w:t>
      </w:r>
      <w:r>
        <w:rPr>
          <w:sz w:val="30"/>
          <w:szCs w:val="30"/>
          <w:b/>
          <w:bCs/>
          <w:spacing w:val="-6"/>
        </w:rPr>
        <w:t>类游戏用户群体</w:t>
      </w:r>
    </w:p>
    <w:p>
      <w:pPr>
        <w:pStyle w:val="BodyText"/>
        <w:ind w:left="153"/>
        <w:spacing w:before="189" w:line="221" w:lineRule="auto"/>
        <w:outlineLvl w:val="3"/>
        <w:rPr/>
      </w:pPr>
      <w:r>
        <w:rPr>
          <w:b/>
          <w:bCs/>
          <w:spacing w:val="8"/>
        </w:rPr>
        <w:t>(一)典型用户画像</w:t>
      </w:r>
    </w:p>
    <w:p>
      <w:pPr>
        <w:pStyle w:val="BodyText"/>
        <w:spacing w:before="215" w:line="329" w:lineRule="auto"/>
        <w:rPr/>
      </w:pPr>
      <w:r>
        <w:rPr>
          <w:spacing w:val="6"/>
        </w:rPr>
        <w:t>根据</w:t>
      </w:r>
      <w:r>
        <w:rPr>
          <w:rFonts w:ascii="SimSun" w:hAnsi="SimSun" w:eastAsia="SimSun" w:cs="SimSun"/>
        </w:rPr>
        <w:t>Newzoo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spacing w:val="6"/>
        </w:rPr>
        <w:t>及伽马数据相关品类分析，</w:t>
      </w:r>
      <w:r>
        <w:rPr>
          <w:rFonts w:ascii="SimSun" w:hAnsi="SimSun" w:eastAsia="SimSun" w:cs="SimSun"/>
        </w:rPr>
        <w:t>FPS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First</w:t>
      </w:r>
      <w:r>
        <w:rPr>
          <w:rFonts w:ascii="SimSun" w:hAnsi="SimSun" w:eastAsia="SimSun" w:cs="SimSun"/>
          <w:spacing w:val="6"/>
        </w:rPr>
        <w:t>-</w:t>
      </w:r>
      <w:r>
        <w:rPr>
          <w:rFonts w:ascii="SimSun" w:hAnsi="SimSun" w:eastAsia="SimSun" w:cs="SimSun"/>
        </w:rPr>
        <w:t>Person</w:t>
      </w:r>
      <w:r>
        <w:rPr>
          <w:rFonts w:ascii="SimSun" w:hAnsi="SimSun" w:eastAsia="SimSun" w:cs="SimSun"/>
          <w:spacing w:val="6"/>
        </w:rPr>
        <w:t xml:space="preserve">   </w:t>
      </w:r>
      <w:r>
        <w:rPr>
          <w:rFonts w:ascii="SimSun" w:hAnsi="SimSun" w:eastAsia="SimSun" w:cs="SimSun"/>
        </w:rPr>
        <w:t>Shooter</w:t>
      </w:r>
      <w:r>
        <w:rPr>
          <w:rFonts w:ascii="SimSun" w:hAnsi="SimSun" w:eastAsia="SimSun" w:cs="SimSun"/>
          <w:spacing w:val="6"/>
        </w:rPr>
        <w:t>,</w:t>
      </w:r>
      <w:r>
        <w:rPr>
          <w:spacing w:val="6"/>
        </w:rPr>
        <w:t>第一人称射</w:t>
      </w:r>
      <w:r>
        <w:rPr>
          <w:spacing w:val="5"/>
        </w:rPr>
        <w:t>击)类游戏用</w:t>
      </w:r>
      <w:r>
        <w:rPr/>
        <w:t xml:space="preserve"> </w:t>
      </w:r>
      <w:r>
        <w:rPr>
          <w:spacing w:val="6"/>
        </w:rPr>
        <w:t>户同样以年轻男性为主，年龄分布以18-35</w:t>
      </w:r>
      <w:r>
        <w:rPr>
          <w:spacing w:val="5"/>
        </w:rPr>
        <w:t>岁为主，男性占比约75%。用户通常具备较高的反应</w:t>
      </w:r>
      <w:r>
        <w:rPr/>
        <w:t xml:space="preserve">  </w:t>
      </w:r>
      <w:r>
        <w:rPr>
          <w:spacing w:val="-1"/>
        </w:rPr>
        <w:t>速度与战术思维，</w:t>
      </w:r>
      <w:r>
        <w:rPr>
          <w:rFonts w:ascii="SimSun" w:hAnsi="SimSun" w:eastAsia="SimSun" w:cs="SimSun"/>
          <w:spacing w:val="-1"/>
        </w:rPr>
        <w:t>DAU/MAU</w:t>
      </w:r>
      <w:r>
        <w:rPr>
          <w:rFonts w:ascii="SimSun" w:hAnsi="SimSun" w:eastAsia="SimSun" w:cs="SimSun"/>
          <w:spacing w:val="46"/>
        </w:rPr>
        <w:t xml:space="preserve">  </w:t>
      </w:r>
      <w:r>
        <w:rPr>
          <w:spacing w:val="-1"/>
        </w:rPr>
        <w:t>比值较高，体现出较强的日活跃黏性。</w:t>
      </w:r>
    </w:p>
    <w:p>
      <w:pPr>
        <w:pStyle w:val="BodyText"/>
        <w:ind w:left="153"/>
        <w:spacing w:before="194" w:line="221" w:lineRule="auto"/>
        <w:outlineLvl w:val="3"/>
        <w:rPr/>
      </w:pPr>
      <w:r>
        <w:rPr>
          <w:b/>
          <w:bCs/>
          <w:spacing w:val="3"/>
        </w:rPr>
        <w:t>(二)群体内部差异性及潜在局限性</w:t>
      </w:r>
    </w:p>
    <w:p>
      <w:pPr>
        <w:pStyle w:val="BodyText"/>
        <w:spacing w:before="226" w:line="213" w:lineRule="auto"/>
        <w:rPr/>
      </w:pPr>
      <w:r>
        <w:rPr>
          <w:spacing w:val="-11"/>
        </w:rPr>
        <w:t>群体内部存在显著的“娱乐型”与“竞技型”分化，前者</w:t>
      </w:r>
      <w:r>
        <w:rPr>
          <w:spacing w:val="-12"/>
        </w:rPr>
        <w:t>更注重休闲射击体验，后者追求电竞化排</w:t>
      </w:r>
    </w:p>
    <w:p>
      <w:pPr>
        <w:pStyle w:val="BodyText"/>
        <w:ind w:right="113"/>
        <w:spacing w:before="132" w:line="328" w:lineRule="auto"/>
        <w:rPr/>
      </w:pPr>
      <w:r>
        <w:rPr>
          <w:spacing w:val="1"/>
        </w:rPr>
        <w:t>位。该画像可能存在过度强调年轻男性的局限性，而忽略了近年来</w:t>
      </w:r>
      <w:r>
        <w:rPr/>
        <w:t>女性玩家在战术竞技子类中的</w:t>
      </w:r>
      <w:r>
        <w:rPr/>
        <w:t xml:space="preserve"> </w:t>
      </w:r>
      <w:r>
        <w:rPr>
          <w:spacing w:val="-7"/>
        </w:rPr>
        <w:t>增长趋势。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三、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MMORPG</w:t>
      </w:r>
      <w:r>
        <w:rPr>
          <w:sz w:val="30"/>
          <w:szCs w:val="30"/>
          <w:b/>
          <w:bCs/>
          <w:spacing w:val="-2"/>
        </w:rPr>
        <w:t>类游戏用户群体</w:t>
      </w:r>
    </w:p>
    <w:p>
      <w:pPr>
        <w:pStyle w:val="BodyText"/>
        <w:ind w:left="153"/>
        <w:spacing w:before="180" w:line="221" w:lineRule="auto"/>
        <w:outlineLvl w:val="3"/>
        <w:rPr/>
      </w:pPr>
      <w:r>
        <w:rPr>
          <w:b/>
          <w:bCs/>
          <w:spacing w:val="8"/>
        </w:rPr>
        <w:t>(一)典型用户画像</w:t>
      </w:r>
    </w:p>
    <w:p>
      <w:pPr>
        <w:pStyle w:val="BodyText"/>
        <w:ind w:right="19"/>
        <w:spacing w:before="227" w:line="312" w:lineRule="auto"/>
        <w:rPr/>
      </w:pPr>
      <w:r>
        <w:rPr/>
        <w:t>据伽马数据移动游戏品类报告及</w:t>
      </w:r>
      <w:r>
        <w:rPr>
          <w:rFonts w:ascii="SimSun" w:hAnsi="SimSun" w:eastAsia="SimSun" w:cs="SimSun"/>
        </w:rPr>
        <w:t>Sensor</w:t>
      </w:r>
      <w:r>
        <w:rPr>
          <w:rFonts w:ascii="SimSun" w:hAnsi="SimSun" w:eastAsia="SimSun" w:cs="SimSun"/>
          <w:spacing w:val="117"/>
        </w:rPr>
        <w:t xml:space="preserve"> </w:t>
      </w:r>
      <w:r>
        <w:rPr>
          <w:rFonts w:ascii="SimSun" w:hAnsi="SimSun" w:eastAsia="SimSun" w:cs="SimSun"/>
        </w:rPr>
        <w:t>Tower</w:t>
      </w:r>
      <w:r>
        <w:rPr/>
        <w:t>数据，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-1"/>
        </w:rPr>
        <w:t>ORPG(Massively</w:t>
      </w:r>
      <w:r>
        <w:rPr>
          <w:rFonts w:ascii="SimSun" w:hAnsi="SimSun" w:eastAsia="SimSun" w:cs="SimSun"/>
          <w:spacing w:val="37"/>
        </w:rPr>
        <w:t xml:space="preserve">  </w:t>
      </w:r>
      <w:r>
        <w:rPr>
          <w:rFonts w:ascii="SimSun" w:hAnsi="SimSun" w:eastAsia="SimSun" w:cs="SimSun"/>
          <w:spacing w:val="-1"/>
        </w:rPr>
        <w:t>Multiplayer</w:t>
      </w:r>
      <w:r>
        <w:rPr>
          <w:rFonts w:ascii="SimSun" w:hAnsi="SimSun" w:eastAsia="SimSun" w:cs="SimSun"/>
          <w:spacing w:val="41"/>
        </w:rPr>
        <w:t xml:space="preserve">  </w:t>
      </w:r>
      <w:r>
        <w:rPr>
          <w:rFonts w:ascii="SimSun" w:hAnsi="SimSun" w:eastAsia="SimSun" w:cs="SimSun"/>
          <w:spacing w:val="-1"/>
        </w:rPr>
        <w:t>Online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</w:rPr>
        <w:t>Role</w:t>
      </w:r>
      <w:r>
        <w:rPr>
          <w:rFonts w:ascii="SimSun" w:hAnsi="SimSun" w:eastAsia="SimSun" w:cs="SimSun"/>
          <w:spacing w:val="9"/>
        </w:rPr>
        <w:t>-</w:t>
      </w:r>
      <w:r>
        <w:rPr>
          <w:rFonts w:ascii="SimSun" w:hAnsi="SimSun" w:eastAsia="SimSun" w:cs="SimSun"/>
        </w:rPr>
        <w:t>Playing</w:t>
      </w:r>
      <w:r>
        <w:rPr>
          <w:rFonts w:ascii="SimSun" w:hAnsi="SimSun" w:eastAsia="SimSun" w:cs="SimSun"/>
          <w:spacing w:val="9"/>
        </w:rPr>
        <w:t xml:space="preserve">  </w:t>
      </w:r>
      <w:r>
        <w:rPr>
          <w:rFonts w:ascii="SimSun" w:hAnsi="SimSun" w:eastAsia="SimSun" w:cs="SimSun"/>
        </w:rPr>
        <w:t>Game</w:t>
      </w:r>
      <w:r>
        <w:rPr>
          <w:rFonts w:ascii="SimSun" w:hAnsi="SimSun" w:eastAsia="SimSun" w:cs="SimSun"/>
          <w:spacing w:val="9"/>
        </w:rPr>
        <w:t>,</w:t>
      </w:r>
      <w:r>
        <w:rPr>
          <w:spacing w:val="9"/>
        </w:rPr>
        <w:t>大型多人在线角色扮演)类游戏用户年龄分布更广，核心群体为25-40</w:t>
      </w:r>
    </w:p>
    <w:p>
      <w:pPr>
        <w:pStyle w:val="BodyText"/>
        <w:ind w:right="121"/>
        <w:spacing w:before="9" w:line="326" w:lineRule="auto"/>
        <w:rPr/>
      </w:pPr>
      <w:r>
        <w:rPr>
          <w:spacing w:val="4"/>
        </w:rPr>
        <w:t>岁，男女比例相对均衡(男性约60%)。用户表现出强烈的沉浸需求与长期养成动机，</w:t>
      </w:r>
      <w:r>
        <w:rPr>
          <w:spacing w:val="-6"/>
        </w:rPr>
        <w:t xml:space="preserve"> </w:t>
      </w:r>
      <w:r>
        <w:rPr>
          <w:rFonts w:ascii="Arial" w:hAnsi="Arial" w:eastAsia="Arial" w:cs="Arial"/>
        </w:rPr>
        <w:t>ARPPU</w:t>
      </w:r>
      <w:r>
        <w:rPr>
          <w:spacing w:val="4"/>
        </w:rPr>
        <w:t>通</w:t>
      </w:r>
      <w:r>
        <w:rPr/>
        <w:t xml:space="preserve"> </w:t>
      </w:r>
      <w:r>
        <w:rPr>
          <w:spacing w:val="-4"/>
        </w:rPr>
        <w:t>常较高。</w:t>
      </w:r>
    </w:p>
    <w:p>
      <w:pPr>
        <w:pStyle w:val="BodyText"/>
        <w:ind w:left="153"/>
        <w:spacing w:before="218" w:line="221" w:lineRule="auto"/>
        <w:outlineLvl w:val="3"/>
        <w:rPr/>
      </w:pPr>
      <w:r>
        <w:rPr>
          <w:b/>
          <w:bCs/>
          <w:spacing w:val="3"/>
        </w:rPr>
        <w:t>(二)群体内部差异性及潜在局限性</w:t>
      </w:r>
    </w:p>
    <w:p>
      <w:pPr>
        <w:pStyle w:val="BodyText"/>
        <w:ind w:right="151"/>
        <w:spacing w:before="218" w:line="328" w:lineRule="auto"/>
        <w:rPr/>
      </w:pPr>
      <w:r>
        <w:rPr>
          <w:spacing w:val="-6"/>
        </w:rPr>
        <w:t>虽然沉浸式叙事为主要特征，但也存在追求快速升级的“肝帝”与偏好社交公会的休闲玩家分群。</w:t>
      </w:r>
      <w:r>
        <w:rPr>
          <w:spacing w:val="8"/>
        </w:rPr>
        <w:t xml:space="preserve"> </w:t>
      </w:r>
      <w:r>
        <w:rPr>
          <w:spacing w:val="-7"/>
        </w:rPr>
        <w:t>该画像的潜在局限性在于，可能高估了年轻用户的付费意愿，而低估了“银发族”在剧情向</w:t>
      </w:r>
      <w:r>
        <w:rPr>
          <w:rFonts w:ascii="Arial" w:hAnsi="Arial" w:eastAsia="Arial" w:cs="Arial"/>
          <w:spacing w:val="-7"/>
        </w:rPr>
        <w:t>RPG</w:t>
      </w:r>
      <w:r>
        <w:rPr>
          <w:spacing w:val="-7"/>
        </w:rPr>
        <w:t>中</w:t>
      </w:r>
      <w:r>
        <w:rPr>
          <w:spacing w:val="18"/>
        </w:rPr>
        <w:t xml:space="preserve"> </w:t>
      </w:r>
      <w:r>
        <w:rPr>
          <w:spacing w:val="-4"/>
        </w:rPr>
        <w:t>的潜力。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四、休闲/益智类游戏用户群体</w:t>
      </w:r>
    </w:p>
    <w:p>
      <w:pPr>
        <w:pStyle w:val="BodyText"/>
        <w:ind w:left="153"/>
        <w:spacing w:before="180" w:line="221" w:lineRule="auto"/>
        <w:outlineLvl w:val="3"/>
        <w:rPr/>
      </w:pPr>
      <w:r>
        <w:rPr>
          <w:b/>
          <w:bCs/>
          <w:spacing w:val="8"/>
        </w:rPr>
        <w:t>(一)典型用户画像</w:t>
      </w:r>
    </w:p>
    <w:p>
      <w:pPr>
        <w:pStyle w:val="BodyText"/>
        <w:ind w:right="214"/>
        <w:spacing w:before="226" w:line="320" w:lineRule="auto"/>
        <w:rPr/>
      </w:pPr>
      <w:r>
        <w:rPr>
          <w:spacing w:val="9"/>
        </w:rPr>
        <w:t>主流研究显示(如</w:t>
      </w:r>
      <w:r>
        <w:rPr>
          <w:rFonts w:ascii="Times New Roman" w:hAnsi="Times New Roman" w:eastAsia="Times New Roman" w:cs="Times New Roman"/>
        </w:rPr>
        <w:t>Newzoo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9"/>
        </w:rPr>
        <w:t>玩家洞察),休闲/益智类游</w:t>
      </w:r>
      <w:r>
        <w:rPr>
          <w:spacing w:val="8"/>
        </w:rPr>
        <w:t>戏用户覆盖最广，女性占比达55%以上，</w:t>
      </w:r>
      <w:r>
        <w:rPr/>
        <w:t xml:space="preserve"> </w:t>
      </w:r>
      <w:r>
        <w:rPr>
          <w:spacing w:val="3"/>
        </w:rPr>
        <w:t>年龄分布以25-50岁为主，包括大量中老年用户。此</w:t>
      </w:r>
      <w:r>
        <w:rPr>
          <w:spacing w:val="2"/>
        </w:rPr>
        <w:t>类用户更注重碎片化娱乐与压力释放，</w:t>
      </w:r>
    </w:p>
    <w:p>
      <w:pPr>
        <w:pStyle w:val="BodyText"/>
        <w:spacing w:before="20" w:line="222" w:lineRule="auto"/>
        <w:rPr/>
      </w:pPr>
      <w:r>
        <w:rPr>
          <w:rFonts w:ascii="Arial" w:hAnsi="Arial" w:eastAsia="Arial" w:cs="Arial"/>
          <w:spacing w:val="-3"/>
        </w:rPr>
        <w:t>DAU/MAU </w:t>
      </w:r>
      <w:r>
        <w:rPr>
          <w:spacing w:val="-3"/>
        </w:rPr>
        <w:t>比值稳定但单次时长较短。</w:t>
      </w:r>
    </w:p>
    <w:p>
      <w:pPr>
        <w:spacing w:line="222" w:lineRule="auto"/>
        <w:sectPr>
          <w:pgSz w:w="12240" w:h="15840"/>
          <w:pgMar w:top="1208" w:right="1036" w:bottom="400" w:left="980" w:header="0" w:footer="0" w:gutter="0"/>
        </w:sectPr>
        <w:rPr/>
      </w:pPr>
    </w:p>
    <w:p>
      <w:pPr>
        <w:pStyle w:val="BodyText"/>
        <w:ind w:left="163"/>
        <w:spacing w:before="50" w:line="221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(二)群体内部差异性及潜在局限性</w:t>
      </w:r>
    </w:p>
    <w:p>
      <w:pPr>
        <w:pStyle w:val="BodyText"/>
        <w:ind w:left="159" w:right="69" w:hanging="149"/>
        <w:spacing w:before="243" w:line="367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群体内部存在“纯放松型”与“轻度竞争型”如消除类排位)分化。该画像可能存在忽略高付费</w:t>
      </w:r>
      <w:r>
        <w:rPr>
          <w:sz w:val="21"/>
          <w:szCs w:val="21"/>
          <w:spacing w:val="23"/>
        </w:rPr>
        <w:t>子群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1"/>
        </w:rPr>
        <w:t>(如装饰类付费)的局限性，同时也需注意未成年人</w:t>
      </w:r>
      <w:r>
        <w:rPr>
          <w:sz w:val="21"/>
          <w:szCs w:val="21"/>
          <w:spacing w:val="30"/>
        </w:rPr>
        <w:t>过度沉迷的风险。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五、策略/卡牌类游戏用户群体</w:t>
      </w:r>
    </w:p>
    <w:p>
      <w:pPr>
        <w:pStyle w:val="BodyText"/>
        <w:ind w:left="163"/>
        <w:spacing w:before="160" w:line="221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(一)典型用户画像</w:t>
      </w:r>
    </w:p>
    <w:p>
      <w:pPr>
        <w:pStyle w:val="BodyText"/>
        <w:ind w:left="10" w:right="21"/>
        <w:spacing w:before="244" w:line="375" w:lineRule="auto"/>
        <w:rPr>
          <w:sz w:val="21"/>
          <w:szCs w:val="21"/>
        </w:rPr>
      </w:pPr>
      <w:r>
        <w:rPr>
          <w:sz w:val="21"/>
          <w:szCs w:val="21"/>
          <w:spacing w:val="35"/>
        </w:rPr>
        <w:t>据伽马数据报告，策略/卡牌类游戏用户以25-45岁男性为主，占比约65%,表现出较高的策略思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19"/>
        </w:rPr>
        <w:t>维与收藏欲，</w:t>
      </w:r>
      <w:r>
        <w:rPr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ARPPU</w:t>
      </w:r>
      <w:r>
        <w:rPr>
          <w:rFonts w:ascii="Arial" w:hAnsi="Arial" w:eastAsia="Arial" w:cs="Arial"/>
          <w:sz w:val="21"/>
          <w:szCs w:val="21"/>
          <w:spacing w:val="55"/>
        </w:rPr>
        <w:t xml:space="preserve"> </w:t>
      </w:r>
      <w:r>
        <w:rPr>
          <w:sz w:val="21"/>
          <w:szCs w:val="21"/>
          <w:spacing w:val="19"/>
        </w:rPr>
        <w:t>在重度品类中位居前列。</w:t>
      </w:r>
    </w:p>
    <w:p>
      <w:pPr>
        <w:pStyle w:val="BodyText"/>
        <w:ind w:left="163"/>
        <w:spacing w:before="163" w:line="221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(二)群体内部差异性及潜在局限性</w:t>
      </w:r>
    </w:p>
    <w:p>
      <w:pPr>
        <w:pStyle w:val="BodyText"/>
        <w:ind w:left="10" w:right="192"/>
        <w:spacing w:before="233" w:line="396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存在“硬核策略”与“休闲收集”两大子群，前者付费意愿更强。该画像的潜</w:t>
      </w:r>
      <w:r>
        <w:rPr>
          <w:sz w:val="21"/>
          <w:szCs w:val="21"/>
          <w:spacing w:val="18"/>
        </w:rPr>
        <w:t>在局限性在于，可能低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8"/>
        </w:rPr>
        <w:t>估了女性用户在养成向卡牌游戏中的增长空间。</w:t>
      </w:r>
    </w:p>
    <w:p>
      <w:pPr>
        <w:pStyle w:val="BodyText"/>
        <w:ind w:left="14"/>
        <w:spacing w:before="28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六、不同类型游戏用户基础属性对比</w:t>
      </w:r>
    </w:p>
    <w:p>
      <w:pPr>
        <w:pStyle w:val="BodyText"/>
        <w:ind w:left="13"/>
        <w:spacing w:before="240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9"/>
        </w:rPr>
        <w:t>表3-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b/>
          <w:bCs/>
          <w:spacing w:val="29"/>
        </w:rPr>
        <w:t>1:不同类型游戏用户基础属性对比表</w:t>
      </w:r>
    </w:p>
    <w:p>
      <w:pPr>
        <w:spacing w:line="239" w:lineRule="exact"/>
        <w:rPr/>
      </w:pPr>
      <w:r/>
    </w:p>
    <w:tbl>
      <w:tblPr>
        <w:tblStyle w:val="TableNormal"/>
        <w:tblW w:w="9433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4"/>
        <w:gridCol w:w="1204"/>
        <w:gridCol w:w="1337"/>
        <w:gridCol w:w="1498"/>
        <w:gridCol w:w="2658"/>
        <w:gridCol w:w="1712"/>
      </w:tblGrid>
      <w:tr>
        <w:trPr>
          <w:trHeight w:val="296" w:hRule="atLeast"/>
        </w:trPr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4" w:type="dxa"/>
            <w:vAlign w:val="top"/>
          </w:tcPr>
          <w:p>
            <w:pPr>
              <w:pStyle w:val="TableText"/>
              <w:ind w:left="218"/>
              <w:spacing w:before="9" w:line="223" w:lineRule="auto"/>
              <w:rPr/>
            </w:pPr>
            <w:r>
              <w:rPr>
                <w:b/>
                <w:bCs/>
                <w:spacing w:val="-4"/>
              </w:rPr>
              <w:t>核心年龄</w:t>
            </w:r>
          </w:p>
        </w:tc>
        <w:tc>
          <w:tcPr>
            <w:tcW w:w="1337" w:type="dxa"/>
            <w:vAlign w:val="top"/>
          </w:tcPr>
          <w:p>
            <w:pPr>
              <w:pStyle w:val="TableText"/>
              <w:ind w:left="164"/>
              <w:spacing w:before="9" w:line="221" w:lineRule="auto"/>
              <w:rPr/>
            </w:pPr>
            <w:r>
              <w:rPr>
                <w:b/>
                <w:bCs/>
                <w:spacing w:val="-5"/>
              </w:rPr>
              <w:t>男性占比</w:t>
            </w:r>
          </w:p>
        </w:tc>
        <w:tc>
          <w:tcPr>
            <w:tcW w:w="14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58" w:type="dxa"/>
            <w:vAlign w:val="top"/>
          </w:tcPr>
          <w:p>
            <w:pPr>
              <w:pStyle w:val="TableText"/>
              <w:ind w:left="216"/>
              <w:spacing w:before="19" w:line="222" w:lineRule="auto"/>
              <w:rPr/>
            </w:pPr>
            <w:r>
              <w:rPr>
                <w:rFonts w:ascii="Arial" w:hAnsi="Arial" w:eastAsia="Arial" w:cs="Arial"/>
                <w:b/>
                <w:bCs/>
              </w:rPr>
              <w:t>DAU</w:t>
            </w:r>
            <w:r>
              <w:rPr>
                <w:rFonts w:ascii="Arial" w:hAnsi="Arial" w:eastAsia="Arial" w:cs="Arial"/>
                <w:b/>
                <w:bCs/>
                <w:spacing w:val="12"/>
              </w:rPr>
              <w:t>/</w:t>
            </w:r>
            <w:r>
              <w:rPr>
                <w:rFonts w:ascii="Arial" w:hAnsi="Arial" w:eastAsia="Arial" w:cs="Arial"/>
                <w:b/>
                <w:bCs/>
              </w:rPr>
              <w:t>MAU</w:t>
            </w:r>
            <w:r>
              <w:rPr>
                <w:rFonts w:ascii="Arial" w:hAnsi="Arial" w:eastAsia="Arial" w:cs="Arial"/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  <w:spacing w:val="12"/>
              </w:rPr>
              <w:t>比值(行业均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spacing w:line="221" w:lineRule="auto"/>
              <w:jc w:val="right"/>
              <w:rPr/>
            </w:pPr>
            <w:r>
              <w:rPr>
                <w:rFonts w:ascii="Arial" w:hAnsi="Arial" w:eastAsia="Arial" w:cs="Arial"/>
                <w:b/>
                <w:bCs/>
              </w:rPr>
              <w:t>ARPPU</w:t>
            </w:r>
            <w:r>
              <w:rPr>
                <w:b/>
                <w:bCs/>
                <w:spacing w:val="21"/>
              </w:rPr>
              <w:t>水平(相</w:t>
            </w:r>
          </w:p>
        </w:tc>
      </w:tr>
      <w:tr>
        <w:trPr>
          <w:trHeight w:val="460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3"/>
              <w:spacing w:before="63" w:line="221" w:lineRule="auto"/>
              <w:rPr/>
            </w:pPr>
            <w:r>
              <w:rPr>
                <w:b/>
                <w:bCs/>
                <w:spacing w:val="-4"/>
              </w:rPr>
              <w:t>游戏类型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188"/>
              <w:spacing w:before="63" w:line="222" w:lineRule="auto"/>
              <w:rPr/>
            </w:pPr>
            <w:r>
              <w:rPr>
                <w:b/>
                <w:bCs/>
                <w:spacing w:val="-3"/>
              </w:rPr>
              <w:t>段</w:t>
            </w:r>
          </w:p>
        </w:tc>
        <w:tc>
          <w:tcPr>
            <w:tcW w:w="1337" w:type="dxa"/>
            <w:vAlign w:val="top"/>
          </w:tcPr>
          <w:p>
            <w:pPr>
              <w:ind w:left="291"/>
              <w:spacing w:before="8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(%)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347"/>
              <w:spacing w:before="63" w:line="222" w:lineRule="auto"/>
              <w:rPr/>
            </w:pPr>
            <w:r>
              <w:rPr>
                <w:b/>
                <w:bCs/>
                <w:spacing w:val="-5"/>
              </w:rPr>
              <w:t>典型动机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219"/>
              <w:spacing w:before="64" w:line="225" w:lineRule="auto"/>
              <w:rPr/>
            </w:pPr>
            <w:r>
              <w:rPr>
                <w:b/>
                <w:bCs/>
                <w:spacing w:val="-5"/>
              </w:rPr>
              <w:t>值)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151"/>
              <w:spacing w:before="74" w:line="222" w:lineRule="auto"/>
              <w:rPr/>
            </w:pPr>
            <w:r>
              <w:rPr>
                <w:b/>
                <w:bCs/>
                <w:spacing w:val="-5"/>
              </w:rPr>
              <w:t>对)</w:t>
            </w:r>
          </w:p>
        </w:tc>
      </w:tr>
      <w:tr>
        <w:trPr>
          <w:trHeight w:val="440" w:hRule="atLeast"/>
        </w:trPr>
        <w:tc>
          <w:tcPr>
            <w:tcW w:w="1024" w:type="dxa"/>
            <w:vAlign w:val="top"/>
          </w:tcPr>
          <w:p>
            <w:pPr>
              <w:spacing w:before="251" w:line="17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MOBA</w:t>
            </w:r>
          </w:p>
        </w:tc>
        <w:tc>
          <w:tcPr>
            <w:tcW w:w="1204" w:type="dxa"/>
            <w:vAlign w:val="top"/>
          </w:tcPr>
          <w:p>
            <w:pPr>
              <w:ind w:left="215"/>
              <w:spacing w:before="262" w:line="16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18-30</w:t>
            </w:r>
          </w:p>
        </w:tc>
        <w:tc>
          <w:tcPr>
            <w:tcW w:w="1337" w:type="dxa"/>
            <w:vAlign w:val="top"/>
          </w:tcPr>
          <w:p>
            <w:pPr>
              <w:ind w:left="151"/>
              <w:spacing w:before="234" w:line="163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70-80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344"/>
              <w:spacing w:before="227" w:line="178" w:lineRule="auto"/>
              <w:rPr/>
            </w:pPr>
            <w:r>
              <w:rPr>
                <w:spacing w:val="-2"/>
              </w:rPr>
              <w:t>竞争/团队</w:t>
            </w:r>
          </w:p>
        </w:tc>
        <w:tc>
          <w:tcPr>
            <w:tcW w:w="2658" w:type="dxa"/>
            <w:vAlign w:val="top"/>
          </w:tcPr>
          <w:p>
            <w:pPr>
              <w:pStyle w:val="TableText"/>
              <w:ind w:left="216"/>
              <w:spacing w:before="170" w:line="19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8"/>
              </w:rPr>
              <w:t>高(&gt;40%)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148"/>
              <w:spacing w:before="218" w:line="186" w:lineRule="auto"/>
              <w:rPr/>
            </w:pPr>
            <w:r>
              <w:rPr>
                <w:spacing w:val="1"/>
              </w:rPr>
              <w:t>中高</w:t>
            </w:r>
          </w:p>
        </w:tc>
      </w:tr>
    </w:tbl>
    <w:p>
      <w:pPr>
        <w:pStyle w:val="BodyText"/>
        <w:ind w:left="3841"/>
        <w:spacing w:before="147" w:line="181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协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作</w:t>
      </w:r>
    </w:p>
    <w:tbl>
      <w:tblPr>
        <w:tblStyle w:val="TableNormal"/>
        <w:tblW w:w="102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9"/>
        <w:gridCol w:w="1025"/>
        <w:gridCol w:w="1100"/>
        <w:gridCol w:w="1864"/>
        <w:gridCol w:w="1721"/>
        <w:gridCol w:w="3480"/>
      </w:tblGrid>
      <w:tr>
        <w:trPr>
          <w:trHeight w:val="989" w:hRule="atLeast"/>
        </w:trPr>
        <w:tc>
          <w:tcPr>
            <w:tcW w:w="107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ind w:left="10"/>
              <w:spacing w:before="60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4"/>
              </w:rPr>
              <w:t>FPS</w:t>
            </w:r>
          </w:p>
        </w:tc>
        <w:tc>
          <w:tcPr>
            <w:tcW w:w="102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ind w:left="170"/>
              <w:spacing w:before="60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18-35</w:t>
            </w:r>
          </w:p>
        </w:tc>
        <w:tc>
          <w:tcPr>
            <w:tcW w:w="110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44" w:line="18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75</w:t>
            </w:r>
          </w:p>
        </w:tc>
        <w:tc>
          <w:tcPr>
            <w:tcW w:w="186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6" w:right="217" w:firstLine="39"/>
              <w:spacing w:before="69" w:line="252" w:lineRule="auto"/>
              <w:rPr>
                <w:sz w:val="20"/>
                <w:szCs w:val="20"/>
              </w:rPr>
            </w:pPr>
            <w:r>
              <w:rPr>
                <w:spacing w:val="-3"/>
              </w:rPr>
              <w:t>即时刺激/</w:t>
            </w:r>
            <w:r>
              <w:rPr/>
              <w:t xml:space="preserve"> </w:t>
            </w:r>
            <w:r>
              <w:rPr>
                <w:sz w:val="20"/>
                <w:szCs w:val="20"/>
                <w:spacing w:val="-6"/>
              </w:rPr>
              <w:t>战</w:t>
            </w:r>
            <w:r>
              <w:rPr>
                <w:sz w:val="20"/>
                <w:szCs w:val="20"/>
                <w:spacing w:val="3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术</w:t>
            </w:r>
          </w:p>
        </w:tc>
        <w:tc>
          <w:tcPr>
            <w:tcW w:w="172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68" w:line="223" w:lineRule="auto"/>
              <w:rPr/>
            </w:pPr>
            <w:r>
              <w:rPr/>
              <w:t>高</w:t>
            </w:r>
          </w:p>
        </w:tc>
        <w:tc>
          <w:tcPr>
            <w:tcW w:w="348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0"/>
              <w:spacing w:before="69" w:line="224" w:lineRule="auto"/>
              <w:rPr/>
            </w:pPr>
            <w:r>
              <w:rPr/>
              <w:t>中</w:t>
            </w:r>
          </w:p>
        </w:tc>
      </w:tr>
      <w:tr>
        <w:trPr>
          <w:trHeight w:val="699" w:hRule="atLeast"/>
        </w:trPr>
        <w:tc>
          <w:tcPr>
            <w:tcW w:w="107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10"/>
              <w:spacing w:before="60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MMORPG</w:t>
            </w:r>
          </w:p>
        </w:tc>
        <w:tc>
          <w:tcPr>
            <w:tcW w:w="102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170"/>
              <w:spacing w:before="72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25-40</w:t>
            </w:r>
          </w:p>
        </w:tc>
        <w:tc>
          <w:tcPr>
            <w:tcW w:w="110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43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60</w:t>
            </w:r>
          </w:p>
        </w:tc>
        <w:tc>
          <w:tcPr>
            <w:tcW w:w="186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5"/>
              <w:spacing w:before="69" w:line="221" w:lineRule="auto"/>
              <w:rPr/>
            </w:pPr>
            <w:r>
              <w:rPr>
                <w:spacing w:val="-2"/>
              </w:rPr>
              <w:t>沉浸/养成</w:t>
            </w:r>
          </w:p>
        </w:tc>
        <w:tc>
          <w:tcPr>
            <w:tcW w:w="172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68" w:line="223" w:lineRule="auto"/>
              <w:rPr/>
            </w:pPr>
            <w:r>
              <w:rPr>
                <w:spacing w:val="1"/>
              </w:rPr>
              <w:t>中高</w:t>
            </w:r>
          </w:p>
        </w:tc>
        <w:tc>
          <w:tcPr>
            <w:tcW w:w="348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0"/>
              <w:spacing w:before="68" w:line="223" w:lineRule="auto"/>
              <w:rPr/>
            </w:pPr>
            <w:r>
              <w:rPr/>
              <w:t>高</w:t>
            </w:r>
          </w:p>
        </w:tc>
      </w:tr>
      <w:tr>
        <w:trPr>
          <w:trHeight w:val="962" w:hRule="atLeast"/>
        </w:trPr>
        <w:tc>
          <w:tcPr>
            <w:tcW w:w="10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"/>
              <w:spacing w:before="285" w:line="224" w:lineRule="auto"/>
              <w:rPr/>
            </w:pPr>
            <w:r>
              <w:rPr>
                <w:b/>
                <w:bCs/>
                <w:spacing w:val="-9"/>
              </w:rPr>
              <w:t>休闲/益智</w:t>
            </w:r>
          </w:p>
        </w:tc>
        <w:tc>
          <w:tcPr>
            <w:tcW w:w="10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0"/>
              <w:spacing w:before="284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25-50</w:t>
            </w:r>
          </w:p>
        </w:tc>
        <w:tc>
          <w:tcPr>
            <w:tcW w:w="11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43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45</w:t>
            </w:r>
          </w:p>
        </w:tc>
        <w:tc>
          <w:tcPr>
            <w:tcW w:w="18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5" w:right="209"/>
              <w:spacing w:before="285" w:line="293" w:lineRule="auto"/>
              <w:rPr/>
            </w:pPr>
            <w:r>
              <w:rPr>
                <w:spacing w:val="-2"/>
              </w:rPr>
              <w:t>放松/碎片</w:t>
            </w:r>
            <w:r>
              <w:rPr>
                <w:spacing w:val="2"/>
              </w:rPr>
              <w:t xml:space="preserve"> </w:t>
            </w:r>
            <w:r>
              <w:rPr/>
              <w:t>化</w:t>
            </w:r>
          </w:p>
        </w:tc>
        <w:tc>
          <w:tcPr>
            <w:tcW w:w="17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2"/>
              <w:spacing w:before="288" w:line="224" w:lineRule="auto"/>
              <w:rPr/>
            </w:pPr>
            <w:r>
              <w:rPr/>
              <w:t>中</w:t>
            </w:r>
          </w:p>
        </w:tc>
        <w:tc>
          <w:tcPr>
            <w:tcW w:w="34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0"/>
              <w:spacing w:before="277" w:line="223" w:lineRule="auto"/>
              <w:rPr/>
            </w:pPr>
            <w:r>
              <w:rPr/>
              <w:t>低</w:t>
            </w:r>
          </w:p>
        </w:tc>
      </w:tr>
      <w:tr>
        <w:trPr>
          <w:trHeight w:val="1586" w:hRule="atLeast"/>
        </w:trPr>
        <w:tc>
          <w:tcPr>
            <w:tcW w:w="10269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"/>
              <w:spacing w:before="288" w:line="211" w:lineRule="auto"/>
              <w:rPr/>
            </w:pPr>
            <w:r>
              <w:rPr>
                <w:b/>
                <w:bCs/>
                <w:spacing w:val="-1"/>
              </w:rPr>
              <w:t>策略/卡牌</w:t>
            </w:r>
            <w:r>
              <w:rPr>
                <w:spacing w:val="4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b/>
                <w:bCs/>
                <w:spacing w:val="-1"/>
              </w:rPr>
              <w:t>25-45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65                                     </w:t>
            </w:r>
            <w:r>
              <w:rPr>
                <w:spacing w:val="-1"/>
              </w:rPr>
              <w:t>策略/收藏</w:t>
            </w:r>
            <w:r>
              <w:rPr>
                <w:spacing w:val="8"/>
              </w:rPr>
              <w:t xml:space="preserve">    </w:t>
            </w:r>
            <w:r>
              <w:rPr>
                <w:spacing w:val="-1"/>
              </w:rPr>
              <w:t>中高</w:t>
            </w:r>
            <w:r>
              <w:rPr>
                <w:spacing w:val="-1"/>
              </w:rPr>
              <w:t xml:space="preserve">             </w:t>
            </w:r>
            <w:r>
              <w:rPr>
                <w:spacing w:val="-2"/>
              </w:rPr>
              <w:t xml:space="preserve">        </w:t>
            </w:r>
            <w:r>
              <w:rPr>
                <w:spacing w:val="-2"/>
              </w:rPr>
              <w:t>高</w:t>
            </w:r>
          </w:p>
          <w:p>
            <w:pPr>
              <w:spacing w:line="4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8" w:line="213" w:lineRule="auto"/>
              <w:rPr/>
            </w:pPr>
            <w:r>
              <w:rPr>
                <w:spacing w:val="27"/>
              </w:rPr>
              <w:t>(数据来源：伽马数据、</w:t>
            </w:r>
            <w:r>
              <w:rPr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</w:rPr>
              <w:t>Newzoo</w:t>
            </w:r>
            <w:r>
              <w:rPr>
                <w:rFonts w:ascii="SimSun" w:hAnsi="SimSun" w:eastAsia="SimSun" w:cs="SimSun"/>
                <w:spacing w:val="27"/>
              </w:rPr>
              <w:t xml:space="preserve">  </w:t>
            </w:r>
            <w:r>
              <w:rPr>
                <w:spacing w:val="27"/>
              </w:rPr>
              <w:t>及国际数字娱乐研究院综合</w:t>
            </w:r>
            <w:r>
              <w:rPr>
                <w:spacing w:val="26"/>
              </w:rPr>
              <w:t>，2025年)</w:t>
            </w:r>
          </w:p>
        </w:tc>
      </w:tr>
    </w:tbl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</w:rPr>
        <w:t>第四章用户游戏动机与付费行为分析</w:t>
      </w:r>
    </w:p>
    <w:p>
      <w:pPr>
        <w:spacing w:line="221" w:lineRule="auto"/>
        <w:sectPr>
          <w:pgSz w:w="12240" w:h="15840"/>
          <w:pgMar w:top="1233" w:right="1000" w:bottom="400" w:left="970" w:header="0" w:footer="0" w:gutter="0"/>
        </w:sectPr>
        <w:rPr>
          <w:sz w:val="36"/>
          <w:szCs w:val="36"/>
        </w:rPr>
      </w:pPr>
    </w:p>
    <w:p>
      <w:pPr>
        <w:pStyle w:val="BodyText"/>
        <w:ind w:left="44"/>
        <w:spacing w:before="60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一、用户游戏动机分类</w:t>
      </w:r>
    </w:p>
    <w:p>
      <w:pPr>
        <w:pStyle w:val="BodyText"/>
        <w:ind w:left="40" w:right="204"/>
        <w:spacing w:before="204" w:line="347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根据心流理论与游戏化设计</w:t>
      </w:r>
      <w:r>
        <w:rPr>
          <w:sz w:val="23"/>
          <w:szCs w:val="23"/>
          <w:spacing w:val="-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(</w:t>
      </w:r>
      <w:r>
        <w:rPr>
          <w:rFonts w:ascii="SimSun" w:hAnsi="SimSun" w:eastAsia="SimSun" w:cs="SimSun"/>
          <w:sz w:val="23"/>
          <w:szCs w:val="23"/>
        </w:rPr>
        <w:t>Gamification</w:t>
      </w:r>
      <w:r>
        <w:rPr>
          <w:rFonts w:ascii="SimSun" w:hAnsi="SimSun" w:eastAsia="SimSun" w:cs="SimSun"/>
          <w:sz w:val="23"/>
          <w:szCs w:val="23"/>
          <w:spacing w:val="9"/>
        </w:rPr>
        <w:t>)</w:t>
      </w:r>
      <w:r>
        <w:rPr>
          <w:rFonts w:ascii="SimSun" w:hAnsi="SimSun" w:eastAsia="SimSun" w:cs="SimSun"/>
          <w:sz w:val="23"/>
          <w:szCs w:val="23"/>
          <w:spacing w:val="95"/>
        </w:rPr>
        <w:t xml:space="preserve"> </w:t>
      </w:r>
      <w:r>
        <w:rPr>
          <w:sz w:val="23"/>
          <w:szCs w:val="23"/>
          <w:spacing w:val="9"/>
        </w:rPr>
        <w:t>原理，可将用户动机分为竞争-社交与沉浸-探索两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大维度。</w:t>
      </w:r>
    </w:p>
    <w:p>
      <w:pPr>
        <w:pStyle w:val="BodyText"/>
        <w:ind w:left="43"/>
        <w:spacing w:before="111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图4-1:用户游戏动机分类象限图(文本描述)</w:t>
      </w:r>
    </w:p>
    <w:p>
      <w:pPr>
        <w:spacing w:before="50" w:line="3910" w:lineRule="exact"/>
        <w:rPr/>
      </w:pPr>
      <w:r>
        <w:rPr>
          <w:position w:val="-78"/>
        </w:rPr>
        <w:pict>
          <v:group id="_x0000_s2" style="mso-position-vertical-relative:line;mso-position-horizontal-relative:char;width:516.5pt;height:195.5pt;" filled="false" stroked="false" coordsize="10330,3910" coordorigin="0,0">
            <v:shape id="_x0000_s4" style="position:absolute;left:0;top:0;width:10330;height:3910;" filled="false" stroked="false" type="#_x0000_t75">
              <v:imagedata o:title="" r:id="rId5"/>
            </v:shape>
            <v:shape id="_x0000_s6" style="position:absolute;left:-20;top:-20;width:10370;height:39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9"/>
                      <w:spacing w:before="43" w:line="19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text</w:t>
                    </w:r>
                  </w:p>
                  <w:p>
                    <w:pPr>
                      <w:ind w:left="309"/>
                      <w:spacing w:before="259" w:line="219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10"/>
                      </w:rPr>
                      <w:t>高沉浸-探索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9"/>
                      <w:spacing w:before="75" w:line="219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7"/>
                        <w:position w:val="1"/>
                      </w:rPr>
                      <w:t>MMORPG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30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7"/>
                        <w:position w:val="1"/>
                      </w:rPr>
                      <w:t>(沉浸叙事、长期养成) 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8"/>
                        <w:position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8"/>
                        <w:position w:val="-1"/>
                      </w:rPr>
                      <w:t>策略/卡牌(深度策略、收藏)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69"/>
                      <w:spacing w:before="75" w:line="219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5"/>
                      </w:rPr>
                      <w:t>-------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8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5"/>
                      </w:rPr>
                      <w:t>→高竞争-社交</w:t>
                    </w:r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9"/>
                      <w:spacing w:before="75" w:line="219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2"/>
                      </w:rPr>
                      <w:t>休闲/益智(轻度放松)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2"/>
                      </w:rPr>
                      <w:t>MOBA/FPS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2"/>
                      </w:rPr>
                      <w:t>(即时对抗、团队)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50"/>
                      <w:spacing w:before="75" w:line="219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6"/>
                      </w:rPr>
                      <w:t>低沉浸-探索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3"/>
        <w:spacing w:before="304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该象限通常而言可为产品设计提供动机匹配参考。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43" w:right="4952" w:firstLine="1"/>
        <w:spacing w:before="97" w:line="300" w:lineRule="auto"/>
        <w:rPr>
          <w:sz w:val="23"/>
          <w:szCs w:val="23"/>
        </w:rPr>
      </w:pPr>
      <w:r>
        <w:rPr>
          <w:sz w:val="30"/>
          <w:szCs w:val="30"/>
          <w:b/>
          <w:bCs/>
        </w:rPr>
        <w:t>二、付费意愿漏斗与</w:t>
      </w:r>
      <w:r>
        <w:rPr>
          <w:rFonts w:ascii="SimSun" w:hAnsi="SimSun" w:eastAsia="SimSun" w:cs="SimSun"/>
          <w:sz w:val="30"/>
          <w:szCs w:val="30"/>
          <w:b/>
          <w:bCs/>
        </w:rPr>
        <w:t>monetization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sz w:val="30"/>
          <w:szCs w:val="30"/>
          <w:b/>
          <w:bCs/>
        </w:rPr>
        <w:t>模式</w:t>
      </w:r>
      <w:r>
        <w:rPr>
          <w:sz w:val="30"/>
          <w:szCs w:val="30"/>
          <w:spacing w:val="9"/>
        </w:rPr>
        <w:t xml:space="preserve"> </w:t>
      </w:r>
      <w:r>
        <w:rPr>
          <w:sz w:val="23"/>
          <w:szCs w:val="23"/>
          <w:b/>
          <w:bCs/>
          <w:spacing w:val="20"/>
        </w:rPr>
        <w:t>图4-2:游戏付费模式决策流程图(文本描述)</w:t>
      </w:r>
    </w:p>
    <w:p>
      <w:pPr>
        <w:pStyle w:val="BodyText"/>
        <w:ind w:left="389"/>
        <w:spacing w:before="247" w:line="21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>1.  </w:t>
      </w:r>
      <w:r>
        <w:rPr>
          <w:sz w:val="23"/>
          <w:szCs w:val="23"/>
          <w:b/>
          <w:bCs/>
          <w:spacing w:val="15"/>
        </w:rPr>
        <w:t>用户获取</w:t>
      </w:r>
      <w:r>
        <w:rPr>
          <w:sz w:val="23"/>
          <w:szCs w:val="23"/>
          <w:spacing w:val="-71"/>
        </w:rPr>
        <w:t xml:space="preserve"> </w:t>
      </w:r>
      <w:r>
        <w:rPr>
          <w:sz w:val="23"/>
          <w:szCs w:val="23"/>
          <w:b/>
          <w:bCs/>
          <w:spacing w:val="15"/>
        </w:rPr>
        <w:t>→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b/>
          <w:bCs/>
          <w:spacing w:val="15"/>
        </w:rPr>
        <w:t>2</w:t>
      </w:r>
      <w:r>
        <w:rPr>
          <w:sz w:val="23"/>
          <w:szCs w:val="23"/>
          <w:spacing w:val="-68"/>
        </w:rPr>
        <w:t xml:space="preserve"> </w:t>
      </w:r>
      <w:r>
        <w:rPr>
          <w:sz w:val="23"/>
          <w:szCs w:val="23"/>
          <w:b/>
          <w:bCs/>
          <w:spacing w:val="15"/>
        </w:rPr>
        <w:t>.首次体验(免费内容)</w:t>
      </w:r>
      <w:r>
        <w:rPr>
          <w:sz w:val="23"/>
          <w:szCs w:val="23"/>
          <w:spacing w:val="-71"/>
        </w:rPr>
        <w:t xml:space="preserve"> </w:t>
      </w:r>
      <w:r>
        <w:rPr>
          <w:sz w:val="23"/>
          <w:szCs w:val="23"/>
          <w:b/>
          <w:bCs/>
          <w:spacing w:val="15"/>
        </w:rPr>
        <w:t>→</w:t>
      </w:r>
      <w:r>
        <w:rPr>
          <w:sz w:val="23"/>
          <w:szCs w:val="23"/>
          <w:spacing w:val="-77"/>
        </w:rPr>
        <w:t xml:space="preserve"> </w:t>
      </w:r>
      <w:r>
        <w:rPr>
          <w:sz w:val="23"/>
          <w:szCs w:val="23"/>
          <w:b/>
          <w:bCs/>
          <w:spacing w:val="15"/>
        </w:rPr>
        <w:t>3</w:t>
      </w:r>
      <w:r>
        <w:rPr>
          <w:sz w:val="23"/>
          <w:szCs w:val="23"/>
          <w:spacing w:val="-67"/>
        </w:rPr>
        <w:t xml:space="preserve"> </w:t>
      </w:r>
      <w:r>
        <w:rPr>
          <w:sz w:val="23"/>
          <w:szCs w:val="23"/>
          <w:b/>
          <w:bCs/>
          <w:spacing w:val="15"/>
        </w:rPr>
        <w:t>.形成习惯</w:t>
      </w:r>
      <w:r>
        <w:rPr>
          <w:sz w:val="23"/>
          <w:szCs w:val="2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DAU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b/>
          <w:bCs/>
          <w:spacing w:val="15"/>
        </w:rPr>
        <w:t>提升)</w:t>
      </w:r>
      <w:r>
        <w:rPr>
          <w:sz w:val="23"/>
          <w:szCs w:val="23"/>
          <w:b/>
          <w:bCs/>
          <w:spacing w:val="14"/>
        </w:rPr>
        <w:t>→</w:t>
      </w:r>
      <w:r>
        <w:rPr>
          <w:sz w:val="23"/>
          <w:szCs w:val="23"/>
          <w:spacing w:val="-77"/>
        </w:rPr>
        <w:t xml:space="preserve"> </w:t>
      </w:r>
      <w:r>
        <w:rPr>
          <w:sz w:val="23"/>
          <w:szCs w:val="23"/>
          <w:b/>
          <w:bCs/>
          <w:spacing w:val="14"/>
        </w:rPr>
        <w:t>4</w:t>
      </w:r>
      <w:r>
        <w:rPr>
          <w:sz w:val="23"/>
          <w:szCs w:val="23"/>
          <w:spacing w:val="-62"/>
        </w:rPr>
        <w:t xml:space="preserve"> </w:t>
      </w:r>
      <w:r>
        <w:rPr>
          <w:sz w:val="23"/>
          <w:szCs w:val="23"/>
          <w:b/>
          <w:bCs/>
          <w:spacing w:val="14"/>
        </w:rPr>
        <w:t>.触发付费点(皮肤</w:t>
      </w:r>
      <w:r>
        <w:rPr>
          <w:sz w:val="23"/>
          <w:szCs w:val="23"/>
          <w:spacing w:val="14"/>
        </w:rPr>
        <w:t>/</w:t>
      </w:r>
    </w:p>
    <w:p>
      <w:pPr>
        <w:pStyle w:val="BodyText"/>
        <w:ind w:left="40" w:right="2065" w:firstLine="679"/>
        <w:spacing w:before="173" w:line="483" w:lineRule="auto"/>
        <w:rPr>
          <w:sz w:val="23"/>
          <w:szCs w:val="23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25415</wp:posOffset>
            </wp:positionH>
            <wp:positionV relativeFrom="paragraph">
              <wp:posOffset>811885</wp:posOffset>
            </wp:positionV>
            <wp:extent cx="6515058" cy="643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18"/>
        </w:rPr>
        <w:t>道具/加速)</w:t>
      </w:r>
      <w:r>
        <w:rPr>
          <w:sz w:val="23"/>
          <w:szCs w:val="23"/>
          <w:spacing w:val="-73"/>
        </w:rPr>
        <w:t xml:space="preserve"> </w:t>
      </w:r>
      <w:r>
        <w:rPr>
          <w:sz w:val="23"/>
          <w:szCs w:val="23"/>
          <w:spacing w:val="18"/>
        </w:rPr>
        <w:t>→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18"/>
        </w:rPr>
        <w:t>5.转化付费</w:t>
      </w:r>
      <w:r>
        <w:rPr>
          <w:sz w:val="23"/>
          <w:szCs w:val="23"/>
          <w:spacing w:val="-18"/>
        </w:rPr>
        <w:t xml:space="preserve"> </w:t>
      </w:r>
      <w:r>
        <w:rPr>
          <w:rFonts w:ascii="Arial" w:hAnsi="Arial" w:eastAsia="Arial" w:cs="Arial"/>
          <w:sz w:val="23"/>
          <w:szCs w:val="23"/>
          <w:spacing w:val="18"/>
        </w:rPr>
        <w:t>(</w:t>
      </w:r>
      <w:r>
        <w:rPr>
          <w:rFonts w:ascii="Arial" w:hAnsi="Arial" w:eastAsia="Arial" w:cs="Arial"/>
          <w:sz w:val="23"/>
          <w:szCs w:val="23"/>
        </w:rPr>
        <w:t>ARPPU</w:t>
      </w:r>
      <w:r>
        <w:rPr>
          <w:rFonts w:ascii="Arial" w:hAnsi="Arial" w:eastAsia="Arial" w:cs="Arial"/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18"/>
        </w:rPr>
        <w:t>实现)</w:t>
      </w:r>
      <w:r>
        <w:rPr>
          <w:sz w:val="23"/>
          <w:szCs w:val="23"/>
          <w:spacing w:val="-72"/>
        </w:rPr>
        <w:t xml:space="preserve"> </w:t>
      </w:r>
      <w:r>
        <w:rPr>
          <w:sz w:val="23"/>
          <w:szCs w:val="23"/>
          <w:spacing w:val="18"/>
        </w:rPr>
        <w:t>→</w:t>
      </w:r>
      <w:r>
        <w:rPr>
          <w:sz w:val="23"/>
          <w:szCs w:val="23"/>
          <w:spacing w:val="-78"/>
        </w:rPr>
        <w:t xml:space="preserve"> </w:t>
      </w:r>
      <w:r>
        <w:rPr>
          <w:sz w:val="23"/>
          <w:szCs w:val="23"/>
          <w:spacing w:val="18"/>
        </w:rPr>
        <w:t>6</w:t>
      </w:r>
      <w:r>
        <w:rPr>
          <w:sz w:val="23"/>
          <w:szCs w:val="23"/>
          <w:spacing w:val="-69"/>
        </w:rPr>
        <w:t xml:space="preserve"> </w:t>
      </w:r>
      <w:r>
        <w:rPr>
          <w:sz w:val="23"/>
          <w:szCs w:val="23"/>
          <w:spacing w:val="17"/>
        </w:rPr>
        <w:t>.长期留存(订阅/季卡)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建议决策者可考虑通过游戏化设计优化漏斗中段转化率。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5"/>
        <w:spacing w:before="118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4"/>
        </w:rPr>
        <w:t>第五章结论与战略建议</w:t>
      </w:r>
    </w:p>
    <w:p>
      <w:pPr>
        <w:pStyle w:val="BodyText"/>
        <w:ind w:left="44"/>
        <w:spacing w:before="205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一、主要发现总结</w:t>
      </w:r>
    </w:p>
    <w:p>
      <w:pPr>
        <w:pStyle w:val="BodyText"/>
        <w:ind w:left="40" w:right="225"/>
        <w:spacing w:before="234" w:line="326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本报告分析显示，不同类型电子游戏用户群体在年龄、性</w:t>
      </w:r>
      <w:r>
        <w:rPr>
          <w:sz w:val="23"/>
          <w:szCs w:val="23"/>
          <w:spacing w:val="9"/>
        </w:rPr>
        <w:t>别、动机及付费行为上呈现显著差异，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MOBA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6"/>
        </w:rPr>
        <w:t>与</w:t>
      </w:r>
      <w:r>
        <w:rPr>
          <w:rFonts w:ascii="Times New Roman" w:hAnsi="Times New Roman" w:eastAsia="Times New Roman" w:cs="Times New Roman"/>
          <w:sz w:val="23"/>
          <w:szCs w:val="23"/>
        </w:rPr>
        <w:t>FPS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6"/>
        </w:rPr>
        <w:t>偏年轻竞争型，</w:t>
      </w:r>
      <w:r>
        <w:rPr>
          <w:sz w:val="23"/>
          <w:szCs w:val="23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MMORPG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6"/>
        </w:rPr>
        <w:t>与策略类偏中高年龄高付费，休闲类覆盖最广。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二、战略建议与宏观政策关联</w:t>
      </w:r>
    </w:p>
    <w:p>
      <w:pPr>
        <w:spacing w:line="222" w:lineRule="auto"/>
        <w:sectPr>
          <w:pgSz w:w="12240" w:h="15840"/>
          <w:pgMar w:top="1204" w:right="970" w:bottom="400" w:left="940" w:header="0" w:footer="0" w:gutter="0"/>
        </w:sectPr>
        <w:rPr>
          <w:sz w:val="30"/>
          <w:szCs w:val="30"/>
        </w:rPr>
      </w:pPr>
    </w:p>
    <w:p>
      <w:pPr>
        <w:pStyle w:val="BodyText"/>
        <w:ind w:right="113"/>
        <w:spacing w:before="49" w:line="321" w:lineRule="auto"/>
        <w:jc w:val="both"/>
        <w:rPr/>
      </w:pPr>
      <w:r>
        <w:rPr/>
        <w:t>一种潜在的策略方向是，游戏企业可通过精准用户画像优化产品设计，例如针对银发经济开发低</w:t>
      </w:r>
      <w:r>
        <w:rPr>
          <w:spacing w:val="18"/>
        </w:rPr>
        <w:t xml:space="preserve"> </w:t>
      </w:r>
      <w:r>
        <w:rPr>
          <w:spacing w:val="1"/>
        </w:rPr>
        <w:t>强度、高社交的休闲</w:t>
      </w:r>
      <w:r>
        <w:rPr>
          <w:rFonts w:ascii="SimSun" w:hAnsi="SimSun" w:eastAsia="SimSun" w:cs="SimSun"/>
        </w:rPr>
        <w:t>RPG</w:t>
      </w:r>
      <w:r>
        <w:rPr>
          <w:rFonts w:ascii="SimSun" w:hAnsi="SimSun" w:eastAsia="SimSun" w:cs="SimSun"/>
          <w:spacing w:val="1"/>
        </w:rPr>
        <w:t>,  </w:t>
      </w:r>
      <w:r>
        <w:rPr>
          <w:spacing w:val="1"/>
        </w:rPr>
        <w:t>以拓展中老年市场。同时，建议</w:t>
      </w:r>
      <w:r>
        <w:rPr/>
        <w:t>决策者可考虑加强未成年人网络保护</w:t>
      </w:r>
      <w:r>
        <w:rPr/>
        <w:t xml:space="preserve"> </w:t>
      </w:r>
      <w:r>
        <w:rPr>
          <w:spacing w:val="-2"/>
        </w:rPr>
        <w:t>机制，落实实名制与时长限制，防范沉迷风险。</w:t>
      </w:r>
    </w:p>
    <w:p>
      <w:pPr>
        <w:pStyle w:val="BodyText"/>
        <w:ind w:right="116"/>
        <w:spacing w:before="138" w:line="321" w:lineRule="auto"/>
        <w:rPr/>
      </w:pPr>
      <w:r>
        <w:rPr/>
        <w:t>从更高层次看，此类用户分析发现与国家数字经济发展战略高度契合：一方面，支持自主研发游</w:t>
      </w:r>
      <w:r>
        <w:rPr>
          <w:spacing w:val="17"/>
        </w:rPr>
        <w:t xml:space="preserve"> </w:t>
      </w:r>
      <w:r>
        <w:rPr>
          <w:spacing w:val="1"/>
        </w:rPr>
        <w:t>戏文化出海，提升中国文化软实力；另一方面，通</w:t>
      </w:r>
      <w:r>
        <w:rPr/>
        <w:t>过游戏化设计赋能教育、医疗等领域，促进数</w:t>
      </w:r>
      <w:r>
        <w:rPr/>
        <w:t xml:space="preserve"> </w:t>
      </w:r>
      <w:r>
        <w:rPr>
          <w:spacing w:val="1"/>
        </w:rPr>
        <w:t>字经济与实体经济融合。通常而言，平衡商业价值与社会</w:t>
      </w:r>
      <w:r>
        <w:rPr/>
        <w:t>责任，将有助于行业可持续高质量发</w:t>
      </w:r>
    </w:p>
    <w:p>
      <w:pPr>
        <w:pStyle w:val="BodyText"/>
        <w:spacing w:before="18" w:line="222" w:lineRule="auto"/>
        <w:rPr/>
      </w:pPr>
      <w:r>
        <w:rPr>
          <w:spacing w:val="-5"/>
        </w:rPr>
        <w:t>展。</w:t>
      </w:r>
    </w:p>
    <w:p>
      <w:pPr>
        <w:pStyle w:val="BodyText"/>
        <w:ind w:left="3"/>
        <w:spacing w:before="247" w:line="221" w:lineRule="auto"/>
        <w:rPr/>
      </w:pPr>
      <w:r>
        <w:rPr>
          <w:b/>
          <w:bCs/>
          <w:spacing w:val="6"/>
        </w:rPr>
        <w:t>报告完</w:t>
      </w:r>
    </w:p>
    <w:p>
      <w:pPr>
        <w:pStyle w:val="BodyText"/>
        <w:ind w:firstLine="179"/>
        <w:spacing w:before="266" w:line="320" w:lineRule="auto"/>
        <w:rPr/>
      </w:pPr>
      <w:r>
        <w:rPr>
          <w:spacing w:val="-1"/>
        </w:rPr>
        <w:t>(本报告纯文本形式呈现，便于直接复制至</w:t>
      </w:r>
      <w:r>
        <w:rPr>
          <w:rFonts w:ascii="Times New Roman" w:hAnsi="Times New Roman" w:eastAsia="Times New Roman" w:cs="Times New Roman"/>
          <w:spacing w:val="-1"/>
        </w:rPr>
        <w:t>Word </w:t>
      </w:r>
      <w:r>
        <w:rPr>
          <w:spacing w:val="-1"/>
        </w:rPr>
        <w:t>导出为</w:t>
      </w:r>
      <w:r>
        <w:rPr>
          <w:rFonts w:ascii="Times New Roman" w:hAnsi="Times New Roman" w:eastAsia="Times New Roman" w:cs="Times New Roman"/>
          <w:spacing w:val="-1"/>
        </w:rPr>
        <w:t>DOCX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1"/>
        </w:rPr>
        <w:t>格式。如需进一步图</w:t>
      </w:r>
      <w:r>
        <w:rPr>
          <w:spacing w:val="-2"/>
        </w:rPr>
        <w:t>表美化或数据</w:t>
      </w:r>
      <w:r>
        <w:rPr/>
        <w:t xml:space="preserve"> </w:t>
      </w:r>
      <w:r>
        <w:rPr>
          <w:spacing w:val="-8"/>
        </w:rPr>
        <w:t>更新，可提供补充要求。)</w:t>
      </w:r>
    </w:p>
    <w:sectPr>
      <w:pgSz w:w="12240" w:h="15840"/>
      <w:pgMar w:top="1158" w:right="1049" w:bottom="400" w:left="9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622335</wp:posOffset>
          </wp:positionH>
          <wp:positionV relativeFrom="page">
            <wp:posOffset>8864562</wp:posOffset>
          </wp:positionV>
          <wp:extent cx="6515058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05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5.png"/><Relationship Id="rId5" Type="http://schemas.openxmlformats.org/officeDocument/2006/relationships/image" Target="media/image4.jpeg"/><Relationship Id="rId4" Type="http://schemas.openxmlformats.org/officeDocument/2006/relationships/image" Target="media/image3.png"/><Relationship Id="rId3" Type="http://schemas.openxmlformats.org/officeDocument/2006/relationships/footer" Target="footer2.xml"/><Relationship Id="rId2" Type="http://schemas.openxmlformats.org/officeDocument/2006/relationships/image" Target="media/image2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2026-03-16T00:00:41</vt:filetime>
  </property>
  <property fmtid="{D5CDD505-2E9C-101B-9397-08002B2CF9AE}" pid="4" name="UsrData">
    <vt:lpwstr>69b6d7a6a4d3c6001f217fb0wl</vt:lpwstr>
  </property>
</Properties>
</file>