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10"/>
        <w:spacing w:before="91" w:line="215" w:lineRule="auto"/>
        <w:outlineLvl w:val="0"/>
        <w:rPr>
          <w:sz w:val="45"/>
          <w:szCs w:val="45"/>
        </w:rPr>
      </w:pPr>
      <w:r>
        <w:rPr>
          <w:sz w:val="45"/>
          <w:szCs w:val="45"/>
          <w:spacing w:val="-1"/>
        </w:rPr>
        <w:t>中性粒细胞在脑缺血背景下的功能动态、细</w:t>
      </w:r>
      <w:r>
        <w:rPr>
          <w:sz w:val="45"/>
          <w:szCs w:val="45"/>
          <w:spacing w:val="-2"/>
        </w:rPr>
        <w:t>胞相互</w:t>
      </w:r>
      <w:r>
        <w:rPr>
          <w:sz w:val="45"/>
          <w:szCs w:val="45"/>
        </w:rPr>
        <w:t xml:space="preserve"> </w:t>
      </w:r>
      <w:r>
        <w:rPr>
          <w:sz w:val="45"/>
          <w:szCs w:val="45"/>
          <w:spacing w:val="-3"/>
        </w:rPr>
        <w:t>作用与临床结局预测：学术综述</w:t>
      </w:r>
    </w:p>
    <w:p>
      <w:pPr>
        <w:pStyle w:val="BodyText"/>
        <w:spacing w:before="197" w:line="223" w:lineRule="auto"/>
        <w:rPr/>
      </w:pPr>
      <w:r>
        <w:rPr>
          <w:spacing w:val="13"/>
        </w:rPr>
        <w:t>报告日期：2026年2月</w:t>
      </w:r>
    </w:p>
    <w:p>
      <w:pPr>
        <w:pStyle w:val="BodyText"/>
        <w:ind w:firstLine="3"/>
        <w:spacing w:before="132" w:line="315" w:lineRule="auto"/>
        <w:jc w:val="both"/>
        <w:rPr/>
      </w:pPr>
      <w:r>
        <w:rPr>
          <w:b/>
          <w:bCs/>
          <w:spacing w:val="10"/>
        </w:rPr>
        <w:t>编制说明：</w:t>
      </w:r>
      <w:r>
        <w:rPr>
          <w:spacing w:val="10"/>
        </w:rPr>
        <w:t>本综述基于2020-2026年主要文献(包括</w:t>
      </w:r>
      <w:r>
        <w:rPr>
          <w:rFonts w:ascii="SimSun" w:hAnsi="SimSun" w:eastAsia="SimSun" w:cs="SimSun"/>
        </w:rPr>
        <w:t>Nature</w:t>
      </w:r>
      <w:r>
        <w:rPr>
          <w:spacing w:val="10"/>
        </w:rPr>
        <w:t>子刊、</w:t>
      </w:r>
      <w:r>
        <w:rPr>
          <w:rFonts w:ascii="SimSun" w:hAnsi="SimSun" w:eastAsia="SimSun" w:cs="SimSun"/>
        </w:rPr>
        <w:t>Frontiers</w:t>
      </w:r>
      <w:r>
        <w:rPr>
          <w:spacing w:val="10"/>
        </w:rPr>
        <w:t>系列、</w:t>
      </w:r>
      <w:r>
        <w:rPr>
          <w:rFonts w:ascii="SimSun" w:hAnsi="SimSun" w:eastAsia="SimSun" w:cs="SimSun"/>
        </w:rPr>
        <w:t>PMC</w:t>
      </w:r>
      <w:r>
        <w:rPr>
          <w:rFonts w:ascii="SimSun" w:hAnsi="SimSun" w:eastAsia="SimSun" w:cs="SimSun"/>
          <w:spacing w:val="89"/>
        </w:rPr>
        <w:t xml:space="preserve"> </w:t>
      </w:r>
      <w:r>
        <w:rPr>
          <w:spacing w:val="10"/>
        </w:rPr>
        <w:t>开放获</w:t>
      </w:r>
      <w:r>
        <w:rPr/>
        <w:t xml:space="preserve"> </w:t>
      </w:r>
      <w:r>
        <w:rPr>
          <w:spacing w:val="11"/>
        </w:rPr>
        <w:t>取综述、</w:t>
      </w:r>
      <w:r>
        <w:rPr>
          <w:rFonts w:ascii="Arial" w:hAnsi="Arial" w:eastAsia="Arial" w:cs="Arial"/>
        </w:rPr>
        <w:t>Acta</w:t>
      </w:r>
      <w:r>
        <w:rPr>
          <w:rFonts w:ascii="Arial" w:hAnsi="Arial" w:eastAsia="Arial" w:cs="Arial"/>
          <w:spacing w:val="11"/>
        </w:rPr>
        <w:t xml:space="preserve">   </w:t>
      </w:r>
      <w:r>
        <w:rPr>
          <w:rFonts w:ascii="Arial" w:hAnsi="Arial" w:eastAsia="Arial" w:cs="Arial"/>
        </w:rPr>
        <w:t>Neuropathologica</w:t>
      </w:r>
      <w:r>
        <w:rPr>
          <w:spacing w:val="11"/>
        </w:rPr>
        <w:t>等),聚焦脑缺血(主要为缺血性卒中)背景下中性粒细胞的时</w:t>
      </w:r>
      <w:r>
        <w:rPr>
          <w:spacing w:val="10"/>
        </w:rPr>
        <w:t xml:space="preserve"> </w:t>
      </w:r>
      <w:r>
        <w:rPr>
          <w:spacing w:val="-1"/>
        </w:rPr>
        <w:t>空调控、异质性及临床相关性。内容力求体现最新进展与机制整合。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13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4"/>
        </w:rPr>
        <w:t>一、研究成果整合(近5-10年，聚焦脑缺血背景下的中性粒细胞</w:t>
      </w:r>
      <w:r>
        <w:rPr>
          <w:sz w:val="31"/>
          <w:szCs w:val="31"/>
          <w:spacing w:val="-4"/>
        </w:rPr>
        <w:t>)</w:t>
      </w:r>
    </w:p>
    <w:p>
      <w:pPr>
        <w:pStyle w:val="BodyText"/>
        <w:ind w:left="159"/>
        <w:spacing w:before="217" w:line="221" w:lineRule="auto"/>
        <w:rPr/>
      </w:pPr>
      <w:r>
        <w:rPr>
          <w:spacing w:val="10"/>
        </w:rPr>
        <w:t>(一)急性期(发病后数小时至数天)中性粒细胞的功能、表型与动态变化</w:t>
      </w:r>
    </w:p>
    <w:p>
      <w:pPr>
        <w:pStyle w:val="BodyText"/>
        <w:ind w:right="45"/>
        <w:spacing w:before="147" w:line="335" w:lineRule="auto"/>
        <w:jc w:val="both"/>
        <w:rPr/>
      </w:pPr>
      <w:r>
        <w:rPr>
          <w:spacing w:val="4"/>
        </w:rPr>
        <w:t>脑缺血急性期(通常定义为发病后6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4"/>
        </w:rPr>
        <w:t>h-3d,     </w:t>
      </w:r>
      <w:r>
        <w:rPr>
          <w:spacing w:val="4"/>
        </w:rPr>
        <w:t>峰值常在24-72</w:t>
      </w:r>
      <w:r>
        <w:rPr>
          <w:rFonts w:ascii="Arial" w:hAnsi="Arial" w:eastAsia="Arial" w:cs="Arial"/>
          <w:spacing w:val="4"/>
        </w:rPr>
        <w:t>h),    </w:t>
      </w:r>
      <w:r>
        <w:rPr>
          <w:spacing w:val="4"/>
        </w:rPr>
        <w:t>中性粒细胞是</w:t>
      </w:r>
      <w:r>
        <w:rPr>
          <w:spacing w:val="3"/>
        </w:rPr>
        <w:t>最早大量浸润脑</w:t>
      </w:r>
      <w:r>
        <w:rPr/>
        <w:t xml:space="preserve"> </w:t>
      </w:r>
      <w:r>
        <w:rPr>
          <w:spacing w:val="3"/>
        </w:rPr>
        <w:t>实质的外周免疫细胞。据多项动物模型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MCAO</w:t>
      </w:r>
      <w:r>
        <w:rPr>
          <w:rFonts w:ascii="SimSun" w:hAnsi="SimSun" w:eastAsia="SimSun" w:cs="SimSun"/>
          <w:spacing w:val="3"/>
        </w:rPr>
        <w:t>)</w:t>
      </w:r>
      <w:r>
        <w:rPr>
          <w:rFonts w:ascii="SimSun" w:hAnsi="SimSun" w:eastAsia="SimSun" w:cs="SimSun"/>
          <w:spacing w:val="24"/>
        </w:rPr>
        <w:t xml:space="preserve">   </w:t>
      </w:r>
      <w:r>
        <w:rPr>
          <w:spacing w:val="3"/>
        </w:rPr>
        <w:t>和临床观察显示，</w:t>
      </w:r>
      <w:r>
        <w:rPr>
          <w:spacing w:val="2"/>
        </w:rPr>
        <w:t>中性粒细胞在趋化因子(如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CXCL1/2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rFonts w:ascii="Times New Roman" w:hAnsi="Times New Roman" w:eastAsia="Times New Roman" w:cs="Times New Roman"/>
        </w:rPr>
        <w:t>CXCL8/IL-8)     </w:t>
      </w:r>
      <w:r>
        <w:rPr/>
        <w:t>和</w:t>
      </w:r>
      <w:r>
        <w:rPr>
          <w:rFonts w:ascii="Times New Roman" w:hAnsi="Times New Roman" w:eastAsia="Times New Roman" w:cs="Times New Roman"/>
        </w:rPr>
        <w:t>DAMPs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1"/>
        </w:rPr>
        <w:t>驱动下，通过内皮黏附分子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(ICAM-1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VCAM-1)    </w:t>
      </w:r>
      <w:r>
        <w:rPr>
          <w:spacing w:val="-1"/>
        </w:rPr>
        <w:t>和整合</w:t>
      </w:r>
      <w:r>
        <w:rPr/>
        <w:t xml:space="preserve">  </w:t>
      </w:r>
      <w:r>
        <w:rPr>
          <w:spacing w:val="-4"/>
        </w:rPr>
        <w:t>素</w:t>
      </w:r>
      <w:r>
        <w:rPr>
          <w:spacing w:val="-4"/>
        </w:rPr>
        <w:t xml:space="preserve"> </w:t>
      </w:r>
      <w:r>
        <w:rPr>
          <w:spacing w:val="-4"/>
        </w:rPr>
        <w:t>(</w:t>
      </w:r>
      <w:r>
        <w:rPr>
          <w:spacing w:val="-33"/>
        </w:rPr>
        <w:t xml:space="preserve"> </w:t>
      </w:r>
      <w:r>
        <w:rPr>
          <w:spacing w:val="-4"/>
        </w:rPr>
        <w:t>如</w:t>
      </w:r>
      <w:r>
        <w:rPr>
          <w:rFonts w:ascii="SimSun" w:hAnsi="SimSun" w:eastAsia="SimSun" w:cs="SimSun"/>
          <w:spacing w:val="-4"/>
        </w:rPr>
        <w:t>LFA-1、VLA-4)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spacing w:val="-4"/>
        </w:rPr>
        <w:t>快速跨血脑屏障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(B</w:t>
      </w:r>
      <w:r>
        <w:rPr>
          <w:rFonts w:ascii="SimSun" w:hAnsi="SimSun" w:eastAsia="SimSun" w:cs="SimSun"/>
          <w:spacing w:val="-5"/>
        </w:rPr>
        <w:t>BB)</w:t>
      </w:r>
      <w:r>
        <w:rPr>
          <w:rFonts w:ascii="SimSun" w:hAnsi="SimSun" w:eastAsia="SimSun" w:cs="SimSun"/>
          <w:spacing w:val="16"/>
        </w:rPr>
        <w:t xml:space="preserve">  </w:t>
      </w:r>
      <w:r>
        <w:rPr>
          <w:spacing w:val="-5"/>
        </w:rPr>
        <w:t>迁移。</w:t>
      </w:r>
    </w:p>
    <w:p>
      <w:pPr>
        <w:pStyle w:val="BodyText"/>
        <w:spacing w:before="134" w:line="221" w:lineRule="auto"/>
        <w:rPr/>
      </w:pPr>
      <w:r>
        <w:rPr>
          <w:spacing w:val="-5"/>
        </w:rPr>
        <w:t>关键功能与表型特征包括：</w:t>
      </w:r>
    </w:p>
    <w:p>
      <w:pPr>
        <w:pStyle w:val="BodyText"/>
        <w:ind w:left="369"/>
        <w:spacing w:before="261" w:line="219" w:lineRule="auto"/>
        <w:rPr/>
      </w:pPr>
      <w:r>
        <w:rPr>
          <w:spacing w:val="-5"/>
        </w:rPr>
        <w:t>·激活与促炎介质释放：表面</w:t>
      </w:r>
      <w:r>
        <w:rPr>
          <w:rFonts w:ascii="SimSun" w:hAnsi="SimSun" w:eastAsia="SimSun" w:cs="SimSun"/>
          <w:spacing w:val="-5"/>
        </w:rPr>
        <w:t>CD11b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5"/>
        </w:rPr>
        <w:t>个、</w:t>
      </w:r>
      <w:r>
        <w:rPr>
          <w:rFonts w:ascii="SimSun" w:hAnsi="SimSun" w:eastAsia="SimSun" w:cs="SimSun"/>
          <w:spacing w:val="-5"/>
        </w:rPr>
        <w:t>L-selectin↓,ROS </w:t>
      </w:r>
      <w:r>
        <w:rPr>
          <w:spacing w:val="-5"/>
        </w:rPr>
        <w:t>爆发性产生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-5"/>
        </w:rPr>
        <w:t>(NADPH</w:t>
      </w:r>
      <w:r>
        <w:rPr>
          <w:rFonts w:ascii="SimSun" w:hAnsi="SimSun" w:eastAsia="SimSun" w:cs="SimSun"/>
          <w:spacing w:val="31"/>
        </w:rPr>
        <w:t xml:space="preserve">  </w:t>
      </w:r>
      <w:r>
        <w:rPr>
          <w:spacing w:val="-5"/>
        </w:rPr>
        <w:t>氧化酶依</w:t>
      </w:r>
    </w:p>
    <w:p>
      <w:pPr>
        <w:pStyle w:val="BodyText"/>
        <w:ind w:left="500" w:right="117"/>
        <w:spacing w:before="86" w:line="293" w:lineRule="auto"/>
        <w:rPr/>
      </w:pPr>
      <w:r>
        <w:rPr>
          <w:spacing w:val="2"/>
        </w:rPr>
        <w:t>赖),释放</w:t>
      </w:r>
      <w:r>
        <w:rPr>
          <w:rFonts w:ascii="Arial" w:hAnsi="Arial" w:eastAsia="Arial" w:cs="Arial"/>
        </w:rPr>
        <w:t>NE</w:t>
      </w:r>
      <w:r>
        <w:rPr>
          <w:rFonts w:ascii="Arial" w:hAnsi="Arial" w:eastAsia="Arial" w:cs="Arial"/>
          <w:spacing w:val="63"/>
        </w:rPr>
        <w:t xml:space="preserve"> </w:t>
      </w:r>
      <w:r>
        <w:rPr>
          <w:spacing w:val="2"/>
        </w:rPr>
        <w:t>(中性粒细胞弹性蛋白酶)、</w:t>
      </w:r>
      <w:r>
        <w:rPr>
          <w:rFonts w:ascii="Arial" w:hAnsi="Arial" w:eastAsia="Arial" w:cs="Arial"/>
        </w:rPr>
        <w:t>MPO</w:t>
      </w:r>
      <w:r>
        <w:rPr>
          <w:rFonts w:ascii="Arial" w:hAnsi="Arial" w:eastAsia="Arial" w:cs="Arial"/>
          <w:spacing w:val="24"/>
        </w:rPr>
        <w:t xml:space="preserve">  </w:t>
      </w:r>
      <w:r>
        <w:rPr>
          <w:spacing w:val="2"/>
        </w:rPr>
        <w:t>(髓过氧化物酶)、</w:t>
      </w:r>
      <w:r>
        <w:rPr>
          <w:rFonts w:ascii="Arial" w:hAnsi="Arial" w:eastAsia="Arial" w:cs="Arial"/>
        </w:rPr>
        <w:t>MMP</w:t>
      </w:r>
      <w:r>
        <w:rPr>
          <w:rFonts w:ascii="Arial" w:hAnsi="Arial" w:eastAsia="Arial" w:cs="Arial"/>
          <w:spacing w:val="2"/>
        </w:rPr>
        <w:t>-9,</w:t>
      </w:r>
      <w:r>
        <w:rPr>
          <w:rFonts w:ascii="Arial" w:hAnsi="Arial" w:eastAsia="Arial" w:cs="Arial"/>
        </w:rPr>
        <w:t xml:space="preserve">    </w:t>
      </w:r>
      <w:r>
        <w:rPr>
          <w:spacing w:val="2"/>
        </w:rPr>
        <w:t>促进</w:t>
      </w:r>
      <w:r>
        <w:rPr>
          <w:rFonts w:ascii="Arial" w:hAnsi="Arial" w:eastAsia="Arial" w:cs="Arial"/>
        </w:rPr>
        <w:t>BBB</w:t>
      </w:r>
      <w:r>
        <w:rPr>
          <w:spacing w:val="2"/>
        </w:rPr>
        <w:t>破坏</w:t>
      </w:r>
      <w:r>
        <w:rPr>
          <w:spacing w:val="2"/>
        </w:rPr>
        <w:t xml:space="preserve"> </w:t>
      </w:r>
      <w:r>
        <w:rPr>
          <w:spacing w:val="-3"/>
        </w:rPr>
        <w:t>和基质降解。</w:t>
      </w:r>
    </w:p>
    <w:p>
      <w:pPr>
        <w:pStyle w:val="BodyText"/>
        <w:ind w:left="499" w:right="196" w:hanging="130"/>
        <w:spacing w:before="240" w:line="28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·NETosis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-1"/>
        </w:rPr>
        <w:t>(中性粒细胞胞外陷阱形成):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PAD4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-1"/>
        </w:rPr>
        <w:t>介导组蛋白瓜氨酸化，释放</w:t>
      </w:r>
      <w:r>
        <w:rPr>
          <w:rFonts w:ascii="SimSun" w:hAnsi="SimSun" w:eastAsia="SimSun" w:cs="SimSun"/>
          <w:spacing w:val="-1"/>
        </w:rPr>
        <w:t>dsDNA</w:t>
      </w:r>
      <w:r>
        <w:rPr>
          <w:rFonts w:ascii="SimSun" w:hAnsi="SimSun" w:eastAsia="SimSun" w:cs="SimSun"/>
          <w:spacing w:val="-2"/>
        </w:rPr>
        <w:t>-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spacing w:val="-2"/>
        </w:rPr>
        <w:t>组蛋白-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MPO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NE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复合物，形成网状结构。</w:t>
      </w:r>
      <w:r>
        <w:rPr>
          <w:rFonts w:ascii="Times New Roman" w:hAnsi="Times New Roman" w:eastAsia="Times New Roman" w:cs="Times New Roman"/>
        </w:rPr>
        <w:t>NETs</w:t>
      </w:r>
      <w:r>
        <w:rPr>
          <w:spacing w:val="1"/>
        </w:rPr>
        <w:t>促进微血管堵塞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reflow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现象)、血栓形成和继</w:t>
      </w:r>
      <w:r>
        <w:rPr/>
        <w:t xml:space="preserve"> </w:t>
      </w:r>
      <w:r>
        <w:rPr>
          <w:spacing w:val="10"/>
        </w:rPr>
        <w:t>发炎症放大。多项研究显示，</w:t>
      </w:r>
      <w:r>
        <w:rPr>
          <w:rFonts w:ascii="Times New Roman" w:hAnsi="Times New Roman" w:eastAsia="Times New Roman" w:cs="Times New Roman"/>
        </w:rPr>
        <w:t>NETs</w:t>
      </w:r>
      <w:r>
        <w:rPr>
          <w:spacing w:val="10"/>
        </w:rPr>
        <w:t>在6</w:t>
      </w:r>
      <w:r>
        <w:rPr>
          <w:rFonts w:ascii="Times New Roman" w:hAnsi="Times New Roman" w:eastAsia="Times New Roman" w:cs="Times New Roman"/>
          <w:spacing w:val="10"/>
        </w:rPr>
        <w:t>h</w:t>
      </w:r>
      <w:r>
        <w:rPr>
          <w:spacing w:val="10"/>
        </w:rPr>
        <w:t>即可检测，24</w:t>
      </w:r>
      <w:r>
        <w:rPr>
          <w:rFonts w:ascii="Times New Roman" w:hAnsi="Times New Roman" w:eastAsia="Times New Roman" w:cs="Times New Roman"/>
          <w:spacing w:val="10"/>
        </w:rPr>
        <w:t>h</w:t>
      </w:r>
      <w:r>
        <w:rPr>
          <w:spacing w:val="10"/>
        </w:rPr>
        <w:t>达峰，48</w:t>
      </w:r>
      <w:r>
        <w:rPr>
          <w:rFonts w:ascii="Times New Roman" w:hAnsi="Times New Roman" w:eastAsia="Times New Roman" w:cs="Times New Roman"/>
          <w:spacing w:val="10"/>
        </w:rPr>
        <w:t>h</w:t>
      </w:r>
      <w:r>
        <w:rPr>
          <w:spacing w:val="10"/>
        </w:rPr>
        <w:t>下降；循环中</w:t>
      </w:r>
      <w:r>
        <w:rPr>
          <w:rFonts w:ascii="Times New Roman" w:hAnsi="Times New Roman" w:eastAsia="Times New Roman" w:cs="Times New Roman"/>
        </w:rPr>
        <w:t>citH</w:t>
      </w:r>
      <w:r>
        <w:rPr>
          <w:rFonts w:ascii="Times New Roman" w:hAnsi="Times New Roman" w:eastAsia="Times New Roman" w:cs="Times New Roman"/>
          <w:spacing w:val="10"/>
        </w:rPr>
        <w:t>3</w:t>
      </w:r>
      <w:r>
        <w:rPr>
          <w:rFonts w:ascii="SimSun" w:hAnsi="SimSun" w:eastAsia="SimSun" w:cs="SimSun"/>
          <w:spacing w:val="10"/>
        </w:rPr>
        <w:t>、</w:t>
      </w:r>
    </w:p>
    <w:p>
      <w:pPr>
        <w:pStyle w:val="BodyText"/>
        <w:ind w:left="500"/>
        <w:spacing w:before="154" w:line="222" w:lineRule="auto"/>
        <w:rPr/>
      </w:pPr>
      <w:r>
        <w:rPr>
          <w:rFonts w:ascii="Arial" w:hAnsi="Arial" w:eastAsia="Arial" w:cs="Arial"/>
          <w:spacing w:val="-3"/>
        </w:rPr>
        <w:t>MPO-DNA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spacing w:val="-3"/>
        </w:rPr>
        <w:t>复合物与</w:t>
      </w:r>
      <w:r>
        <w:rPr>
          <w:rFonts w:ascii="Arial" w:hAnsi="Arial" w:eastAsia="Arial" w:cs="Arial"/>
          <w:spacing w:val="-3"/>
        </w:rPr>
        <w:t>NIHSS</w:t>
      </w:r>
      <w:r>
        <w:rPr>
          <w:spacing w:val="-3"/>
        </w:rPr>
        <w:t>评分及梗死体积正相关。</w:t>
      </w:r>
    </w:p>
    <w:p>
      <w:pPr>
        <w:pStyle w:val="BodyText"/>
        <w:ind w:left="499" w:right="986" w:hanging="130"/>
        <w:spacing w:before="216" w:line="294" w:lineRule="auto"/>
        <w:rPr>
          <w:rFonts w:ascii="SimSun" w:hAnsi="SimSun" w:eastAsia="SimSun" w:cs="SimSun"/>
        </w:rPr>
      </w:pPr>
      <w:r>
        <w:rPr>
          <w:spacing w:val="-2"/>
        </w:rPr>
        <w:t>·吞噬与细胞毒性：吞噬坏死碎片，但过度激活导致旁观者损伤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(neuron       by</w:t>
      </w:r>
      <w:r>
        <w:rPr>
          <w:rFonts w:ascii="Times New Roman" w:hAnsi="Times New Roman" w:eastAsia="Times New Roman" w:cs="Times New Roman"/>
          <w:spacing w:val="-3"/>
        </w:rPr>
        <w:t>stander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Arial" w:hAnsi="Arial" w:eastAsia="Arial" w:cs="Arial"/>
          <w:spacing w:val="-2"/>
        </w:rPr>
        <w:t>killing)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right="567" w:firstLine="369"/>
        <w:spacing w:before="229" w:line="303" w:lineRule="auto"/>
        <w:rPr>
          <w:rFonts w:ascii="SimSun" w:hAnsi="SimSun" w:eastAsia="SimSun" w:cs="SimSun"/>
        </w:rPr>
      </w:pPr>
      <w:r>
        <w:rPr>
          <w:spacing w:val="-3"/>
        </w:rPr>
        <w:t>·凋亡与清除：急性期后期部分发生凋亡，但清除效率低，常继发继发坏死，加剧炎症。</w:t>
      </w:r>
      <w:r>
        <w:rPr>
          <w:spacing w:val="5"/>
        </w:rPr>
        <w:t xml:space="preserve"> </w:t>
      </w:r>
      <w:r>
        <w:rPr>
          <w:spacing w:val="3"/>
        </w:rPr>
        <w:t>异质性方面：中性粒细胞呈现</w:t>
      </w:r>
      <w:r>
        <w:rPr>
          <w:rFonts w:ascii="SimSun" w:hAnsi="SimSun" w:eastAsia="SimSun" w:cs="SimSun"/>
          <w:spacing w:val="3"/>
        </w:rPr>
        <w:t>N1</w:t>
      </w:r>
      <w:r>
        <w:rPr>
          <w:spacing w:val="3"/>
        </w:rPr>
        <w:t>样(促炎，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</w:rPr>
        <w:t>CXCL</w:t>
      </w:r>
      <w:r>
        <w:rPr>
          <w:rFonts w:ascii="SimSun" w:hAnsi="SimSun" w:eastAsia="SimSun" w:cs="SimSun"/>
          <w:spacing w:val="3"/>
        </w:rPr>
        <w:t>10、</w:t>
      </w:r>
      <w:r>
        <w:rPr>
          <w:rFonts w:ascii="SimSun" w:hAnsi="SimSun" w:eastAsia="SimSun" w:cs="SimSun"/>
        </w:rPr>
        <w:t>iNOS</w:t>
      </w:r>
      <w:r>
        <w:rPr>
          <w:rFonts w:ascii="SimSun" w:hAnsi="SimSun" w:eastAsia="SimSun" w:cs="SimSun"/>
          <w:spacing w:val="33"/>
        </w:rPr>
        <w:t xml:space="preserve">  </w:t>
      </w:r>
      <w:r>
        <w:rPr>
          <w:spacing w:val="3"/>
        </w:rPr>
        <w:t>个)</w:t>
      </w:r>
      <w:r>
        <w:rPr>
          <w:spacing w:val="2"/>
        </w:rPr>
        <w:t>与</w:t>
      </w:r>
      <w:r>
        <w:rPr>
          <w:rFonts w:ascii="SimSun" w:hAnsi="SimSun" w:eastAsia="SimSun" w:cs="SimSun"/>
          <w:spacing w:val="2"/>
        </w:rPr>
        <w:t>N2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2"/>
        </w:rPr>
        <w:t>样(抗炎，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</w:rPr>
        <w:t>Arg</w:t>
      </w:r>
      <w:r>
        <w:rPr>
          <w:rFonts w:ascii="SimSun" w:hAnsi="SimSun" w:eastAsia="SimSun" w:cs="SimSun"/>
          <w:spacing w:val="2"/>
        </w:rPr>
        <w:t>1、</w:t>
      </w:r>
    </w:p>
    <w:p>
      <w:pPr>
        <w:pStyle w:val="BodyText"/>
        <w:ind w:left="3" w:right="26" w:hanging="3"/>
        <w:spacing w:before="234" w:line="415" w:lineRule="auto"/>
        <w:rPr/>
      </w:pPr>
      <w:r>
        <w:rPr>
          <w:rFonts w:ascii="SimSun" w:hAnsi="SimSun" w:eastAsia="SimSun" w:cs="SimSun"/>
        </w:rPr>
        <w:t>CD</w:t>
      </w:r>
      <w:r>
        <w:rPr>
          <w:rFonts w:ascii="SimSun" w:hAnsi="SimSun" w:eastAsia="SimSun" w:cs="SimSun"/>
          <w:spacing w:val="3"/>
        </w:rPr>
        <w:t>206</w:t>
      </w:r>
      <w:r>
        <w:rPr>
          <w:rFonts w:ascii="SimSun" w:hAnsi="SimSun" w:eastAsia="SimSun" w:cs="SimSun"/>
          <w:spacing w:val="87"/>
        </w:rPr>
        <w:t xml:space="preserve"> </w:t>
      </w:r>
      <w:r>
        <w:rPr>
          <w:spacing w:val="3"/>
        </w:rPr>
        <w:t>个)极化。急性期以</w:t>
      </w:r>
      <w:r>
        <w:rPr>
          <w:rFonts w:ascii="SimSun" w:hAnsi="SimSun" w:eastAsia="SimSun" w:cs="SimSun"/>
          <w:spacing w:val="3"/>
        </w:rPr>
        <w:t>N1</w:t>
      </w:r>
      <w:r>
        <w:rPr>
          <w:spacing w:val="3"/>
        </w:rPr>
        <w:t>样为主，</w:t>
      </w:r>
      <w:r>
        <w:rPr>
          <w:rFonts w:ascii="SimSun" w:hAnsi="SimSun" w:eastAsia="SimSun" w:cs="SimSun"/>
        </w:rPr>
        <w:t>NET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3"/>
        </w:rPr>
        <w:t>形成倾向强；少</w:t>
      </w:r>
      <w:r>
        <w:rPr>
          <w:spacing w:val="2"/>
        </w:rPr>
        <w:t>数研究报道</w:t>
      </w:r>
      <w:r>
        <w:rPr>
          <w:rFonts w:ascii="SimSun" w:hAnsi="SimSun" w:eastAsia="SimSun" w:cs="SimSun"/>
          <w:spacing w:val="2"/>
        </w:rPr>
        <w:t>N2</w:t>
      </w:r>
      <w:r>
        <w:rPr>
          <w:spacing w:val="2"/>
        </w:rPr>
        <w:t>样早期出现但比例低。</w:t>
      </w:r>
      <w:r>
        <w:rPr/>
        <w:t xml:space="preserve"> </w:t>
      </w:r>
      <w:r>
        <w:rPr>
          <w:b/>
          <w:bCs/>
          <w:spacing w:val="1"/>
        </w:rPr>
        <w:t>表1急性期</w:t>
      </w:r>
      <w:r>
        <w:rPr>
          <w:rFonts w:ascii="SimSun" w:hAnsi="SimSun" w:eastAsia="SimSun" w:cs="SimSun"/>
          <w:b/>
          <w:bCs/>
        </w:rPr>
        <w:t>vs</w:t>
      </w:r>
      <w:r>
        <w:rPr>
          <w:rFonts w:ascii="SimSun" w:hAnsi="SimSun" w:eastAsia="SimSun" w:cs="SimSun"/>
          <w:b/>
          <w:bCs/>
          <w:spacing w:val="1"/>
        </w:rPr>
        <w:t>.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b/>
          <w:bCs/>
          <w:spacing w:val="1"/>
        </w:rPr>
        <w:t>慢性期中性粒细胞功能与变化对比</w:t>
      </w:r>
    </w:p>
    <w:p>
      <w:pPr>
        <w:spacing w:line="415" w:lineRule="auto"/>
        <w:sectPr>
          <w:pgSz w:w="12240" w:h="15840"/>
          <w:pgMar w:top="1163" w:right="1073" w:bottom="0" w:left="980" w:header="0" w:footer="0" w:gutter="0"/>
        </w:sectPr>
        <w:rPr/>
      </w:pPr>
    </w:p>
    <w:tbl>
      <w:tblPr>
        <w:tblStyle w:val="TableNormal"/>
        <w:tblW w:w="1025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4"/>
        <w:gridCol w:w="1272"/>
        <w:gridCol w:w="1984"/>
        <w:gridCol w:w="2798"/>
        <w:gridCol w:w="1099"/>
        <w:gridCol w:w="1803"/>
      </w:tblGrid>
      <w:tr>
        <w:trPr>
          <w:trHeight w:val="886" w:hRule="atLeast"/>
        </w:trPr>
        <w:tc>
          <w:tcPr>
            <w:tcW w:w="2566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18" w:right="151" w:hanging="1320"/>
              <w:spacing w:before="230" w:line="198" w:lineRule="auto"/>
              <w:rPr/>
            </w:pPr>
            <w:r>
              <w:rPr>
                <w:b/>
                <w:bCs/>
                <w:spacing w:val="2"/>
                <w:position w:val="-4"/>
              </w:rPr>
              <w:t>时间窗口</w:t>
            </w:r>
            <w:r>
              <w:rPr>
                <w:spacing w:val="28"/>
                <w:position w:val="-4"/>
              </w:rPr>
              <w:t xml:space="preserve">   </w:t>
            </w:r>
            <w:r>
              <w:rPr>
                <w:b/>
                <w:bCs/>
                <w:spacing w:val="2"/>
                <w:position w:val="4"/>
              </w:rPr>
              <w:t>主要浸润</w:t>
            </w:r>
            <w:r>
              <w:rPr>
                <w:spacing w:val="1"/>
                <w:position w:val="4"/>
              </w:rPr>
              <w:t xml:space="preserve"> </w:t>
            </w:r>
            <w:r>
              <w:rPr>
                <w:b/>
                <w:bCs/>
                <w:spacing w:val="-7"/>
              </w:rPr>
              <w:t>峰值</w:t>
            </w:r>
          </w:p>
        </w:tc>
        <w:tc>
          <w:tcPr>
            <w:tcW w:w="1984" w:type="dxa"/>
            <w:vAlign w:val="top"/>
            <w:tcBorders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/>
              <w:spacing w:before="71" w:line="221" w:lineRule="auto"/>
              <w:rPr/>
            </w:pPr>
            <w:r>
              <w:rPr>
                <w:b/>
                <w:bCs/>
                <w:spacing w:val="-5"/>
              </w:rPr>
              <w:t>主导表型</w:t>
            </w:r>
          </w:p>
        </w:tc>
        <w:tc>
          <w:tcPr>
            <w:tcW w:w="2798" w:type="dxa"/>
            <w:vAlign w:val="top"/>
            <w:tcBorders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72" w:line="219" w:lineRule="auto"/>
              <w:rPr/>
            </w:pPr>
            <w:r>
              <w:rPr>
                <w:b/>
                <w:bCs/>
              </w:rPr>
              <w:t>关键功能与介质</w:t>
            </w:r>
          </w:p>
        </w:tc>
        <w:tc>
          <w:tcPr>
            <w:tcW w:w="109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5" w:right="230"/>
              <w:spacing w:before="233"/>
              <w:rPr/>
            </w:pPr>
            <w:r>
              <w:rPr>
                <w:b/>
                <w:bCs/>
              </w:rPr>
              <w:t>BBB</w:t>
            </w:r>
            <w:r>
              <w:rPr>
                <w:b/>
                <w:bCs/>
                <w:spacing w:val="23"/>
              </w:rPr>
              <w:t>影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响</w:t>
            </w:r>
          </w:p>
        </w:tc>
        <w:tc>
          <w:tcPr>
            <w:tcW w:w="1803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72" w:line="220" w:lineRule="auto"/>
              <w:rPr/>
            </w:pPr>
            <w:r>
              <w:rPr>
                <w:b/>
                <w:bCs/>
                <w:spacing w:val="-4"/>
              </w:rPr>
              <w:t>主要结局贡献</w:t>
            </w:r>
          </w:p>
        </w:tc>
      </w:tr>
      <w:tr>
        <w:trPr>
          <w:trHeight w:val="449" w:hRule="atLeast"/>
        </w:trPr>
        <w:tc>
          <w:tcPr>
            <w:tcW w:w="2566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135"/>
              <w:spacing w:before="158" w:line="160" w:lineRule="auto"/>
              <w:rPr/>
            </w:pPr>
            <w:r>
              <w:rPr>
                <w:position w:val="6"/>
              </w:rPr>
              <w:t>急性期</w:t>
            </w:r>
            <w:r>
              <w:rPr>
                <w:spacing w:val="18"/>
                <w:position w:val="6"/>
              </w:rPr>
              <w:t xml:space="preserve">      </w:t>
            </w:r>
            <w:r>
              <w:rPr>
                <w:position w:val="-3"/>
              </w:rPr>
              <w:t>24-72h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4"/>
              <w:spacing w:before="168" w:line="219" w:lineRule="auto"/>
              <w:rPr/>
            </w:pPr>
            <w:r>
              <w:rPr>
                <w:spacing w:val="3"/>
              </w:rPr>
              <w:t>N1样主导，</w:t>
            </w:r>
            <w:r>
              <w:rPr/>
              <w:t>NET</w:t>
            </w:r>
            <w:r>
              <w:rPr>
                <w:spacing w:val="3"/>
              </w:rPr>
              <w:t>-</w:t>
            </w:r>
          </w:p>
        </w:tc>
        <w:tc>
          <w:tcPr>
            <w:tcW w:w="2798" w:type="dxa"/>
            <w:vAlign w:val="top"/>
          </w:tcPr>
          <w:p>
            <w:pPr>
              <w:pStyle w:val="TableText"/>
              <w:ind w:left="250"/>
              <w:spacing w:before="222" w:line="182" w:lineRule="auto"/>
              <w:rPr/>
            </w:pPr>
            <w:r>
              <w:rPr>
                <w:spacing w:val="-3"/>
              </w:rPr>
              <w:t>ROS、NETs、NE、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252"/>
              <w:spacing w:before="188" w:line="210" w:lineRule="auto"/>
              <w:rPr/>
            </w:pPr>
            <w:r>
              <w:rPr>
                <w:spacing w:val="29"/>
              </w:rPr>
              <w:t>严重破</w:t>
            </w:r>
          </w:p>
        </w:tc>
        <w:tc>
          <w:tcPr>
            <w:tcW w:w="1803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43"/>
              <w:spacing w:before="207" w:line="194" w:lineRule="auto"/>
              <w:rPr/>
            </w:pPr>
            <w:r>
              <w:rPr>
                <w:spacing w:val="5"/>
              </w:rPr>
              <w:t>梗死扩大、水</w:t>
            </w:r>
          </w:p>
        </w:tc>
      </w:tr>
      <w:tr>
        <w:trPr>
          <w:trHeight w:val="242" w:hRule="atLeast"/>
        </w:trPr>
        <w:tc>
          <w:tcPr>
            <w:tcW w:w="2566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85"/>
              <w:spacing w:before="12" w:line="184" w:lineRule="auto"/>
              <w:rPr/>
            </w:pPr>
            <w:r>
              <w:rPr>
                <w:spacing w:val="-9"/>
              </w:rPr>
              <w:t>(0-3</w:t>
            </w:r>
            <w:r>
              <w:rPr>
                <w:spacing w:val="108"/>
              </w:rPr>
              <w:t xml:space="preserve"> </w:t>
            </w:r>
            <w:r>
              <w:rPr>
                <w:spacing w:val="-9"/>
              </w:rPr>
              <w:t>d)</w:t>
            </w:r>
          </w:p>
        </w:tc>
        <w:tc>
          <w:tcPr>
            <w:tcW w:w="19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4"/>
              <w:spacing w:before="2" w:line="193" w:lineRule="auto"/>
              <w:rPr/>
            </w:pPr>
            <w:r>
              <w:rPr>
                <w:spacing w:val="-2"/>
              </w:rPr>
              <w:t>forming↑</w:t>
            </w:r>
          </w:p>
        </w:tc>
        <w:tc>
          <w:tcPr>
            <w:tcW w:w="27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0"/>
              <w:spacing w:before="7" w:line="188" w:lineRule="auto"/>
              <w:rPr/>
            </w:pPr>
            <w:r>
              <w:rPr/>
              <w:t>MPO</w:t>
            </w:r>
            <w:r>
              <w:rPr>
                <w:spacing w:val="3"/>
              </w:rPr>
              <w:t>、</w:t>
            </w:r>
            <w:r>
              <w:rPr/>
              <w:t>MMP</w:t>
            </w:r>
            <w:r>
              <w:rPr>
                <w:spacing w:val="3"/>
              </w:rPr>
              <w:t>-9、促炎因子</w:t>
            </w:r>
          </w:p>
        </w:tc>
        <w:tc>
          <w:tcPr>
            <w:tcW w:w="10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2"/>
              <w:spacing w:before="9" w:line="187" w:lineRule="auto"/>
              <w:rPr/>
            </w:pPr>
            <w:r>
              <w:rPr/>
              <w:t>坏</w:t>
            </w:r>
          </w:p>
        </w:tc>
        <w:tc>
          <w:tcPr>
            <w:tcW w:w="1803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3"/>
              <w:spacing w:before="10" w:line="186" w:lineRule="auto"/>
              <w:rPr/>
            </w:pPr>
            <w:r>
              <w:rPr>
                <w:spacing w:val="39"/>
              </w:rPr>
              <w:t>肿、</w:t>
            </w:r>
            <w:r>
              <w:rPr/>
              <w:t>BBB</w:t>
            </w:r>
            <w:r>
              <w:rPr>
                <w:spacing w:val="39"/>
              </w:rPr>
              <w:t>漏出</w:t>
            </w:r>
          </w:p>
        </w:tc>
      </w:tr>
      <w:tr>
        <w:trPr>
          <w:trHeight w:val="539" w:hRule="atLeast"/>
        </w:trPr>
        <w:tc>
          <w:tcPr>
            <w:tcW w:w="1294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297" w:line="194" w:lineRule="auto"/>
              <w:rPr/>
            </w:pPr>
            <w:r>
              <w:rPr>
                <w:spacing w:val="-7"/>
              </w:rPr>
              <w:t>慢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性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期</w:t>
            </w:r>
          </w:p>
        </w:tc>
        <w:tc>
          <w:tcPr>
            <w:tcW w:w="12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"/>
              <w:spacing w:before="157" w:line="219" w:lineRule="auto"/>
              <w:rPr/>
            </w:pPr>
            <w:r>
              <w:rPr>
                <w:spacing w:val="2"/>
              </w:rPr>
              <w:t>持续低水</w:t>
            </w:r>
          </w:p>
        </w:tc>
        <w:tc>
          <w:tcPr>
            <w:tcW w:w="19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4"/>
              <w:spacing w:before="157" w:line="219" w:lineRule="auto"/>
              <w:rPr/>
            </w:pPr>
            <w:r>
              <w:rPr>
                <w:spacing w:val="-1"/>
              </w:rPr>
              <w:t>N2样比例个，老</w:t>
            </w:r>
          </w:p>
        </w:tc>
        <w:tc>
          <w:tcPr>
            <w:tcW w:w="27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0"/>
              <w:spacing w:before="157" w:line="220" w:lineRule="auto"/>
              <w:rPr/>
            </w:pPr>
            <w:r>
              <w:rPr>
                <w:spacing w:val="-1"/>
              </w:rPr>
              <w:t>吞噬残余、IL-10、TGF-</w:t>
            </w:r>
          </w:p>
        </w:tc>
        <w:tc>
          <w:tcPr>
            <w:tcW w:w="109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2"/>
              <w:spacing w:before="157" w:line="219" w:lineRule="auto"/>
              <w:rPr/>
            </w:pPr>
            <w:r>
              <w:rPr>
                <w:spacing w:val="-3"/>
              </w:rPr>
              <w:t>部分修</w:t>
            </w:r>
          </w:p>
        </w:tc>
        <w:tc>
          <w:tcPr>
            <w:tcW w:w="1803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72" w:line="178" w:lineRule="auto"/>
              <w:rPr/>
            </w:pPr>
            <w:r>
              <w:rPr>
                <w:spacing w:val="8"/>
              </w:rPr>
              <w:t>修复</w:t>
            </w:r>
            <w:r>
              <w:rPr/>
              <w:t>vs</w:t>
            </w:r>
            <w:r>
              <w:rPr>
                <w:spacing w:val="8"/>
              </w:rPr>
              <w:t>.慢性炎</w:t>
            </w:r>
          </w:p>
        </w:tc>
      </w:tr>
      <w:tr>
        <w:trPr>
          <w:trHeight w:val="263" w:hRule="atLeast"/>
        </w:trPr>
        <w:tc>
          <w:tcPr>
            <w:tcW w:w="1294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75"/>
              <w:spacing w:before="31" w:line="186" w:lineRule="auto"/>
              <w:rPr/>
            </w:pPr>
            <w:r>
              <w:rPr>
                <w:spacing w:val="-11"/>
              </w:rPr>
              <w:t>(&gt;7</w:t>
            </w:r>
            <w:r>
              <w:rPr>
                <w:spacing w:val="108"/>
              </w:rPr>
              <w:t xml:space="preserve"> </w:t>
            </w:r>
            <w:r>
              <w:rPr>
                <w:spacing w:val="-11"/>
              </w:rPr>
              <w:t>d)</w:t>
            </w:r>
          </w:p>
        </w:tc>
        <w:tc>
          <w:tcPr>
            <w:tcW w:w="1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81"/>
              <w:spacing w:before="27" w:line="189" w:lineRule="auto"/>
              <w:rPr/>
            </w:pPr>
            <w:r>
              <w:rPr>
                <w:spacing w:val="5"/>
              </w:rPr>
              <w:t>平浸润</w:t>
            </w:r>
          </w:p>
        </w:tc>
        <w:tc>
          <w:tcPr>
            <w:tcW w:w="19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4"/>
              <w:spacing w:before="26" w:line="190" w:lineRule="auto"/>
              <w:rPr/>
            </w:pPr>
            <w:r>
              <w:rPr>
                <w:spacing w:val="2"/>
              </w:rPr>
              <w:t>化/衰竭表型</w:t>
            </w:r>
          </w:p>
        </w:tc>
        <w:tc>
          <w:tcPr>
            <w:tcW w:w="27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0"/>
              <w:spacing w:before="26" w:line="190" w:lineRule="auto"/>
              <w:rPr/>
            </w:pPr>
            <w:r>
              <w:rPr>
                <w:spacing w:val="1"/>
              </w:rPr>
              <w:t>β、抗炎介质释放</w:t>
            </w:r>
          </w:p>
        </w:tc>
        <w:tc>
          <w:tcPr>
            <w:tcW w:w="10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2"/>
              <w:spacing w:before="28" w:line="188" w:lineRule="auto"/>
              <w:rPr/>
            </w:pPr>
            <w:r>
              <w:rPr/>
              <w:t>复</w:t>
            </w:r>
          </w:p>
        </w:tc>
        <w:tc>
          <w:tcPr>
            <w:tcW w:w="1803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3"/>
              <w:spacing w:before="30" w:line="187" w:lineRule="auto"/>
              <w:rPr/>
            </w:pPr>
            <w:r>
              <w:rPr/>
              <w:t>症</w:t>
            </w:r>
          </w:p>
        </w:tc>
      </w:tr>
    </w:tbl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48"/>
        <w:spacing w:before="78" w:line="221" w:lineRule="auto"/>
        <w:outlineLvl w:val="3"/>
        <w:rPr/>
      </w:pPr>
      <w:r>
        <w:rPr>
          <w:b/>
          <w:bCs/>
          <w:spacing w:val="7"/>
        </w:rPr>
        <w:t>(二)慢性期(发病后数天至数周/月)中性粒细胞的功能、表型与动</w:t>
      </w:r>
      <w:r>
        <w:rPr>
          <w:b/>
          <w:bCs/>
          <w:spacing w:val="6"/>
        </w:rPr>
        <w:t>态变化</w:t>
      </w:r>
    </w:p>
    <w:p>
      <w:pPr>
        <w:pStyle w:val="BodyText"/>
        <w:ind w:left="4" w:right="15"/>
        <w:spacing w:before="192" w:line="315" w:lineRule="auto"/>
        <w:rPr/>
      </w:pPr>
      <w:r>
        <w:rPr>
          <w:spacing w:val="6"/>
        </w:rPr>
        <w:t>慢性期(&gt;7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d</w:t>
      </w:r>
      <w:r>
        <w:rPr>
          <w:spacing w:val="6"/>
        </w:rPr>
        <w:t>至数月),中性粒细胞数量显著下降，但仍有持续低水平浸润，尤其在梗</w:t>
      </w:r>
      <w:r>
        <w:rPr>
          <w:spacing w:val="5"/>
        </w:rPr>
        <w:t>死周边区和</w:t>
      </w:r>
      <w:r>
        <w:rPr/>
        <w:t xml:space="preserve"> </w:t>
      </w:r>
      <w:r>
        <w:rPr>
          <w:spacing w:val="-2"/>
        </w:rPr>
        <w:t>胶质瘢痕附近。功能从破坏转向部分修复与慢性炎症维持。</w:t>
      </w:r>
    </w:p>
    <w:p>
      <w:pPr>
        <w:pStyle w:val="BodyText"/>
        <w:ind w:left="4"/>
        <w:spacing w:before="165" w:line="222" w:lineRule="auto"/>
        <w:rPr/>
      </w:pPr>
      <w:r>
        <w:rPr>
          <w:spacing w:val="-4"/>
        </w:rPr>
        <w:t>关键变化包括：</w:t>
      </w:r>
    </w:p>
    <w:p>
      <w:pPr>
        <w:pStyle w:val="BodyText"/>
        <w:ind w:left="494" w:right="185" w:hanging="130"/>
        <w:spacing w:before="260" w:line="277" w:lineRule="auto"/>
        <w:rPr/>
      </w:pPr>
      <w:r>
        <w:rPr>
          <w:spacing w:val="-3"/>
        </w:rPr>
        <w:t>·</w:t>
      </w:r>
      <w:r>
        <w:rPr>
          <w:spacing w:val="-98"/>
        </w:rPr>
        <w:t xml:space="preserve"> </w:t>
      </w:r>
      <w:r>
        <w:rPr>
          <w:spacing w:val="-3"/>
        </w:rPr>
        <w:t>表型转换：</w:t>
      </w:r>
      <w:r>
        <w:rPr>
          <w:rFonts w:ascii="SimSun" w:hAnsi="SimSun" w:eastAsia="SimSun" w:cs="SimSun"/>
          <w:spacing w:val="-3"/>
        </w:rPr>
        <w:t>N1→N2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3"/>
        </w:rPr>
        <w:t>样极化增加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(TGF-β、PPARy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spacing w:val="-3"/>
        </w:rPr>
        <w:t>通路驱动),表达</w:t>
      </w:r>
      <w:r>
        <w:rPr>
          <w:rFonts w:ascii="SimSun" w:hAnsi="SimSun" w:eastAsia="SimSun" w:cs="SimSun"/>
          <w:spacing w:val="-3"/>
        </w:rPr>
        <w:t>Arg1、Y</w:t>
      </w:r>
      <w:r>
        <w:rPr>
          <w:rFonts w:ascii="SimSun" w:hAnsi="SimSun" w:eastAsia="SimSun" w:cs="SimSun"/>
          <w:spacing w:val="-4"/>
        </w:rPr>
        <w:t>m1、CD206</w:t>
      </w:r>
      <w:r>
        <w:rPr>
          <w:rFonts w:ascii="SimSun" w:hAnsi="SimSun" w:eastAsia="SimSun" w:cs="SimSun"/>
          <w:spacing w:val="46"/>
        </w:rPr>
        <w:t xml:space="preserve">  </w:t>
      </w:r>
      <w:r>
        <w:rPr>
          <w:spacing w:val="-4"/>
        </w:rPr>
        <w:t>个，</w:t>
      </w:r>
      <w:r>
        <w:rPr/>
        <w:t xml:space="preserve"> </w:t>
      </w:r>
      <w:r>
        <w:rPr>
          <w:spacing w:val="-2"/>
        </w:rPr>
        <w:t>促进吞噬凋亡中性粒细胞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(efferocytosis,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2"/>
        </w:rPr>
        <w:t>由小胶质细胞/巨噬细胞主导)。</w:t>
      </w:r>
    </w:p>
    <w:p>
      <w:pPr>
        <w:pStyle w:val="BodyText"/>
        <w:ind w:left="494" w:right="43" w:hanging="130"/>
        <w:spacing w:before="220" w:line="268" w:lineRule="auto"/>
        <w:rPr/>
      </w:pPr>
      <w:r>
        <w:rPr>
          <w:spacing w:val="-2"/>
        </w:rPr>
        <w:t>·持续浸润与老化表型：</w:t>
      </w:r>
      <w:r>
        <w:rPr>
          <w:rFonts w:ascii="SimSun" w:hAnsi="SimSun" w:eastAsia="SimSun" w:cs="SimSun"/>
          <w:spacing w:val="-2"/>
        </w:rPr>
        <w:t>CXCR4^high^/CD62L^low^“aged”   </w:t>
      </w:r>
      <w:r>
        <w:rPr>
          <w:spacing w:val="-2"/>
        </w:rPr>
        <w:t>中性粒细胞增多，</w:t>
      </w:r>
      <w:r>
        <w:rPr>
          <w:rFonts w:ascii="SimSun" w:hAnsi="SimSun" w:eastAsia="SimSun" w:cs="SimSun"/>
          <w:spacing w:val="-2"/>
        </w:rPr>
        <w:t>NET </w:t>
      </w:r>
      <w:r>
        <w:rPr>
          <w:spacing w:val="-2"/>
        </w:rPr>
        <w:t>形成能力</w:t>
      </w:r>
      <w:r>
        <w:rPr>
          <w:spacing w:val="6"/>
        </w:rPr>
        <w:t xml:space="preserve"> </w:t>
      </w:r>
      <w:r>
        <w:rPr>
          <w:spacing w:val="-1"/>
        </w:rPr>
        <w:t>仍存但降低，</w:t>
      </w:r>
      <w:r>
        <w:rPr>
          <w:rFonts w:ascii="SimSun" w:hAnsi="SimSun" w:eastAsia="SimSun" w:cs="SimSun"/>
          <w:spacing w:val="-1"/>
        </w:rPr>
        <w:t>ROS </w:t>
      </w:r>
      <w:r>
        <w:rPr>
          <w:spacing w:val="-1"/>
        </w:rPr>
        <w:t>持续产生，促进慢性氧化应激。</w:t>
      </w:r>
    </w:p>
    <w:p>
      <w:pPr>
        <w:pStyle w:val="BodyText"/>
        <w:ind w:left="494" w:right="19" w:hanging="130"/>
        <w:spacing w:before="283" w:line="274" w:lineRule="auto"/>
        <w:rPr/>
      </w:pPr>
      <w:r>
        <w:rPr>
          <w:spacing w:val="-4"/>
        </w:rPr>
        <w:t>·修复相关功能：释放</w:t>
      </w:r>
      <w:r>
        <w:rPr>
          <w:spacing w:val="-53"/>
        </w:rPr>
        <w:t xml:space="preserve"> </w:t>
      </w:r>
      <w:r>
        <w:rPr>
          <w:rFonts w:ascii="SimSun" w:hAnsi="SimSun" w:eastAsia="SimSun" w:cs="SimSun"/>
          <w:spacing w:val="-4"/>
        </w:rPr>
        <w:t>resolvins、protectins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4"/>
        </w:rPr>
        <w:t>等促消退介质；参与</w:t>
      </w:r>
      <w:r>
        <w:rPr>
          <w:spacing w:val="-5"/>
        </w:rPr>
        <w:t>血管新生和胶质瘢痕形成调</w:t>
      </w:r>
      <w:r>
        <w:rPr/>
        <w:t xml:space="preserve"> </w:t>
      </w:r>
      <w:r>
        <w:rPr>
          <w:spacing w:val="-10"/>
        </w:rPr>
        <w:t>控。</w:t>
      </w:r>
    </w:p>
    <w:p>
      <w:pPr>
        <w:pStyle w:val="BodyText"/>
        <w:ind w:left="494" w:right="359" w:hanging="130"/>
        <w:spacing w:before="242" w:line="262" w:lineRule="auto"/>
        <w:rPr/>
      </w:pPr>
      <w:r>
        <w:rPr>
          <w:spacing w:val="-3"/>
        </w:rPr>
        <w:t>·清除机制：主要通过小胶质细胞/巨噬细胞吞噬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(efferocytosis),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但老年个体清除效率下</w:t>
      </w:r>
      <w:r>
        <w:rPr/>
        <w:t xml:space="preserve"> </w:t>
      </w:r>
      <w:r>
        <w:rPr>
          <w:spacing w:val="-1"/>
        </w:rPr>
        <w:t>降，导致残留</w:t>
      </w:r>
      <w:r>
        <w:rPr>
          <w:rFonts w:ascii="Times New Roman" w:hAnsi="Times New Roman" w:eastAsia="Times New Roman" w:cs="Times New Roman"/>
          <w:spacing w:val="-1"/>
        </w:rPr>
        <w:t>NETs</w:t>
      </w:r>
      <w:r>
        <w:rPr>
          <w:spacing w:val="-1"/>
        </w:rPr>
        <w:t>和慢性炎症。</w:t>
      </w:r>
    </w:p>
    <w:p>
      <w:pPr>
        <w:pStyle w:val="BodyText"/>
        <w:ind w:left="4" w:right="200"/>
        <w:spacing w:before="316" w:line="333" w:lineRule="auto"/>
        <w:jc w:val="both"/>
        <w:rPr/>
      </w:pPr>
      <w:r>
        <w:rPr>
          <w:spacing w:val="-6"/>
        </w:rPr>
        <w:t>异质性研究显示：单细胞转录组揭示慢性期存在“修复型”亚群(表达</w:t>
      </w:r>
      <w:r>
        <w:rPr>
          <w:rFonts w:ascii="Times New Roman" w:hAnsi="Times New Roman" w:eastAsia="Times New Roman" w:cs="Times New Roman"/>
          <w:spacing w:val="-6"/>
        </w:rPr>
        <w:t>IL-10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SimSun" w:hAnsi="SimSun" w:eastAsia="SimSun" w:cs="SimSun"/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TGF-β)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6"/>
        </w:rPr>
        <w:t>和“慢性促</w:t>
      </w:r>
      <w:r>
        <w:rPr/>
        <w:t xml:space="preserve"> </w:t>
      </w:r>
      <w:r>
        <w:rPr/>
        <w:t>炎”亚群(持续</w:t>
      </w:r>
      <w:r>
        <w:rPr>
          <w:rFonts w:ascii="SimSun" w:hAnsi="SimSun" w:eastAsia="SimSun" w:cs="SimSun"/>
        </w:rPr>
        <w:t>MMPs、</w:t>
      </w:r>
      <w:r>
        <w:rPr>
          <w:rFonts w:ascii="SimSun" w:hAnsi="SimSun" w:eastAsia="SimSun" w:cs="SimSun"/>
          <w:spacing w:val="115"/>
        </w:rPr>
        <w:t xml:space="preserve"> </w:t>
      </w:r>
      <w:r>
        <w:rPr/>
        <w:t>炎症因子低水平表达);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</w:rPr>
        <w:t>NET-forming </w:t>
      </w:r>
      <w:r>
        <w:rPr/>
        <w:t>亚群在慢性期仍与继发血栓和血管</w:t>
      </w:r>
      <w:r>
        <w:rPr/>
        <w:t xml:space="preserve"> </w:t>
      </w:r>
      <w:r>
        <w:rPr>
          <w:spacing w:val="-6"/>
        </w:rPr>
        <w:t>重塑障碍相关。</w:t>
      </w:r>
    </w:p>
    <w:p>
      <w:pPr>
        <w:pStyle w:val="BodyText"/>
        <w:ind w:left="9"/>
        <w:spacing w:before="32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二、相互作用与临床结局预测</w:t>
      </w:r>
    </w:p>
    <w:p>
      <w:pPr>
        <w:pStyle w:val="BodyText"/>
        <w:ind w:left="158"/>
        <w:spacing w:before="208" w:line="221" w:lineRule="auto"/>
        <w:outlineLvl w:val="3"/>
        <w:rPr/>
      </w:pPr>
      <w:r>
        <w:rPr>
          <w:b/>
          <w:bCs/>
          <w:spacing w:val="1"/>
        </w:rPr>
        <w:t>(一)中性粒细胞与其他关键细胞类型的相互作用预测</w:t>
      </w:r>
    </w:p>
    <w:p>
      <w:pPr>
        <w:pStyle w:val="BodyText"/>
        <w:ind w:left="4"/>
        <w:spacing w:before="215" w:line="213" w:lineRule="auto"/>
        <w:rPr/>
      </w:pPr>
      <w:r>
        <w:rPr>
          <w:spacing w:val="-1"/>
        </w:rPr>
        <w:t>基于急慢性期功能动态，可逻辑推演以下主要细胞对与</w:t>
      </w:r>
      <w:r>
        <w:rPr>
          <w:spacing w:val="-2"/>
        </w:rPr>
        <w:t>通路：</w:t>
      </w:r>
    </w:p>
    <w:p>
      <w:pPr>
        <w:spacing w:line="213" w:lineRule="auto"/>
        <w:sectPr>
          <w:pgSz w:w="12240" w:h="15840"/>
          <w:pgMar w:top="1125" w:right="995" w:bottom="0" w:left="984" w:header="0" w:footer="0" w:gutter="0"/>
        </w:sectPr>
        <w:rPr/>
      </w:pPr>
    </w:p>
    <w:p>
      <w:pPr>
        <w:pStyle w:val="BodyText"/>
        <w:ind w:left="496" w:right="134" w:hanging="130"/>
        <w:spacing w:before="47" w:line="290" w:lineRule="auto"/>
        <w:rPr>
          <w:rFonts w:ascii="SimSun" w:hAnsi="SimSun" w:eastAsia="SimSun" w:cs="SimSun"/>
        </w:rPr>
      </w:pPr>
      <w:r>
        <w:rPr>
          <w:spacing w:val="-5"/>
        </w:rPr>
        <w:t>·</w:t>
      </w:r>
      <w:r>
        <w:rPr>
          <w:spacing w:val="-92"/>
        </w:rPr>
        <w:t xml:space="preserve"> </w:t>
      </w:r>
      <w:r>
        <w:rPr>
          <w:spacing w:val="-5"/>
        </w:rPr>
        <w:t>中性粒细胞</w:t>
      </w:r>
      <w:r>
        <w:rPr>
          <w:spacing w:val="35"/>
        </w:rPr>
        <w:t xml:space="preserve">  </w:t>
      </w:r>
      <w:r>
        <w:rPr>
          <w:spacing w:val="-5"/>
        </w:rPr>
        <w:t>小胶质细胞：急性期，</w:t>
      </w:r>
      <w:r>
        <w:rPr>
          <w:rFonts w:ascii="SimSun" w:hAnsi="SimSun" w:eastAsia="SimSun" w:cs="SimSun"/>
          <w:spacing w:val="-5"/>
        </w:rPr>
        <w:t>NETs </w:t>
      </w:r>
      <w:r>
        <w:rPr>
          <w:spacing w:val="-5"/>
        </w:rPr>
        <w:t>激活小胶质</w:t>
      </w:r>
      <w:r>
        <w:rPr>
          <w:rFonts w:ascii="SimSun" w:hAnsi="SimSun" w:eastAsia="SimSun" w:cs="SimSun"/>
          <w:spacing w:val="-5"/>
        </w:rPr>
        <w:t>TLR</w:t>
      </w:r>
      <w:r>
        <w:rPr>
          <w:rFonts w:ascii="SimSun" w:hAnsi="SimSun" w:eastAsia="SimSun" w:cs="SimSun"/>
          <w:spacing w:val="-6"/>
        </w:rPr>
        <w:t>4/NF-KB,</w:t>
      </w:r>
      <w:r>
        <w:rPr>
          <w:rFonts w:ascii="SimSun" w:hAnsi="SimSun" w:eastAsia="SimSun" w:cs="SimSun"/>
          <w:spacing w:val="44"/>
        </w:rPr>
        <w:t xml:space="preserve">  </w:t>
      </w:r>
      <w:r>
        <w:rPr>
          <w:spacing w:val="-6"/>
        </w:rPr>
        <w:t>促进</w:t>
      </w:r>
      <w:r>
        <w:rPr>
          <w:rFonts w:ascii="SimSun" w:hAnsi="SimSun" w:eastAsia="SimSun" w:cs="SimSun"/>
          <w:spacing w:val="-6"/>
        </w:rPr>
        <w:t>M1</w:t>
      </w:r>
      <w:r>
        <w:rPr>
          <w:spacing w:val="-6"/>
        </w:rPr>
        <w:t>极化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6"/>
        </w:rPr>
        <w:t>(IL-1β、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TNF-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1"/>
        </w:rPr>
        <w:t>α↑),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-1"/>
        </w:rPr>
        <w:t>加剧神经元损伤；慢性期，小胶质吞噬凋亡中性粒</w:t>
      </w:r>
      <w:r>
        <w:rPr>
          <w:spacing w:val="-2"/>
        </w:rPr>
        <w:t>细胞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(efferocytosis),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2"/>
        </w:rPr>
        <w:t>促进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N2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1"/>
        </w:rPr>
        <w:t>极化与炎症消退。关键通路：</w:t>
      </w:r>
      <w:r>
        <w:rPr>
          <w:rFonts w:ascii="SimSun" w:hAnsi="SimSun" w:eastAsia="SimSun" w:cs="SimSun"/>
          <w:spacing w:val="-1"/>
        </w:rPr>
        <w:t>PAD4/NETs→TLR9/MyD88→NF-KB。</w:t>
      </w:r>
    </w:p>
    <w:p>
      <w:pPr>
        <w:pStyle w:val="BodyText"/>
        <w:ind w:left="496" w:right="30" w:hanging="130"/>
        <w:spacing w:before="259" w:line="262" w:lineRule="auto"/>
        <w:rPr/>
      </w:pPr>
      <w:r>
        <w:rPr>
          <w:spacing w:val="6"/>
        </w:rPr>
        <w:t>·</w:t>
      </w:r>
      <w:r>
        <w:rPr>
          <w:spacing w:val="-83"/>
        </w:rPr>
        <w:t xml:space="preserve"> </w:t>
      </w:r>
      <w:r>
        <w:rPr>
          <w:spacing w:val="6"/>
        </w:rPr>
        <w:t>中性粒细胞</w:t>
      </w:r>
      <w:r>
        <w:rPr>
          <w:rFonts w:ascii="Dotum" w:hAnsi="Dotum" w:eastAsia="Dotum" w:cs="Dotum"/>
          <w:spacing w:val="6"/>
        </w:rPr>
        <w:t>⇔</w:t>
      </w:r>
      <w:r>
        <w:rPr>
          <w:spacing w:val="6"/>
        </w:rPr>
        <w:t>星形胶质细胞：</w:t>
      </w:r>
      <w:r>
        <w:rPr>
          <w:rFonts w:ascii="SimSun" w:hAnsi="SimSun" w:eastAsia="SimSun" w:cs="SimSun"/>
        </w:rPr>
        <w:t>NETs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6"/>
        </w:rPr>
        <w:t>和</w:t>
      </w:r>
      <w:r>
        <w:rPr>
          <w:rFonts w:ascii="SimSun" w:hAnsi="SimSun" w:eastAsia="SimSun" w:cs="SimSun"/>
        </w:rPr>
        <w:t>ROS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6"/>
        </w:rPr>
        <w:t>诱导星形胶质</w:t>
      </w:r>
      <w:r>
        <w:rPr>
          <w:rFonts w:ascii="SimSun" w:hAnsi="SimSun" w:eastAsia="SimSun" w:cs="SimSun"/>
          <w:spacing w:val="6"/>
        </w:rPr>
        <w:t>A</w:t>
      </w:r>
      <w:r>
        <w:rPr>
          <w:rFonts w:ascii="SimSun" w:hAnsi="SimSun" w:eastAsia="SimSun" w:cs="SimSun"/>
          <w:spacing w:val="5"/>
        </w:rPr>
        <w:t>1</w:t>
      </w:r>
      <w:r>
        <w:rPr>
          <w:spacing w:val="5"/>
        </w:rPr>
        <w:t>样极化(促炎),破坏</w:t>
      </w:r>
      <w:r>
        <w:rPr>
          <w:rFonts w:ascii="SimSun" w:hAnsi="SimSun" w:eastAsia="SimSun" w:cs="SimSun"/>
        </w:rPr>
        <w:t>BBB</w:t>
      </w:r>
      <w:r>
        <w:rPr>
          <w:rFonts w:ascii="SimSun" w:hAnsi="SimSun" w:eastAsia="SimSun" w:cs="SimSun"/>
          <w:spacing w:val="5"/>
        </w:rPr>
        <w:t>;</w:t>
      </w:r>
      <w:r>
        <w:rPr>
          <w:rFonts w:ascii="SimSun" w:hAnsi="SimSun" w:eastAsia="SimSun" w:cs="SimSun"/>
          <w:spacing w:val="114"/>
        </w:rPr>
        <w:t xml:space="preserve"> </w:t>
      </w:r>
      <w:r>
        <w:rPr>
          <w:spacing w:val="5"/>
        </w:rPr>
        <w:t>慢性</w:t>
      </w:r>
      <w:r>
        <w:rPr/>
        <w:t xml:space="preserve"> </w:t>
      </w:r>
      <w:r>
        <w:rPr>
          <w:spacing w:val="9"/>
        </w:rPr>
        <w:t>期，</w:t>
      </w:r>
      <w:r>
        <w:rPr>
          <w:rFonts w:ascii="Times New Roman" w:hAnsi="Times New Roman" w:eastAsia="Times New Roman" w:cs="Times New Roman"/>
          <w:spacing w:val="9"/>
        </w:rPr>
        <w:t>N2</w:t>
      </w:r>
      <w:r>
        <w:rPr>
          <w:spacing w:val="9"/>
        </w:rPr>
        <w:t>样中性粒细胞释放</w:t>
      </w:r>
      <w:r>
        <w:rPr>
          <w:rFonts w:ascii="Times New Roman" w:hAnsi="Times New Roman" w:eastAsia="Times New Roman" w:cs="Times New Roman"/>
        </w:rPr>
        <w:t>TGF</w:t>
      </w:r>
      <w:r>
        <w:rPr>
          <w:rFonts w:ascii="Times New Roman" w:hAnsi="Times New Roman" w:eastAsia="Times New Roman" w:cs="Times New Roman"/>
          <w:spacing w:val="9"/>
        </w:rPr>
        <w:t>-β </w:t>
      </w:r>
      <w:r>
        <w:rPr>
          <w:spacing w:val="9"/>
        </w:rPr>
        <w:t>促进</w:t>
      </w:r>
      <w:r>
        <w:rPr>
          <w:rFonts w:ascii="Times New Roman" w:hAnsi="Times New Roman" w:eastAsia="Times New Roman" w:cs="Times New Roman"/>
          <w:spacing w:val="9"/>
        </w:rPr>
        <w:t>A2</w:t>
      </w:r>
      <w:r>
        <w:rPr>
          <w:spacing w:val="9"/>
        </w:rPr>
        <w:t>样</w:t>
      </w:r>
      <w:r>
        <w:rPr>
          <w:spacing w:val="8"/>
        </w:rPr>
        <w:t>(修复型)胶质瘢痕形成。</w:t>
      </w:r>
    </w:p>
    <w:p>
      <w:pPr>
        <w:pStyle w:val="BodyText"/>
        <w:ind w:left="496" w:right="150" w:hanging="130"/>
        <w:spacing w:before="243" w:line="278" w:lineRule="auto"/>
        <w:rPr/>
      </w:pPr>
      <w:r>
        <w:rPr>
          <w:spacing w:val="1"/>
        </w:rPr>
        <w:t>·</w:t>
      </w:r>
      <w:r>
        <w:rPr>
          <w:spacing w:val="-85"/>
        </w:rPr>
        <w:t xml:space="preserve"> </w:t>
      </w:r>
      <w:r>
        <w:rPr>
          <w:spacing w:val="1"/>
        </w:rPr>
        <w:t>中性粒细胞</w:t>
      </w:r>
      <w:r>
        <w:rPr>
          <w:rFonts w:ascii="Dotum" w:hAnsi="Dotum" w:eastAsia="Dotum" w:cs="Dotum"/>
          <w:spacing w:val="1"/>
        </w:rPr>
        <w:t>⇔</w:t>
      </w:r>
      <w:r>
        <w:rPr>
          <w:spacing w:val="1"/>
        </w:rPr>
        <w:t>神经元：直接毒性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NETs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组蛋白、</w:t>
      </w:r>
      <w:r>
        <w:rPr>
          <w:rFonts w:ascii="Times New Roman" w:hAnsi="Times New Roman" w:eastAsia="Times New Roman" w:cs="Times New Roman"/>
        </w:rPr>
        <w:t>NE</w:t>
      </w:r>
      <w:r>
        <w:rPr>
          <w:spacing w:val="1"/>
        </w:rPr>
        <w:t>介导神经元凋亡);间接通过小胶质</w:t>
      </w:r>
      <w:r>
        <w:rPr/>
        <w:t>/星</w:t>
      </w:r>
      <w:r>
        <w:rPr/>
        <w:t xml:space="preserve"> </w:t>
      </w:r>
      <w:r>
        <w:rPr>
          <w:spacing w:val="-2"/>
        </w:rPr>
        <w:t>形胶质放大损伤。</w:t>
      </w:r>
    </w:p>
    <w:p>
      <w:pPr>
        <w:pStyle w:val="BodyText"/>
        <w:ind w:left="496" w:right="112" w:hanging="130"/>
        <w:spacing w:before="252" w:line="272" w:lineRule="auto"/>
        <w:rPr/>
      </w:pPr>
      <w:r>
        <w:rPr>
          <w:spacing w:val="-3"/>
        </w:rPr>
        <w:t>·</w:t>
      </w:r>
      <w:r>
        <w:rPr>
          <w:spacing w:val="-92"/>
        </w:rPr>
        <w:t xml:space="preserve"> </w:t>
      </w:r>
      <w:r>
        <w:rPr>
          <w:spacing w:val="-3"/>
        </w:rPr>
        <w:t>中性粒细胞</w:t>
      </w:r>
      <w:r>
        <w:rPr>
          <w:spacing w:val="40"/>
        </w:rPr>
        <w:t xml:space="preserve">  </w:t>
      </w:r>
      <w:r>
        <w:rPr>
          <w:spacing w:val="-3"/>
        </w:rPr>
        <w:t>内皮细胞/周细胞：急性期，</w:t>
      </w:r>
      <w:r>
        <w:rPr>
          <w:rFonts w:ascii="Times New Roman" w:hAnsi="Times New Roman" w:eastAsia="Times New Roman" w:cs="Times New Roman"/>
          <w:spacing w:val="-3"/>
        </w:rPr>
        <w:t>NETs</w:t>
      </w:r>
      <w:r>
        <w:rPr>
          <w:spacing w:val="-3"/>
        </w:rPr>
        <w:t>促进内皮黏附分</w:t>
      </w:r>
      <w:r>
        <w:rPr>
          <w:spacing w:val="-4"/>
        </w:rPr>
        <w:t>子表达和微血栓；破坏紧密</w:t>
      </w:r>
      <w:r>
        <w:rPr>
          <w:spacing w:val="1"/>
        </w:rPr>
        <w:t xml:space="preserve"> </w:t>
      </w:r>
      <w:r>
        <w:rPr>
          <w:spacing w:val="-1"/>
        </w:rPr>
        <w:t>连接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(ZO-1↓), </w:t>
      </w:r>
      <w:r>
        <w:rPr>
          <w:spacing w:val="-1"/>
        </w:rPr>
        <w:t>加剧</w:t>
      </w:r>
      <w:r>
        <w:rPr>
          <w:rFonts w:ascii="SimSun" w:hAnsi="SimSun" w:eastAsia="SimSun" w:cs="SimSun"/>
          <w:spacing w:val="-1"/>
        </w:rPr>
        <w:t>BBB </w:t>
      </w:r>
      <w:r>
        <w:rPr>
          <w:spacing w:val="-1"/>
        </w:rPr>
        <w:t>漏出；慢性期，部</w:t>
      </w:r>
      <w:r>
        <w:rPr>
          <w:spacing w:val="-2"/>
        </w:rPr>
        <w:t>分</w:t>
      </w:r>
      <w:r>
        <w:rPr>
          <w:rFonts w:ascii="SimSun" w:hAnsi="SimSun" w:eastAsia="SimSun" w:cs="SimSun"/>
          <w:spacing w:val="-2"/>
        </w:rPr>
        <w:t>NETs </w:t>
      </w:r>
      <w:r>
        <w:rPr>
          <w:spacing w:val="-2"/>
        </w:rPr>
        <w:t>残留抑制血管新生。</w:t>
      </w:r>
    </w:p>
    <w:p>
      <w:pPr>
        <w:pStyle w:val="BodyText"/>
        <w:spacing w:before="309" w:line="221" w:lineRule="auto"/>
        <w:rPr/>
      </w:pPr>
      <w:r>
        <w:rPr>
          <w:b/>
          <w:bCs/>
        </w:rPr>
        <w:t>表2中性粒细胞亚群-互作细胞-关键通路-结局预测简表</w:t>
      </w:r>
    </w:p>
    <w:p>
      <w:pPr>
        <w:spacing w:line="44" w:lineRule="exact"/>
        <w:rPr/>
      </w:pPr>
      <w:r/>
    </w:p>
    <w:tbl>
      <w:tblPr>
        <w:tblStyle w:val="TableNormal"/>
        <w:tblW w:w="10229" w:type="dxa"/>
        <w:tblInd w:w="1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78"/>
        <w:gridCol w:w="1534"/>
        <w:gridCol w:w="1242"/>
        <w:gridCol w:w="2132"/>
        <w:gridCol w:w="292"/>
        <w:gridCol w:w="1849"/>
        <w:gridCol w:w="1702"/>
      </w:tblGrid>
      <w:tr>
        <w:trPr>
          <w:trHeight w:val="1930" w:hRule="atLeast"/>
        </w:trPr>
        <w:tc>
          <w:tcPr>
            <w:tcW w:w="1478" w:type="dxa"/>
            <w:vAlign w:val="top"/>
            <w:tcBorders>
              <w:right w:val="nil"/>
            </w:tcBorders>
          </w:tcPr>
          <w:p>
            <w:pPr>
              <w:pStyle w:val="TableText"/>
              <w:ind w:left="148" w:right="212"/>
              <w:spacing w:before="280" w:line="245" w:lineRule="auto"/>
              <w:rPr/>
            </w:pPr>
            <w:r>
              <w:rPr>
                <w:b/>
                <w:bCs/>
              </w:rPr>
              <w:t>中性粒细胞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亚群</w:t>
            </w:r>
          </w:p>
          <w:p>
            <w:pPr>
              <w:pStyle w:val="TableText"/>
              <w:ind w:left="144"/>
              <w:spacing w:before="239" w:line="219" w:lineRule="auto"/>
              <w:rPr/>
            </w:pPr>
            <w:r>
              <w:rPr>
                <w:spacing w:val="-1"/>
              </w:rPr>
              <w:t>N1样/NET-</w:t>
            </w:r>
          </w:p>
          <w:p>
            <w:pPr>
              <w:pStyle w:val="TableText"/>
              <w:ind w:left="148"/>
              <w:spacing w:before="38" w:line="214" w:lineRule="auto"/>
              <w:rPr/>
            </w:pPr>
            <w:r>
              <w:rPr>
                <w:b/>
                <w:bCs/>
                <w:spacing w:val="-4"/>
              </w:rPr>
              <w:t>forming</w:t>
            </w:r>
          </w:p>
        </w:tc>
        <w:tc>
          <w:tcPr>
            <w:tcW w:w="15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5" w:right="211"/>
              <w:spacing w:before="281" w:line="246" w:lineRule="auto"/>
              <w:rPr/>
            </w:pPr>
            <w:r>
              <w:rPr>
                <w:b/>
                <w:bCs/>
                <w:spacing w:val="1"/>
              </w:rPr>
              <w:t>主要互作细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胞</w:t>
            </w:r>
          </w:p>
          <w:p>
            <w:pPr>
              <w:pStyle w:val="TableText"/>
              <w:ind w:left="211"/>
              <w:spacing w:before="236" w:line="219" w:lineRule="auto"/>
              <w:rPr/>
            </w:pPr>
            <w:r>
              <w:rPr>
                <w:spacing w:val="2"/>
              </w:rPr>
              <w:t>小胶质、星</w:t>
            </w:r>
          </w:p>
          <w:p>
            <w:pPr>
              <w:pStyle w:val="TableText"/>
              <w:ind w:left="211" w:right="191"/>
              <w:spacing w:before="28" w:line="221" w:lineRule="auto"/>
              <w:rPr/>
            </w:pPr>
            <w:r>
              <w:rPr>
                <w:spacing w:val="6"/>
              </w:rPr>
              <w:t>形胶质、内</w:t>
            </w:r>
            <w:r>
              <w:rPr/>
              <w:t xml:space="preserve"> </w:t>
            </w:r>
            <w:r>
              <w:rPr/>
              <w:t>皮</w:t>
            </w:r>
          </w:p>
        </w:tc>
        <w:tc>
          <w:tcPr>
            <w:tcW w:w="12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1" w:right="150"/>
              <w:spacing w:before="281" w:line="246" w:lineRule="auto"/>
              <w:rPr/>
            </w:pPr>
            <w:r>
              <w:rPr>
                <w:b/>
                <w:bCs/>
                <w:spacing w:val="2"/>
              </w:rPr>
              <w:t>相互作用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6"/>
              </w:rPr>
              <w:t>性质</w:t>
            </w:r>
          </w:p>
          <w:p>
            <w:pPr>
              <w:pStyle w:val="TableText"/>
              <w:ind w:left="188" w:right="269"/>
              <w:spacing w:before="236" w:line="247" w:lineRule="auto"/>
              <w:rPr/>
            </w:pPr>
            <w:r>
              <w:rPr>
                <w:spacing w:val="-3"/>
              </w:rPr>
              <w:t>促炎/破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坏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主</w:t>
            </w:r>
            <w:r>
              <w:rPr>
                <w:spacing w:val="-29"/>
              </w:rPr>
              <w:t xml:space="preserve"> </w:t>
            </w:r>
            <w:r>
              <w:rPr>
                <w:spacing w:val="-12"/>
              </w:rPr>
              <w:t>导</w:t>
            </w:r>
          </w:p>
        </w:tc>
        <w:tc>
          <w:tcPr>
            <w:tcW w:w="2132" w:type="dxa"/>
            <w:vAlign w:val="top"/>
            <w:tcBorders>
              <w:left w:val="nil"/>
              <w:right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/>
              <w:spacing w:before="72" w:line="219" w:lineRule="auto"/>
              <w:rPr/>
            </w:pPr>
            <w:r>
              <w:rPr>
                <w:b/>
                <w:bCs/>
                <w:spacing w:val="-4"/>
              </w:rPr>
              <w:t>关键信号/通路</w:t>
            </w:r>
          </w:p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71" w:line="224" w:lineRule="auto"/>
              <w:rPr/>
            </w:pPr>
            <w:r>
              <w:rPr>
                <w:spacing w:val="-2"/>
              </w:rPr>
              <w:t>TLR4/NF-KB、</w:t>
            </w:r>
          </w:p>
          <w:p>
            <w:pPr>
              <w:pStyle w:val="TableText"/>
              <w:ind w:left="155"/>
              <w:spacing w:before="23" w:line="224" w:lineRule="auto"/>
              <w:rPr/>
            </w:pPr>
            <w:r>
              <w:rPr>
                <w:spacing w:val="-1"/>
              </w:rPr>
              <w:t>PAD4/NETs、ROS</w:t>
            </w:r>
          </w:p>
        </w:tc>
        <w:tc>
          <w:tcPr>
            <w:tcW w:w="2141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7"/>
              <w:spacing w:before="71" w:line="220" w:lineRule="auto"/>
              <w:rPr/>
            </w:pPr>
            <w:r>
              <w:rPr>
                <w:b/>
                <w:bCs/>
                <w:spacing w:val="-1"/>
              </w:rPr>
              <w:t>短期结局预测</w:t>
            </w:r>
          </w:p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4" w:right="137"/>
              <w:spacing w:before="71" w:line="226" w:lineRule="auto"/>
              <w:jc w:val="both"/>
              <w:rPr/>
            </w:pPr>
            <w:r>
              <w:rPr>
                <w:spacing w:val="2"/>
              </w:rPr>
              <w:t>个梗死体积、严</w:t>
            </w:r>
            <w:r>
              <w:rPr>
                <w:spacing w:val="4"/>
              </w:rPr>
              <w:t xml:space="preserve"> </w:t>
            </w:r>
            <w:r>
              <w:rPr>
                <w:spacing w:val="25"/>
              </w:rPr>
              <w:t>重水肿、</w:t>
            </w:r>
            <w:r>
              <w:rPr/>
              <w:t>BBB</w:t>
            </w:r>
            <w:r>
              <w:rPr>
                <w:spacing w:val="25"/>
              </w:rPr>
              <w:t>破</w:t>
            </w:r>
            <w:r>
              <w:rPr>
                <w:spacing w:val="3"/>
              </w:rPr>
              <w:t xml:space="preserve"> </w:t>
            </w:r>
            <w:r>
              <w:rPr/>
              <w:t>坏</w:t>
            </w:r>
          </w:p>
        </w:tc>
        <w:tc>
          <w:tcPr>
            <w:tcW w:w="1702" w:type="dxa"/>
            <w:vAlign w:val="top"/>
            <w:tcBorders>
              <w:left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71" w:line="220" w:lineRule="auto"/>
              <w:rPr/>
            </w:pPr>
            <w:r>
              <w:rPr>
                <w:b/>
                <w:bCs/>
                <w:spacing w:val="-1"/>
              </w:rPr>
              <w:t>长期结局预测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 w:right="232"/>
              <w:spacing w:before="71" w:line="237" w:lineRule="auto"/>
              <w:rPr/>
            </w:pPr>
            <w:r>
              <w:rPr>
                <w:spacing w:val="2"/>
              </w:rPr>
              <w:t>慢性神经炎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症、认知障碍</w:t>
            </w:r>
          </w:p>
        </w:tc>
      </w:tr>
      <w:tr>
        <w:trPr>
          <w:trHeight w:val="1078" w:hRule="atLeast"/>
        </w:trPr>
        <w:tc>
          <w:tcPr>
            <w:tcW w:w="1478" w:type="dxa"/>
            <w:vAlign w:val="top"/>
            <w:tcBorders>
              <w:right w:val="nil"/>
            </w:tcBorders>
          </w:tcPr>
          <w:p>
            <w:pPr>
              <w:pStyle w:val="TableText"/>
              <w:ind w:left="124" w:right="327"/>
              <w:spacing w:before="284"/>
              <w:rPr/>
            </w:pPr>
            <w:r>
              <w:rPr>
                <w:spacing w:val="5"/>
              </w:rPr>
              <w:t>N2样/修复</w:t>
            </w:r>
            <w:r>
              <w:rPr/>
              <w:t xml:space="preserve"> </w:t>
            </w:r>
            <w:r>
              <w:rPr/>
              <w:t>型</w:t>
            </w:r>
          </w:p>
        </w:tc>
        <w:tc>
          <w:tcPr>
            <w:tcW w:w="15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1" w:right="209"/>
              <w:spacing w:before="293" w:line="237" w:lineRule="auto"/>
              <w:rPr/>
            </w:pPr>
            <w:r>
              <w:rPr>
                <w:spacing w:val="2"/>
              </w:rPr>
              <w:t>小胶质、星 </w:t>
            </w:r>
            <w:r>
              <w:rPr>
                <w:spacing w:val="8"/>
              </w:rPr>
              <w:t>形胶质</w:t>
            </w:r>
          </w:p>
        </w:tc>
        <w:tc>
          <w:tcPr>
            <w:tcW w:w="12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8" w:right="275"/>
              <w:spacing w:before="282" w:line="245" w:lineRule="auto"/>
              <w:rPr/>
            </w:pPr>
            <w:r>
              <w:rPr>
                <w:spacing w:val="-3"/>
              </w:rPr>
              <w:t>抗炎/修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复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促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进</w:t>
            </w:r>
          </w:p>
        </w:tc>
        <w:tc>
          <w:tcPr>
            <w:tcW w:w="213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5" w:right="1"/>
              <w:spacing w:before="288" w:line="287" w:lineRule="auto"/>
              <w:rPr/>
            </w:pPr>
            <w:r>
              <w:rPr>
                <w:spacing w:val="-1"/>
              </w:rPr>
              <w:t>TGF-β、PPARy、IL-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10</w:t>
            </w:r>
          </w:p>
        </w:tc>
        <w:tc>
          <w:tcPr>
            <w:tcW w:w="2141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434" w:right="155"/>
              <w:spacing w:before="283" w:line="246" w:lineRule="auto"/>
              <w:rPr/>
            </w:pPr>
            <w:r>
              <w:rPr>
                <w:spacing w:val="1"/>
              </w:rPr>
              <w:t>↓水肿、促进清</w:t>
            </w:r>
            <w:r>
              <w:rPr>
                <w:spacing w:val="3"/>
              </w:rPr>
              <w:t xml:space="preserve"> </w:t>
            </w:r>
            <w:r>
              <w:rPr/>
              <w:t>除</w:t>
            </w:r>
          </w:p>
        </w:tc>
        <w:tc>
          <w:tcPr>
            <w:tcW w:w="1702" w:type="dxa"/>
            <w:vAlign w:val="top"/>
            <w:tcBorders>
              <w:left w:val="nil"/>
            </w:tcBorders>
          </w:tcPr>
          <w:p>
            <w:pPr>
              <w:pStyle w:val="TableText"/>
              <w:ind w:left="142" w:right="205"/>
              <w:spacing w:before="292" w:line="217" w:lineRule="auto"/>
              <w:jc w:val="both"/>
              <w:rPr/>
            </w:pPr>
            <w:r>
              <w:rPr>
                <w:spacing w:val="3"/>
              </w:rPr>
              <w:t>更好神经功能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恢复、瘢痕调</w:t>
            </w:r>
            <w:r>
              <w:rPr>
                <w:spacing w:val="3"/>
              </w:rPr>
              <w:t xml:space="preserve"> </w:t>
            </w:r>
            <w:r>
              <w:rPr/>
              <w:t>控</w:t>
            </w:r>
          </w:p>
        </w:tc>
      </w:tr>
      <w:tr>
        <w:trPr>
          <w:trHeight w:val="1132" w:hRule="atLeast"/>
        </w:trPr>
        <w:tc>
          <w:tcPr>
            <w:tcW w:w="1478" w:type="dxa"/>
            <w:vAlign w:val="top"/>
            <w:tcBorders>
              <w:right w:val="nil"/>
            </w:tcBorders>
          </w:tcPr>
          <w:p>
            <w:pPr>
              <w:pStyle w:val="TableText"/>
              <w:ind w:left="135" w:right="349"/>
              <w:spacing w:before="299" w:line="251" w:lineRule="auto"/>
              <w:rPr/>
            </w:pPr>
            <w:r>
              <w:rPr>
                <w:spacing w:val="-1"/>
              </w:rPr>
              <w:t>Aged/衰竭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亚群</w:t>
            </w:r>
          </w:p>
        </w:tc>
        <w:tc>
          <w:tcPr>
            <w:tcW w:w="1534" w:type="dxa"/>
            <w:vAlign w:val="top"/>
            <w:tcBorders>
              <w:left w:val="nil"/>
              <w:right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208"/>
              <w:spacing w:before="72" w:line="246" w:lineRule="auto"/>
              <w:rPr/>
            </w:pPr>
            <w:r>
              <w:rPr>
                <w:spacing w:val="4"/>
              </w:rPr>
              <w:t>内皮、周细</w:t>
            </w:r>
            <w:r>
              <w:rPr>
                <w:spacing w:val="2"/>
              </w:rPr>
              <w:t xml:space="preserve"> </w:t>
            </w:r>
            <w:r>
              <w:rPr/>
              <w:t>胞</w:t>
            </w:r>
          </w:p>
        </w:tc>
        <w:tc>
          <w:tcPr>
            <w:tcW w:w="1242" w:type="dxa"/>
            <w:vAlign w:val="top"/>
            <w:tcBorders>
              <w:left w:val="nil"/>
              <w:right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 w:right="255"/>
              <w:spacing w:before="72" w:line="223" w:lineRule="auto"/>
              <w:jc w:val="both"/>
              <w:rPr/>
            </w:pPr>
            <w:r>
              <w:rPr>
                <w:spacing w:val="-11"/>
              </w:rPr>
              <w:t>慢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性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促</w:t>
            </w:r>
            <w:r>
              <w:rPr/>
              <w:t xml:space="preserve"> </w:t>
            </w:r>
            <w:r>
              <w:rPr>
                <w:spacing w:val="9"/>
              </w:rPr>
              <w:t>炎/抑制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修复</w:t>
            </w:r>
          </w:p>
        </w:tc>
        <w:tc>
          <w:tcPr>
            <w:tcW w:w="2424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 w:right="147"/>
              <w:spacing w:before="71" w:line="236" w:lineRule="auto"/>
              <w:rPr/>
            </w:pPr>
            <w:r>
              <w:rPr/>
              <w:t>CXCR</w:t>
            </w:r>
            <w:r>
              <w:rPr>
                <w:spacing w:val="3"/>
              </w:rPr>
              <w:t>4个、持续低水平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ROS/NETs</w:t>
            </w:r>
          </w:p>
        </w:tc>
        <w:tc>
          <w:tcPr>
            <w:tcW w:w="1849" w:type="dxa"/>
            <w:vAlign w:val="top"/>
            <w:tcBorders>
              <w:left w:val="nil"/>
              <w:right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71" w:line="219" w:lineRule="auto"/>
              <w:rPr/>
            </w:pPr>
            <w:r>
              <w:rPr>
                <w:spacing w:val="6"/>
              </w:rPr>
              <w:t>中等</w:t>
            </w:r>
            <w:r>
              <w:rPr/>
              <w:t>BBB</w:t>
            </w:r>
            <w:r>
              <w:rPr>
                <w:spacing w:val="6"/>
              </w:rPr>
              <w:t>漏出</w:t>
            </w:r>
          </w:p>
        </w:tc>
        <w:tc>
          <w:tcPr>
            <w:tcW w:w="1702" w:type="dxa"/>
            <w:vAlign w:val="top"/>
            <w:tcBorders>
              <w:left w:val="nil"/>
            </w:tcBorders>
          </w:tcPr>
          <w:p>
            <w:pPr>
              <w:pStyle w:val="TableText"/>
              <w:ind w:left="142"/>
              <w:spacing w:before="306" w:line="219" w:lineRule="auto"/>
              <w:rPr/>
            </w:pPr>
            <w:r>
              <w:rPr>
                <w:spacing w:val="1"/>
              </w:rPr>
              <w:t>继发神经退</w:t>
            </w:r>
          </w:p>
          <w:p>
            <w:pPr>
              <w:pStyle w:val="TableText"/>
              <w:ind w:left="142" w:right="223"/>
              <w:spacing w:before="37" w:line="217" w:lineRule="auto"/>
              <w:rPr/>
            </w:pPr>
            <w:r>
              <w:rPr>
                <w:spacing w:val="1"/>
              </w:rPr>
              <w:t>行、血管重塑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障碍</w:t>
            </w:r>
          </w:p>
        </w:tc>
      </w:tr>
    </w:tbl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b/>
          <w:bCs/>
          <w:spacing w:val="3"/>
        </w:rPr>
        <w:t>(二)与临床结局的关联分析</w:t>
      </w:r>
    </w:p>
    <w:p>
      <w:pPr>
        <w:pStyle w:val="BodyText"/>
        <w:ind w:left="496" w:right="105" w:hanging="130"/>
        <w:spacing w:before="220" w:line="285" w:lineRule="auto"/>
        <w:rPr/>
      </w:pPr>
      <w:r>
        <w:rPr/>
        <w:t>·短期结局</w:t>
      </w:r>
      <w:r>
        <w:rPr/>
        <w:t xml:space="preserve"> </w:t>
      </w:r>
      <w:r>
        <w:rPr/>
        <w:t>(梗死体积、脑水肿、</w:t>
      </w:r>
      <w:r>
        <w:rPr>
          <w:rFonts w:ascii="SimSun" w:hAnsi="SimSun" w:eastAsia="SimSun" w:cs="SimSun"/>
        </w:rPr>
        <w:t>BBB </w:t>
      </w:r>
      <w:r>
        <w:rPr/>
        <w:t>破坏):</w:t>
      </w:r>
      <w:r>
        <w:rPr>
          <w:spacing w:val="-42"/>
        </w:rPr>
        <w:t xml:space="preserve"> </w:t>
      </w:r>
      <w:r>
        <w:rPr>
          <w:rFonts w:ascii="SimSun" w:hAnsi="SimSun" w:eastAsia="SimSun" w:cs="SimSun"/>
        </w:rPr>
        <w:t>NET-form</w:t>
      </w:r>
      <w:r>
        <w:rPr>
          <w:rFonts w:ascii="SimSun" w:hAnsi="SimSun" w:eastAsia="SimSun" w:cs="SimSun"/>
          <w:spacing w:val="-1"/>
        </w:rPr>
        <w:t>ing/N1 </w:t>
      </w:r>
      <w:r>
        <w:rPr>
          <w:spacing w:val="-1"/>
        </w:rPr>
        <w:t>样主导的相互作用网络显著放</w:t>
      </w:r>
      <w:r>
        <w:rPr/>
        <w:t xml:space="preserve"> </w:t>
      </w:r>
      <w:r>
        <w:rPr/>
        <w:t>大损伤，临床上循环</w:t>
      </w:r>
      <w:r>
        <w:rPr>
          <w:rFonts w:ascii="SimSun" w:hAnsi="SimSun" w:eastAsia="SimSun" w:cs="SimSun"/>
        </w:rPr>
        <w:t>NET </w:t>
      </w:r>
      <w:r>
        <w:rPr/>
        <w:t>标志物</w:t>
      </w:r>
      <w:r>
        <w:rPr/>
        <w:t xml:space="preserve"> </w:t>
      </w:r>
      <w:r>
        <w:rPr>
          <w:rFonts w:ascii="SimSun" w:hAnsi="SimSun" w:eastAsia="SimSun" w:cs="SimSun"/>
        </w:rPr>
        <w:t>(citH3、MPO-DNA)    </w:t>
      </w:r>
      <w:r>
        <w:rPr/>
        <w:t>与24-72</w:t>
      </w:r>
      <w:r>
        <w:rPr>
          <w:spacing w:val="56"/>
        </w:rPr>
        <w:t xml:space="preserve"> </w:t>
      </w:r>
      <w:r>
        <w:rPr>
          <w:rFonts w:ascii="SimSun" w:hAnsi="SimSun" w:eastAsia="SimSun" w:cs="SimSun"/>
        </w:rPr>
        <w:t>h  NIHSS</w:t>
      </w:r>
      <w:r>
        <w:rPr/>
        <w:t>评分、梗死体积</w:t>
      </w:r>
      <w:r>
        <w:rPr/>
        <w:t xml:space="preserve">  </w:t>
      </w:r>
      <w:r>
        <w:rPr>
          <w:spacing w:val="-4"/>
        </w:rPr>
        <w:t>正相关；</w:t>
      </w:r>
      <w:r>
        <w:rPr>
          <w:rFonts w:ascii="Arial" w:hAnsi="Arial" w:eastAsia="Arial" w:cs="Arial"/>
          <w:spacing w:val="-4"/>
        </w:rPr>
        <w:t>DNase</w:t>
      </w:r>
      <w:r>
        <w:rPr>
          <w:rFonts w:ascii="Arial" w:hAnsi="Arial" w:eastAsia="Arial" w:cs="Arial"/>
          <w:spacing w:val="63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I</w:t>
      </w:r>
      <w:r>
        <w:rPr>
          <w:spacing w:val="-4"/>
        </w:rPr>
        <w:t>降解</w:t>
      </w:r>
      <w:r>
        <w:rPr>
          <w:rFonts w:ascii="Arial" w:hAnsi="Arial" w:eastAsia="Arial" w:cs="Arial"/>
          <w:spacing w:val="-4"/>
        </w:rPr>
        <w:t>NETs</w:t>
      </w:r>
      <w:r>
        <w:rPr>
          <w:spacing w:val="-4"/>
        </w:rPr>
        <w:t>或</w:t>
      </w:r>
      <w:r>
        <w:rPr>
          <w:rFonts w:ascii="Arial" w:hAnsi="Arial" w:eastAsia="Arial" w:cs="Arial"/>
          <w:spacing w:val="-4"/>
        </w:rPr>
        <w:t>PAD4</w:t>
      </w:r>
      <w:r>
        <w:rPr>
          <w:spacing w:val="-4"/>
        </w:rPr>
        <w:t>抑制可缩小梗死。</w:t>
      </w:r>
    </w:p>
    <w:p>
      <w:pPr>
        <w:pStyle w:val="BodyText"/>
        <w:ind w:left="496" w:right="36" w:hanging="130"/>
        <w:spacing w:before="262" w:line="293" w:lineRule="auto"/>
        <w:rPr/>
      </w:pPr>
      <w:r>
        <w:rPr>
          <w:spacing w:val="-2"/>
        </w:rPr>
        <w:t>·长期结局</w:t>
      </w:r>
      <w:r>
        <w:rPr>
          <w:spacing w:val="-2"/>
        </w:rPr>
        <w:t xml:space="preserve"> </w:t>
      </w:r>
      <w:r>
        <w:rPr>
          <w:spacing w:val="-2"/>
        </w:rPr>
        <w:t>(神经功能恢复、认知障碍、继发性神经退行、慢性神经炎症):</w:t>
      </w:r>
      <w:r>
        <w:rPr>
          <w:spacing w:val="-42"/>
        </w:rPr>
        <w:t xml:space="preserve"> </w:t>
      </w:r>
      <w:r>
        <w:rPr>
          <w:rFonts w:ascii="SimSun" w:hAnsi="SimSun" w:eastAsia="SimSun" w:cs="SimSun"/>
          <w:spacing w:val="-2"/>
        </w:rPr>
        <w:t>N2 </w:t>
      </w:r>
      <w:r>
        <w:rPr>
          <w:spacing w:val="-2"/>
        </w:rPr>
        <w:t>样极化与有效</w:t>
      </w:r>
      <w:r>
        <w:rPr/>
        <w:t xml:space="preserve">  </w:t>
      </w:r>
      <w:r>
        <w:rPr>
          <w:rFonts w:ascii="Arial" w:hAnsi="Arial" w:eastAsia="Arial" w:cs="Arial"/>
        </w:rPr>
        <w:t>efferocytosis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"/>
        </w:rPr>
        <w:t>促进恢复，改善</w:t>
      </w:r>
      <w:r>
        <w:rPr>
          <w:rFonts w:ascii="Arial" w:hAnsi="Arial" w:eastAsia="Arial" w:cs="Arial"/>
        </w:rPr>
        <w:t>mRS</w:t>
      </w:r>
      <w:r>
        <w:rPr>
          <w:spacing w:val="1"/>
        </w:rPr>
        <w:t>评分；持续</w:t>
      </w:r>
      <w:r>
        <w:rPr>
          <w:rFonts w:ascii="Arial" w:hAnsi="Arial" w:eastAsia="Arial" w:cs="Arial"/>
        </w:rPr>
        <w:t>NETs</w:t>
      </w:r>
      <w:r>
        <w:rPr>
          <w:rFonts w:ascii="Arial" w:hAnsi="Arial" w:eastAsia="Arial" w:cs="Arial"/>
          <w:spacing w:val="1"/>
        </w:rPr>
        <w:t>/</w:t>
      </w:r>
      <w:r>
        <w:rPr>
          <w:rFonts w:ascii="Arial" w:hAnsi="Arial" w:eastAsia="Arial" w:cs="Arial"/>
        </w:rPr>
        <w:t>aged</w:t>
      </w:r>
      <w:r>
        <w:rPr>
          <w:spacing w:val="1"/>
        </w:rPr>
        <w:t>亚群导致慢性炎症微</w:t>
      </w:r>
      <w:r>
        <w:rPr/>
        <w:t>环境，促进</w:t>
      </w:r>
      <w:r>
        <w:rPr/>
        <w:t xml:space="preserve">   </w:t>
      </w:r>
      <w:r>
        <w:rPr>
          <w:rFonts w:ascii="SimSun" w:hAnsi="SimSun" w:eastAsia="SimSun" w:cs="SimSun"/>
        </w:rPr>
        <w:t>tau</w:t>
      </w:r>
      <w:r>
        <w:rPr/>
        <w:t>磷酸化、</w:t>
      </w:r>
      <w:r>
        <w:rPr>
          <w:rFonts w:ascii="SimSun" w:hAnsi="SimSun" w:eastAsia="SimSun" w:cs="SimSun"/>
        </w:rPr>
        <w:t>Aβ</w:t>
      </w:r>
      <w:r>
        <w:rPr/>
        <w:t>沉积样病理，增加血管性痴呆风险；老年患者</w:t>
      </w:r>
      <w:r>
        <w:rPr>
          <w:rFonts w:ascii="SimSun" w:hAnsi="SimSun" w:eastAsia="SimSun" w:cs="SimSun"/>
        </w:rPr>
        <w:t>aged </w:t>
      </w:r>
      <w:r>
        <w:rPr/>
        <w:t>中性粒细胞比例高，</w:t>
      </w:r>
      <w:r>
        <w:rPr>
          <w:spacing w:val="-1"/>
        </w:rPr>
        <w:t>与3-</w:t>
      </w:r>
      <w:r>
        <w:rPr/>
        <w:t xml:space="preserve"> </w:t>
      </w:r>
      <w:r>
        <w:rPr>
          <w:spacing w:val="2"/>
        </w:rPr>
        <w:t>6月认知下降相关。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三、未来研究方向分析</w:t>
      </w:r>
    </w:p>
    <w:p>
      <w:pPr>
        <w:spacing w:line="221" w:lineRule="auto"/>
        <w:sectPr>
          <w:pgSz w:w="12240" w:h="15840"/>
          <w:pgMar w:top="1238" w:right="1005" w:bottom="0" w:left="983" w:header="0" w:footer="0" w:gutter="0"/>
        </w:sectPr>
        <w:rPr>
          <w:sz w:val="30"/>
          <w:szCs w:val="30"/>
        </w:rPr>
      </w:pPr>
    </w:p>
    <w:p>
      <w:pPr>
        <w:pStyle w:val="BodyText"/>
        <w:spacing w:before="48" w:line="221" w:lineRule="auto"/>
        <w:rPr/>
      </w:pPr>
      <w:r>
        <w:rPr>
          <w:spacing w:val="9"/>
        </w:rPr>
        <w:t>当前局限性包括：1)人类脑组织中性粒细胞异质</w:t>
      </w:r>
      <w:r>
        <w:rPr>
          <w:spacing w:val="8"/>
        </w:rPr>
        <w:t>性数据不足(多依赖外周血或动物模型);2)</w:t>
      </w:r>
    </w:p>
    <w:p>
      <w:pPr>
        <w:pStyle w:val="BodyText"/>
        <w:spacing w:before="132" w:line="213" w:lineRule="auto"/>
        <w:rPr/>
      </w:pPr>
      <w:r>
        <w:rPr>
          <w:spacing w:val="10"/>
        </w:rPr>
        <w:t>急-慢性期动态转换的时空分辨率低；3)</w:t>
      </w:r>
      <w:r>
        <w:rPr>
          <w:spacing w:val="-47"/>
        </w:rPr>
        <w:t xml:space="preserve"> </w:t>
      </w:r>
      <w:r>
        <w:rPr>
          <w:rFonts w:ascii="SimSun" w:hAnsi="SimSun" w:eastAsia="SimSun" w:cs="SimSun"/>
        </w:rPr>
        <w:t>NETs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10"/>
        </w:rPr>
        <w:t>双重作用(生理清除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10"/>
        </w:rPr>
        <w:t>.</w:t>
      </w:r>
      <w:r>
        <w:rPr>
          <w:spacing w:val="10"/>
        </w:rPr>
        <w:t>病理放大)机</w:t>
      </w:r>
      <w:r>
        <w:rPr>
          <w:spacing w:val="9"/>
        </w:rPr>
        <w:t>制未充分解</w:t>
      </w:r>
    </w:p>
    <w:p>
      <w:pPr>
        <w:pStyle w:val="BodyText"/>
        <w:ind w:right="1747"/>
        <w:spacing w:before="153" w:line="333" w:lineRule="auto"/>
        <w:rPr/>
      </w:pPr>
      <w:r>
        <w:rPr>
          <w:spacing w:val="10"/>
        </w:rPr>
        <w:t>析；4)缺乏特异性靶向</w:t>
      </w:r>
      <w:r>
        <w:rPr>
          <w:rFonts w:ascii="SimSun" w:hAnsi="SimSun" w:eastAsia="SimSun" w:cs="SimSun"/>
          <w:spacing w:val="10"/>
        </w:rPr>
        <w:t>N1/</w:t>
      </w:r>
      <w:r>
        <w:rPr>
          <w:rFonts w:ascii="SimSun" w:hAnsi="SimSun" w:eastAsia="SimSun" w:cs="SimSun"/>
        </w:rPr>
        <w:t>NET</w:t>
      </w:r>
      <w:r>
        <w:rPr>
          <w:rFonts w:ascii="SimSun" w:hAnsi="SimSun" w:eastAsia="SimSun" w:cs="SimSun"/>
          <w:spacing w:val="10"/>
        </w:rPr>
        <w:t>-</w:t>
      </w:r>
      <w:r>
        <w:rPr>
          <w:rFonts w:ascii="SimSun" w:hAnsi="SimSun" w:eastAsia="SimSun" w:cs="SimSun"/>
        </w:rPr>
        <w:t>forming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10"/>
        </w:rPr>
        <w:t>而不影响</w:t>
      </w:r>
      <w:r>
        <w:rPr>
          <w:rFonts w:ascii="SimSun" w:hAnsi="SimSun" w:eastAsia="SimSun" w:cs="SimSun"/>
          <w:spacing w:val="10"/>
        </w:rPr>
        <w:t>N2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10"/>
        </w:rPr>
        <w:t>的</w:t>
      </w:r>
      <w:r>
        <w:rPr>
          <w:spacing w:val="9"/>
        </w:rPr>
        <w:t>干预策略；5)老年人群</w:t>
      </w:r>
      <w:r>
        <w:rPr/>
        <w:t xml:space="preserve"> </w:t>
      </w:r>
      <w:r>
        <w:rPr>
          <w:spacing w:val="-7"/>
        </w:rPr>
        <w:t>中</w:t>
      </w:r>
      <w:r>
        <w:rPr>
          <w:rFonts w:ascii="SimSun" w:hAnsi="SimSun" w:eastAsia="SimSun" w:cs="SimSun"/>
          <w:spacing w:val="-7"/>
        </w:rPr>
        <w:t>“inflammaging”</w:t>
      </w:r>
      <w:r>
        <w:rPr>
          <w:spacing w:val="-7"/>
        </w:rPr>
        <w:t>背景下中性粒细胞功能变化研究匮乏。</w:t>
      </w:r>
    </w:p>
    <w:p>
      <w:pPr>
        <w:pStyle w:val="BodyText"/>
        <w:spacing w:before="73" w:line="213" w:lineRule="auto"/>
        <w:rPr/>
      </w:pPr>
      <w:r>
        <w:rPr>
          <w:spacing w:val="-1"/>
        </w:rPr>
        <w:t>基于上述缺口，提出以下创新方向：</w:t>
      </w:r>
    </w:p>
    <w:p>
      <w:pPr>
        <w:pStyle w:val="BodyText"/>
        <w:ind w:left="519" w:right="39" w:hanging="146"/>
        <w:spacing w:before="249" w:line="295" w:lineRule="auto"/>
        <w:rPr/>
      </w:pPr>
      <w:r>
        <w:rPr>
          <w:b/>
          <w:bCs/>
          <w:spacing w:val="-1"/>
        </w:rPr>
        <w:t>·</w:t>
      </w:r>
      <w:r>
        <w:rPr>
          <w:spacing w:val="-102"/>
        </w:rPr>
        <w:t xml:space="preserve"> </w:t>
      </w:r>
      <w:r>
        <w:rPr>
          <w:b/>
          <w:bCs/>
          <w:spacing w:val="-1"/>
        </w:rPr>
        <w:t>基础研究：</w:t>
      </w:r>
      <w:r>
        <w:rPr>
          <w:spacing w:val="-1"/>
        </w:rPr>
        <w:t>应用单细胞多组学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(scRNA-seq+ATAC-seq+spatial             </w:t>
      </w:r>
      <w:r>
        <w:rPr>
          <w:rFonts w:ascii="Times New Roman" w:hAnsi="Times New Roman" w:eastAsia="Times New Roman" w:cs="Times New Roman"/>
          <w:spacing w:val="-2"/>
        </w:rPr>
        <w:t xml:space="preserve">     transcriptomics)  </w:t>
      </w:r>
      <w:r>
        <w:rPr>
          <w:spacing w:val="-2"/>
        </w:rPr>
        <w:t>绘制</w:t>
      </w:r>
      <w:r>
        <w:rPr/>
        <w:t xml:space="preserve"> </w:t>
      </w:r>
      <w:r>
        <w:rPr>
          <w:spacing w:val="1"/>
        </w:rPr>
        <w:t>人类卒中后脑内中性粒细胞时空图谱；开发条件性</w:t>
      </w:r>
      <w:r>
        <w:rPr>
          <w:rFonts w:ascii="Arial" w:hAnsi="Arial" w:eastAsia="Arial" w:cs="Arial"/>
        </w:rPr>
        <w:t>Pad</w:t>
      </w:r>
      <w:r>
        <w:rPr>
          <w:rFonts w:ascii="Arial" w:hAnsi="Arial" w:eastAsia="Arial" w:cs="Arial"/>
          <w:spacing w:val="1"/>
        </w:rPr>
        <w:t>4</w:t>
      </w:r>
      <w:r>
        <w:rPr>
          <w:spacing w:val="1"/>
        </w:rPr>
        <w:t>敲除或</w:t>
      </w:r>
      <w:r>
        <w:rPr>
          <w:rFonts w:ascii="Arial" w:hAnsi="Arial" w:eastAsia="Arial" w:cs="Arial"/>
        </w:rPr>
        <w:t>CXCR</w:t>
      </w:r>
      <w:r>
        <w:rPr>
          <w:rFonts w:ascii="Arial" w:hAnsi="Arial" w:eastAsia="Arial" w:cs="Arial"/>
          <w:spacing w:val="1"/>
        </w:rPr>
        <w:t>4</w:t>
      </w:r>
      <w:r>
        <w:rPr>
          <w:spacing w:val="1"/>
        </w:rPr>
        <w:t>中性粒细胞特异性小</w:t>
      </w:r>
      <w:r>
        <w:rPr>
          <w:spacing w:val="8"/>
        </w:rPr>
        <w:t xml:space="preserve"> </w:t>
      </w:r>
      <w:r>
        <w:rPr>
          <w:spacing w:val="-6"/>
        </w:rPr>
        <w:t>鼠，解析</w:t>
      </w:r>
      <w:r>
        <w:rPr>
          <w:rFonts w:ascii="SimSun" w:hAnsi="SimSun" w:eastAsia="SimSun" w:cs="SimSun"/>
          <w:spacing w:val="-6"/>
        </w:rPr>
        <w:t>aged </w:t>
      </w:r>
      <w:r>
        <w:rPr>
          <w:spacing w:val="-6"/>
        </w:rPr>
        <w:t>亚群在慢性期作用。</w:t>
      </w:r>
    </w:p>
    <w:p>
      <w:pPr>
        <w:pStyle w:val="BodyText"/>
        <w:ind w:left="519" w:right="30" w:hanging="146"/>
        <w:spacing w:before="254" w:line="284" w:lineRule="auto"/>
        <w:rPr/>
      </w:pPr>
      <w:r>
        <w:rPr>
          <w:b/>
          <w:bCs/>
          <w:spacing w:val="-3"/>
        </w:rPr>
        <w:t>·新技术应用：</w:t>
      </w:r>
      <w:r>
        <w:rPr>
          <w:spacing w:val="-3"/>
        </w:rPr>
        <w:t>利用</w:t>
      </w:r>
      <w:r>
        <w:rPr>
          <w:rFonts w:ascii="SimSun" w:hAnsi="SimSun" w:eastAsia="SimSun" w:cs="SimSun"/>
          <w:spacing w:val="-3"/>
        </w:rPr>
        <w:t>CRISPR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spacing w:val="-3"/>
        </w:rPr>
        <w:t>筛选鉴定</w:t>
      </w:r>
      <w:r>
        <w:rPr>
          <w:rFonts w:ascii="SimSun" w:hAnsi="SimSun" w:eastAsia="SimSun" w:cs="SimSun"/>
          <w:spacing w:val="-3"/>
        </w:rPr>
        <w:t>N1→N2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-3"/>
        </w:rPr>
        <w:t>转换关键转</w:t>
      </w:r>
      <w:r>
        <w:rPr>
          <w:spacing w:val="-4"/>
        </w:rPr>
        <w:t>录因子；开发活体成像追踪</w:t>
      </w:r>
      <w:r>
        <w:rPr>
          <w:rFonts w:ascii="SimSun" w:hAnsi="SimSun" w:eastAsia="SimSun" w:cs="SimSun"/>
          <w:spacing w:val="-4"/>
        </w:rPr>
        <w:t>NETs </w:t>
      </w:r>
      <w:r>
        <w:rPr>
          <w:spacing w:val="-4"/>
        </w:rPr>
        <w:t>形成</w:t>
      </w:r>
      <w:r>
        <w:rPr/>
        <w:t xml:space="preserve"> </w:t>
      </w:r>
      <w:r>
        <w:rPr>
          <w:spacing w:val="-2"/>
        </w:rPr>
        <w:t>与小胶质</w:t>
      </w:r>
      <w:r>
        <w:rPr>
          <w:rFonts w:ascii="Arial" w:hAnsi="Arial" w:eastAsia="Arial" w:cs="Arial"/>
          <w:spacing w:val="-2"/>
        </w:rPr>
        <w:t>efferocytosis  </w:t>
      </w:r>
      <w:r>
        <w:rPr>
          <w:spacing w:val="-2"/>
        </w:rPr>
        <w:t>动态。</w:t>
      </w:r>
    </w:p>
    <w:p>
      <w:pPr>
        <w:pStyle w:val="BodyText"/>
        <w:ind w:left="519" w:right="66" w:hanging="146"/>
        <w:spacing w:before="205" w:line="274" w:lineRule="auto"/>
        <w:rPr/>
      </w:pPr>
      <w:r>
        <w:rPr>
          <w:b/>
          <w:bCs/>
          <w:spacing w:val="-2"/>
        </w:rPr>
        <w:t>·转化研究：</w:t>
      </w:r>
      <w:r>
        <w:rPr>
          <w:spacing w:val="-2"/>
        </w:rPr>
        <w:t>验证循环</w:t>
      </w:r>
      <w:r>
        <w:rPr>
          <w:rFonts w:ascii="Times New Roman" w:hAnsi="Times New Roman" w:eastAsia="Times New Roman" w:cs="Times New Roman"/>
          <w:spacing w:val="-2"/>
        </w:rPr>
        <w:t>NET</w:t>
      </w:r>
      <w:r>
        <w:rPr>
          <w:spacing w:val="-2"/>
        </w:rPr>
        <w:t>标志物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(citH3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MPO-DNA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Times New Roman" w:hAnsi="Times New Roman" w:eastAsia="Times New Roman" w:cs="Times New Roman"/>
          <w:spacing w:val="-3"/>
        </w:rPr>
        <w:t>cfDNA)      </w:t>
      </w:r>
      <w:r>
        <w:rPr>
          <w:spacing w:val="-3"/>
        </w:rPr>
        <w:t>作为早期严重度/预后生物</w:t>
      </w:r>
      <w:r>
        <w:rPr/>
        <w:t xml:space="preserve"> </w:t>
      </w:r>
      <w:r>
        <w:rPr>
          <w:spacing w:val="1"/>
        </w:rPr>
        <w:t>标志物；筛选</w:t>
      </w:r>
      <w:r>
        <w:rPr>
          <w:rFonts w:ascii="Times New Roman" w:hAnsi="Times New Roman" w:eastAsia="Times New Roman" w:cs="Times New Roman"/>
        </w:rPr>
        <w:t>PAD</w:t>
      </w:r>
      <w:r>
        <w:rPr>
          <w:rFonts w:ascii="Times New Roman" w:hAnsi="Times New Roman" w:eastAsia="Times New Roman" w:cs="Times New Roman"/>
          <w:spacing w:val="1"/>
        </w:rPr>
        <w:t>4</w:t>
      </w:r>
      <w:r>
        <w:rPr>
          <w:spacing w:val="1"/>
        </w:rPr>
        <w:t>抑制剂、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amidine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或</w:t>
      </w:r>
      <w:r>
        <w:rPr>
          <w:rFonts w:ascii="Times New Roman" w:hAnsi="Times New Roman" w:eastAsia="Times New Roman" w:cs="Times New Roman"/>
        </w:rPr>
        <w:t>DNaseI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类似物在老年卒中</w:t>
      </w:r>
      <w:r>
        <w:rPr/>
        <w:t>模型中的疗效。</w:t>
      </w:r>
    </w:p>
    <w:p>
      <w:pPr>
        <w:pStyle w:val="BodyText"/>
        <w:ind w:left="373"/>
        <w:spacing w:before="264" w:line="213" w:lineRule="auto"/>
        <w:rPr>
          <w:rFonts w:ascii="SimSun" w:hAnsi="SimSun" w:eastAsia="SimSun" w:cs="SimSun"/>
        </w:rPr>
      </w:pPr>
      <w:r>
        <w:rPr>
          <w:b/>
          <w:bCs/>
          <w:spacing w:val="-4"/>
        </w:rPr>
        <w:t>·</w:t>
      </w:r>
      <w:r>
        <w:rPr>
          <w:spacing w:val="-95"/>
        </w:rPr>
        <w:t xml:space="preserve"> </w:t>
      </w:r>
      <w:r>
        <w:rPr>
          <w:b/>
          <w:bCs/>
          <w:spacing w:val="-4"/>
        </w:rPr>
        <w:t>临床研究：</w:t>
      </w:r>
      <w:r>
        <w:rPr>
          <w:spacing w:val="-4"/>
        </w:rPr>
        <w:t>开展前瞻性队列研究，整合外周中性粒细胞表型(流式：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CD11b、C</w:t>
      </w:r>
      <w:r>
        <w:rPr>
          <w:rFonts w:ascii="SimSun" w:hAnsi="SimSun" w:eastAsia="SimSun" w:cs="SimSun"/>
          <w:spacing w:val="-5"/>
        </w:rPr>
        <w:t>D62L、</w:t>
      </w:r>
    </w:p>
    <w:p>
      <w:pPr>
        <w:pStyle w:val="BodyText"/>
        <w:ind w:left="689" w:right="31" w:hanging="170"/>
        <w:spacing w:before="143" w:line="276" w:lineRule="auto"/>
        <w:rPr/>
      </w:pPr>
      <w:r>
        <w:rPr>
          <w:rFonts w:ascii="SimSun" w:hAnsi="SimSun" w:eastAsia="SimSun" w:cs="SimSun"/>
        </w:rPr>
        <w:t>CXCR</w:t>
      </w:r>
      <w:r>
        <w:rPr>
          <w:rFonts w:ascii="SimSun" w:hAnsi="SimSun" w:eastAsia="SimSun" w:cs="SimSun"/>
          <w:spacing w:val="2"/>
        </w:rPr>
        <w:t>4、</w:t>
      </w:r>
      <w:r>
        <w:rPr>
          <w:rFonts w:ascii="SimSun" w:hAnsi="SimSun" w:eastAsia="SimSun" w:cs="SimSun"/>
        </w:rPr>
        <w:t>NET</w:t>
      </w:r>
      <w:r>
        <w:rPr>
          <w:rFonts w:ascii="SimSun" w:hAnsi="SimSun" w:eastAsia="SimSun" w:cs="SimSun"/>
          <w:spacing w:val="54"/>
        </w:rPr>
        <w:t xml:space="preserve">  </w:t>
      </w:r>
      <w:r>
        <w:rPr>
          <w:spacing w:val="2"/>
        </w:rPr>
        <w:t>标志物)与影像学/认知结局，构建患者分层模</w:t>
      </w:r>
      <w:r>
        <w:rPr>
          <w:spacing w:val="1"/>
        </w:rPr>
        <w:t>型；探索靶向</w:t>
      </w:r>
      <w:r>
        <w:rPr>
          <w:rFonts w:ascii="SimSun" w:hAnsi="SimSun" w:eastAsia="SimSun" w:cs="SimSun"/>
        </w:rPr>
        <w:t>NETs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的辅助治疗</w:t>
      </w:r>
      <w:r>
        <w:rPr/>
        <w:t xml:space="preserve"> </w:t>
      </w:r>
      <w:r>
        <w:rPr>
          <w:rFonts w:ascii="SimSun" w:hAnsi="SimSun" w:eastAsia="SimSun" w:cs="SimSun"/>
          <w:spacing w:val="-5"/>
        </w:rPr>
        <w:t>(tPA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5"/>
        </w:rPr>
        <w:t>联合</w:t>
      </w:r>
      <w:r>
        <w:rPr>
          <w:rFonts w:ascii="SimSun" w:hAnsi="SimSun" w:eastAsia="SimSun" w:cs="SimSun"/>
          <w:spacing w:val="-5"/>
        </w:rPr>
        <w:t>DNase</w:t>
      </w:r>
      <w:r>
        <w:rPr>
          <w:rFonts w:ascii="SimSun" w:hAnsi="SimSun" w:eastAsia="SimSun" w:cs="SimSun"/>
          <w:spacing w:val="81"/>
        </w:rPr>
        <w:t xml:space="preserve"> </w:t>
      </w:r>
      <w:r>
        <w:rPr>
          <w:rFonts w:ascii="SimSun" w:hAnsi="SimSun" w:eastAsia="SimSun" w:cs="SimSun"/>
          <w:spacing w:val="-5"/>
        </w:rPr>
        <w:t>l)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5"/>
        </w:rPr>
        <w:t>在高</w:t>
      </w:r>
      <w:r>
        <w:rPr>
          <w:rFonts w:ascii="SimSun" w:hAnsi="SimSun" w:eastAsia="SimSun" w:cs="SimSun"/>
          <w:spacing w:val="-5"/>
        </w:rPr>
        <w:t>NETs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5"/>
        </w:rPr>
        <w:t>亚群中的疗效。</w:t>
      </w:r>
    </w:p>
    <w:p>
      <w:pPr>
        <w:pStyle w:val="BodyText"/>
        <w:spacing w:before="305" w:line="312" w:lineRule="auto"/>
        <w:rPr/>
      </w:pPr>
      <w:r>
        <w:rPr/>
        <w:t>综上所述，中性粒细胞在脑缺血中呈现鲜明的时间依赖性和功能异质性，其</w:t>
      </w:r>
      <w:r>
        <w:rPr>
          <w:spacing w:val="-1"/>
        </w:rPr>
        <w:t>从急性破坏向慢性修</w:t>
      </w:r>
      <w:r>
        <w:rPr/>
        <w:t xml:space="preserve">  </w:t>
      </w:r>
      <w:r>
        <w:rPr>
          <w:spacing w:val="1"/>
        </w:rPr>
        <w:t>复/病理维持的转变，受微环境、小胶质吞噬</w:t>
      </w:r>
      <w:r>
        <w:rPr/>
        <w:t>和极化调控。精准靶向</w:t>
      </w:r>
      <w:r>
        <w:rPr>
          <w:rFonts w:ascii="Times New Roman" w:hAnsi="Times New Roman" w:eastAsia="Times New Roman" w:cs="Times New Roman"/>
        </w:rPr>
        <w:t>NET-forming/N1  </w:t>
      </w:r>
      <w:r>
        <w:rPr/>
        <w:t>样亚群，同</w:t>
      </w:r>
      <w:r>
        <w:rPr/>
        <w:t xml:space="preserve"> </w:t>
      </w:r>
      <w:r>
        <w:rPr>
          <w:spacing w:val="1"/>
        </w:rPr>
        <w:t>时保留</w:t>
      </w:r>
      <w:r>
        <w:rPr>
          <w:rFonts w:ascii="Arial" w:hAnsi="Arial" w:eastAsia="Arial" w:cs="Arial"/>
          <w:spacing w:val="1"/>
        </w:rPr>
        <w:t>N2</w:t>
      </w:r>
      <w:r>
        <w:rPr>
          <w:spacing w:val="1"/>
        </w:rPr>
        <w:t>样修复功能，或将成为改善卒中预后的重要突破方向。未来需加强人类数据验证与多中</w:t>
      </w:r>
      <w:r>
        <w:rPr>
          <w:spacing w:val="8"/>
        </w:rPr>
        <w:t xml:space="preserve"> </w:t>
      </w:r>
      <w:r>
        <w:rPr>
          <w:spacing w:val="-17"/>
        </w:rPr>
        <w:t>心转化研究，以推动从“广谱抗炎”向“精准免疫调控”的范式转变。</w:t>
      </w:r>
    </w:p>
    <w:sectPr>
      <w:pgSz w:w="12240" w:h="15840"/>
      <w:pgMar w:top="1149" w:right="106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otum">
    <w:panose1 w:val="020B0600000101010101"/>
    <w:charset w:val="86"/>
    <w:family w:val="auto"/>
    <w:pitch w:val="variable"/>
    <w:sig w:usb0="B00002AF" w:usb1="69D77CFB" w:usb2="00000030" w:usb3="00000000" w:csb0="4008009F" w:csb1="DF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2026-03-15T23:56:36</vt:filetime>
  </property>
  <property fmtid="{D5CDD505-2E9C-101B-9397-08002B2CF9AE}" pid="4" name="UsrData">
    <vt:lpwstr>69b6d6b2259dfc001fa651b4wl</vt:lpwstr>
  </property>
</Properties>
</file>