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48" w:line="222" w:lineRule="auto"/>
        <w:rPr/>
      </w:pPr>
      <w:r>
        <w:rPr/>
        <w:t>中性粒细胞在脑缺血损伤中的双重作用：从急性期破坏到慢性期修复的动态调控</w:t>
      </w:r>
      <w:r>
        <w:rPr>
          <w:spacing w:val="-1"/>
        </w:rPr>
        <w:t>机制</w:t>
      </w:r>
    </w:p>
    <w:p>
      <w:pPr>
        <w:pStyle w:val="BodyText"/>
        <w:ind w:left="3"/>
        <w:spacing w:before="238" w:line="221" w:lineRule="auto"/>
        <w:rPr/>
      </w:pPr>
      <w:r>
        <w:rPr>
          <w:b/>
          <w:bCs/>
          <w:spacing w:val="5"/>
        </w:rPr>
        <w:t>作者单位：</w:t>
      </w:r>
      <w:r>
        <w:rPr>
          <w:spacing w:val="-63"/>
        </w:rPr>
        <w:t xml:space="preserve"> </w:t>
      </w:r>
      <w:r>
        <w:rPr>
          <w:spacing w:val="5"/>
        </w:rPr>
        <w:t>国际神经炎症与脑血管病研究中心(</w:t>
      </w:r>
      <w:r>
        <w:rPr>
          <w:spacing w:val="4"/>
        </w:rPr>
        <w:t>虚拟整合机构)</w:t>
      </w:r>
    </w:p>
    <w:p>
      <w:pPr>
        <w:pStyle w:val="BodyText"/>
        <w:ind w:left="3"/>
        <w:spacing w:before="144" w:line="223" w:lineRule="auto"/>
        <w:rPr/>
      </w:pPr>
      <w:r>
        <w:rPr>
          <w:b/>
          <w:bCs/>
          <w:spacing w:val="16"/>
        </w:rPr>
        <w:t>撰写日期：</w:t>
      </w:r>
      <w:r>
        <w:rPr>
          <w:spacing w:val="16"/>
        </w:rPr>
        <w:t>2026年2月</w:t>
      </w:r>
    </w:p>
    <w:p>
      <w:pPr>
        <w:spacing w:line="38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7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3"/>
        </w:rPr>
        <w:t>摘要</w:t>
      </w:r>
    </w:p>
    <w:p>
      <w:pPr>
        <w:pStyle w:val="BodyText"/>
        <w:ind w:right="3"/>
        <w:spacing w:before="189" w:line="324" w:lineRule="auto"/>
        <w:rPr/>
      </w:pPr>
      <w:r>
        <w:rPr>
          <w:spacing w:val="-1"/>
        </w:rPr>
        <w:t>脑缺血</w:t>
      </w:r>
      <w:r>
        <w:rPr>
          <w:spacing w:val="-1"/>
        </w:rPr>
        <w:t xml:space="preserve"> </w:t>
      </w:r>
      <w:r>
        <w:rPr>
          <w:rFonts w:ascii="SimSun" w:hAnsi="SimSun" w:eastAsia="SimSun" w:cs="SimSun"/>
          <w:spacing w:val="-1"/>
        </w:rPr>
        <w:t>(cerebral</w:t>
      </w:r>
      <w:r>
        <w:rPr>
          <w:rFonts w:ascii="SimSun" w:hAnsi="SimSun" w:eastAsia="SimSun" w:cs="SimSun"/>
          <w:spacing w:val="49"/>
        </w:rPr>
        <w:t xml:space="preserve"> </w:t>
      </w:r>
      <w:r>
        <w:rPr>
          <w:rFonts w:ascii="SimSun" w:hAnsi="SimSun" w:eastAsia="SimSun" w:cs="SimSun"/>
          <w:spacing w:val="-1"/>
        </w:rPr>
        <w:t>ischemia)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spacing w:val="-1"/>
        </w:rPr>
        <w:t>后，中性粒细胞</w:t>
      </w:r>
      <w:r>
        <w:rPr>
          <w:spacing w:val="-1"/>
        </w:rPr>
        <w:t xml:space="preserve"> </w:t>
      </w:r>
      <w:r>
        <w:rPr>
          <w:rFonts w:ascii="SimSun" w:hAnsi="SimSun" w:eastAsia="SimSun" w:cs="SimSun"/>
          <w:spacing w:val="-1"/>
        </w:rPr>
        <w:t>(neut</w:t>
      </w:r>
      <w:r>
        <w:rPr>
          <w:rFonts w:ascii="SimSun" w:hAnsi="SimSun" w:eastAsia="SimSun" w:cs="SimSun"/>
          <w:spacing w:val="-2"/>
        </w:rPr>
        <w:t>rophils) </w:t>
      </w:r>
      <w:r>
        <w:rPr>
          <w:spacing w:val="-2"/>
        </w:rPr>
        <w:t>作为最早浸润的循环免疫细胞，在</w:t>
      </w:r>
      <w:r>
        <w:rPr/>
        <w:t xml:space="preserve"> </w:t>
      </w:r>
      <w:r>
        <w:rPr>
          <w:spacing w:val="5"/>
        </w:rPr>
        <w:t>急性期(数小时至数天)通过释放活性氧</w:t>
      </w:r>
      <w:r>
        <w:rPr>
          <w:spacing w:val="5"/>
        </w:rPr>
        <w:t xml:space="preserve"> </w:t>
      </w:r>
      <w:r>
        <w:rPr>
          <w:rFonts w:ascii="SimSun" w:hAnsi="SimSun" w:eastAsia="SimSun" w:cs="SimSun"/>
          <w:spacing w:val="5"/>
        </w:rPr>
        <w:t>(</w:t>
      </w:r>
      <w:r>
        <w:rPr>
          <w:rFonts w:ascii="SimSun" w:hAnsi="SimSun" w:eastAsia="SimSun" w:cs="SimSun"/>
        </w:rPr>
        <w:t>ROS</w:t>
      </w:r>
      <w:r>
        <w:rPr>
          <w:rFonts w:ascii="SimSun" w:hAnsi="SimSun" w:eastAsia="SimSun" w:cs="SimSun"/>
          <w:spacing w:val="5"/>
        </w:rPr>
        <w:t>)、</w:t>
      </w:r>
      <w:r>
        <w:rPr>
          <w:rFonts w:ascii="SimSun" w:hAnsi="SimSun" w:eastAsia="SimSun" w:cs="SimSun"/>
          <w:spacing w:val="65"/>
        </w:rPr>
        <w:t xml:space="preserve"> </w:t>
      </w:r>
      <w:r>
        <w:rPr>
          <w:spacing w:val="5"/>
        </w:rPr>
        <w:t>基质金属蛋白酶-9</w:t>
      </w:r>
      <w:r>
        <w:rPr>
          <w:spacing w:val="-24"/>
        </w:rPr>
        <w:t xml:space="preserve"> </w:t>
      </w:r>
      <w:r>
        <w:rPr>
          <w:rFonts w:ascii="SimSun" w:hAnsi="SimSun" w:eastAsia="SimSun" w:cs="SimSun"/>
          <w:spacing w:val="5"/>
        </w:rPr>
        <w:t>(</w:t>
      </w:r>
      <w:r>
        <w:rPr>
          <w:rFonts w:ascii="SimSun" w:hAnsi="SimSun" w:eastAsia="SimSun" w:cs="SimSun"/>
        </w:rPr>
        <w:t>MMP</w:t>
      </w:r>
      <w:r>
        <w:rPr>
          <w:rFonts w:ascii="SimSun" w:hAnsi="SimSun" w:eastAsia="SimSun" w:cs="SimSun"/>
          <w:spacing w:val="5"/>
        </w:rPr>
        <w:t>-9)、</w:t>
      </w:r>
      <w:r>
        <w:rPr>
          <w:rFonts w:ascii="SimSun" w:hAnsi="SimSun" w:eastAsia="SimSun" w:cs="SimSun"/>
          <w:spacing w:val="36"/>
        </w:rPr>
        <w:t xml:space="preserve">  </w:t>
      </w:r>
      <w:r>
        <w:rPr>
          <w:spacing w:val="5"/>
        </w:rPr>
        <w:t>中性粒细胞</w:t>
      </w:r>
      <w:r>
        <w:rPr/>
        <w:t xml:space="preserve">  </w:t>
      </w:r>
      <w:r>
        <w:rPr>
          <w:spacing w:val="1"/>
        </w:rPr>
        <w:t>胞外陷阱</w:t>
      </w:r>
      <w:r>
        <w:rPr>
          <w:spacing w:val="1"/>
        </w:rPr>
        <w:t xml:space="preserve"> </w:t>
      </w:r>
      <w:r>
        <w:rPr>
          <w:rFonts w:ascii="Arial" w:hAnsi="Arial" w:eastAsia="Arial" w:cs="Arial"/>
          <w:spacing w:val="1"/>
        </w:rPr>
        <w:t>(</w:t>
      </w:r>
      <w:r>
        <w:rPr>
          <w:rFonts w:ascii="Arial" w:hAnsi="Arial" w:eastAsia="Arial" w:cs="Arial"/>
        </w:rPr>
        <w:t>NETs</w:t>
      </w:r>
      <w:r>
        <w:rPr>
          <w:rFonts w:ascii="Arial" w:hAnsi="Arial" w:eastAsia="Arial" w:cs="Arial"/>
          <w:spacing w:val="1"/>
        </w:rPr>
        <w:t>)  </w:t>
      </w:r>
      <w:r>
        <w:rPr>
          <w:spacing w:val="1"/>
        </w:rPr>
        <w:t>等机制显著加剧血脑屏障</w:t>
      </w:r>
      <w:r>
        <w:rPr>
          <w:spacing w:val="1"/>
        </w:rPr>
        <w:t xml:space="preserve"> </w:t>
      </w:r>
      <w:r>
        <w:rPr>
          <w:rFonts w:ascii="Arial" w:hAnsi="Arial" w:eastAsia="Arial" w:cs="Arial"/>
          <w:spacing w:val="1"/>
        </w:rPr>
        <w:t>(</w:t>
      </w:r>
      <w:r>
        <w:rPr>
          <w:rFonts w:ascii="Arial" w:hAnsi="Arial" w:eastAsia="Arial" w:cs="Arial"/>
        </w:rPr>
        <w:t>BBB</w:t>
      </w:r>
      <w:r>
        <w:rPr>
          <w:rFonts w:ascii="Arial" w:hAnsi="Arial" w:eastAsia="Arial" w:cs="Arial"/>
          <w:spacing w:val="1"/>
        </w:rPr>
        <w:t>)   </w:t>
      </w:r>
      <w:r>
        <w:rPr>
          <w:spacing w:val="1"/>
        </w:rPr>
        <w:t>破坏、脑水肿及神经元损伤；而在慢性期</w:t>
      </w:r>
    </w:p>
    <w:p>
      <w:pPr>
        <w:pStyle w:val="BodyText"/>
        <w:ind w:right="67" w:firstLine="159"/>
        <w:spacing w:before="27" w:line="326" w:lineRule="auto"/>
        <w:rPr>
          <w:rFonts w:ascii="Times New Roman" w:hAnsi="Times New Roman" w:eastAsia="Times New Roman" w:cs="Times New Roman"/>
        </w:rPr>
      </w:pPr>
      <w:r>
        <w:rPr>
          <w:spacing w:val="2"/>
        </w:rPr>
        <w:t>(数周至数月),部分中性粒细胞可发生表型转换，向</w:t>
      </w:r>
      <w:r>
        <w:rPr>
          <w:rFonts w:ascii="SimSun" w:hAnsi="SimSun" w:eastAsia="SimSun" w:cs="SimSun"/>
          <w:spacing w:val="2"/>
        </w:rPr>
        <w:t>N2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2"/>
        </w:rPr>
        <w:t>样抗炎/修复型极化，促进吞噬清除碎片</w:t>
      </w:r>
      <w:r>
        <w:rPr/>
        <w:t xml:space="preserve"> </w:t>
      </w:r>
      <w:r>
        <w:rPr/>
        <w:t>及组织重塑。近年来单细胞测序及空间转录组学</w:t>
      </w:r>
      <w:r>
        <w:rPr>
          <w:spacing w:val="-1"/>
        </w:rPr>
        <w:t>研究揭示了中性粒细胞的高度异质性，包括</w:t>
      </w:r>
      <w:r>
        <w:rPr>
          <w:rFonts w:ascii="Times New Roman" w:hAnsi="Times New Roman" w:eastAsia="Times New Roman" w:cs="Times New Roman"/>
          <w:spacing w:val="-1"/>
        </w:rPr>
        <w:t>N1</w:t>
      </w:r>
      <w:r>
        <w:rPr>
          <w:spacing w:val="-1"/>
        </w:rPr>
        <w:t>促</w:t>
      </w:r>
      <w:r>
        <w:rPr/>
        <w:t xml:space="preserve"> </w:t>
      </w:r>
      <w:r>
        <w:rPr/>
        <w:t>炎亚群、</w:t>
      </w:r>
      <w:r>
        <w:rPr>
          <w:rFonts w:ascii="SimSun" w:hAnsi="SimSun" w:eastAsia="SimSun" w:cs="SimSun"/>
        </w:rPr>
        <w:t>N2</w:t>
      </w:r>
      <w:r>
        <w:rPr>
          <w:rFonts w:ascii="SimSun" w:hAnsi="SimSun" w:eastAsia="SimSun" w:cs="SimSun"/>
          <w:spacing w:val="-38"/>
        </w:rPr>
        <w:t xml:space="preserve"> </w:t>
      </w:r>
      <w:r>
        <w:rPr/>
        <w:t>修复亚群、衰老型</w:t>
      </w:r>
      <w:r>
        <w:rPr/>
        <w:t xml:space="preserve"> </w:t>
      </w:r>
      <w:r>
        <w:rPr>
          <w:rFonts w:ascii="SimSun" w:hAnsi="SimSun" w:eastAsia="SimSun" w:cs="SimSun"/>
        </w:rPr>
        <w:t>(senesce</w:t>
      </w:r>
      <w:r>
        <w:rPr>
          <w:rFonts w:ascii="SimSun" w:hAnsi="SimSun" w:eastAsia="SimSun" w:cs="SimSun"/>
          <w:spacing w:val="-1"/>
        </w:rPr>
        <w:t>nt)、 </w:t>
      </w:r>
      <w:r>
        <w:rPr>
          <w:spacing w:val="-1"/>
        </w:rPr>
        <w:t>逆向跨内皮迁移型</w:t>
      </w:r>
      <w:r>
        <w:rPr>
          <w:spacing w:val="-1"/>
        </w:rPr>
        <w:t xml:space="preserve"> </w:t>
      </w:r>
      <w:r>
        <w:rPr>
          <w:rFonts w:ascii="SimSun" w:hAnsi="SimSun" w:eastAsia="SimSun" w:cs="SimSun"/>
          <w:spacing w:val="-1"/>
        </w:rPr>
        <w:t>(rTEM)  </w:t>
      </w:r>
      <w:r>
        <w:rPr>
          <w:spacing w:val="-1"/>
        </w:rPr>
        <w:t>等亚群的存在。本文</w:t>
      </w:r>
      <w:r>
        <w:rPr/>
        <w:t xml:space="preserve"> </w:t>
      </w:r>
      <w:r>
        <w:rPr>
          <w:spacing w:val="-1"/>
        </w:rPr>
        <w:t>系统综述了中性粒细胞在脑缺血不同时相的功能动态、关</w:t>
      </w:r>
      <w:r>
        <w:rPr>
          <w:spacing w:val="-2"/>
        </w:rPr>
        <w:t>键信号通路</w:t>
      </w:r>
      <w:r>
        <w:rPr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(CXCR2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PI3K/Akt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NF-</w:t>
      </w:r>
    </w:p>
    <w:p>
      <w:pPr>
        <w:pStyle w:val="BodyText"/>
        <w:ind w:right="134"/>
        <w:spacing w:before="34" w:line="320" w:lineRule="auto"/>
        <w:rPr/>
      </w:pPr>
      <w:r>
        <w:rPr>
          <w:rFonts w:ascii="SimSun" w:hAnsi="SimSun" w:eastAsia="SimSun" w:cs="SimSun"/>
        </w:rPr>
        <w:t>KB</w:t>
      </w:r>
      <w:r>
        <w:rPr>
          <w:rFonts w:ascii="SimSun" w:hAnsi="SimSun" w:eastAsia="SimSun" w:cs="SimSun"/>
          <w:spacing w:val="7"/>
        </w:rPr>
        <w:t>、</w:t>
      </w:r>
      <w:r>
        <w:rPr>
          <w:rFonts w:ascii="SimSun" w:hAnsi="SimSun" w:eastAsia="SimSun" w:cs="SimSun"/>
        </w:rPr>
        <w:t>NLRP</w:t>
      </w:r>
      <w:r>
        <w:rPr>
          <w:rFonts w:ascii="SimSun" w:hAnsi="SimSun" w:eastAsia="SimSun" w:cs="SimSun"/>
          <w:spacing w:val="7"/>
        </w:rPr>
        <w:t>3    </w:t>
      </w:r>
      <w:r>
        <w:rPr>
          <w:rFonts w:ascii="SimSun" w:hAnsi="SimSun" w:eastAsia="SimSun" w:cs="SimSun"/>
        </w:rPr>
        <w:t>inflammasome</w:t>
      </w:r>
      <w:r>
        <w:rPr>
          <w:spacing w:val="7"/>
        </w:rPr>
        <w:t>等)、与其他脑内细胞(小胶质细胞、星形胶质细胞、神经元)的交</w:t>
      </w:r>
      <w:r>
        <w:rPr>
          <w:spacing w:val="11"/>
        </w:rPr>
        <w:t xml:space="preserve"> </w:t>
      </w:r>
      <w:r>
        <w:rPr>
          <w:spacing w:val="-1"/>
        </w:rPr>
        <w:t>互网络、临床结局相关性，并提出未来靶向调控中性粒细胞极</w:t>
      </w:r>
      <w:r>
        <w:rPr>
          <w:spacing w:val="-2"/>
        </w:rPr>
        <w:t>化及</w:t>
      </w:r>
      <w:r>
        <w:rPr>
          <w:rFonts w:ascii="Arial" w:hAnsi="Arial" w:eastAsia="Arial" w:cs="Arial"/>
          <w:spacing w:val="-2"/>
        </w:rPr>
        <w:t>NETs</w:t>
      </w:r>
      <w:r>
        <w:rPr>
          <w:spacing w:val="-2"/>
        </w:rPr>
        <w:t>形成的潜在干预策略。</w:t>
      </w:r>
    </w:p>
    <w:p>
      <w:pPr>
        <w:pStyle w:val="BodyText"/>
        <w:ind w:right="2"/>
        <w:spacing w:before="17" w:line="343" w:lineRule="auto"/>
        <w:rPr/>
      </w:pPr>
      <w:r>
        <w:rPr/>
        <w:t>关键词：脑缺血；中性粒细胞；</w:t>
      </w:r>
      <w:r>
        <w:rPr>
          <w:rFonts w:ascii="SimSun" w:hAnsi="SimSun" w:eastAsia="SimSun" w:cs="SimSun"/>
        </w:rPr>
        <w:t>NETs;N1/N2</w:t>
      </w:r>
      <w:r>
        <w:rPr>
          <w:rFonts w:ascii="SimSun" w:hAnsi="SimSun" w:eastAsia="SimSun" w:cs="SimSun"/>
          <w:spacing w:val="42"/>
        </w:rPr>
        <w:t xml:space="preserve">  </w:t>
      </w:r>
      <w:r>
        <w:rPr/>
        <w:t>极化；</w:t>
      </w:r>
      <w:r>
        <w:rPr>
          <w:rFonts w:ascii="SimSun" w:hAnsi="SimSun" w:eastAsia="SimSun" w:cs="SimSun"/>
        </w:rPr>
        <w:t>NLRP3    inflammasome;</w:t>
      </w:r>
      <w:r>
        <w:rPr>
          <w:rFonts w:ascii="SimSun" w:hAnsi="SimSun" w:eastAsia="SimSun" w:cs="SimSun"/>
          <w:spacing w:val="-50"/>
        </w:rPr>
        <w:t xml:space="preserve"> </w:t>
      </w:r>
      <w:r>
        <w:rPr/>
        <w:t>神经炎症；血脑屏</w:t>
      </w:r>
      <w:r>
        <w:rPr/>
        <w:t xml:space="preserve"> </w:t>
      </w:r>
      <w:r>
        <w:rPr/>
        <w:t>障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3" w:lineRule="auto"/>
        <w:outlineLvl w:val="2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1.</w:t>
      </w:r>
      <w:r>
        <w:rPr>
          <w:sz w:val="30"/>
          <w:szCs w:val="30"/>
          <w:b/>
          <w:bCs/>
          <w:spacing w:val="-4"/>
        </w:rPr>
        <w:t>引言</w:t>
      </w:r>
    </w:p>
    <w:p>
      <w:pPr>
        <w:pStyle w:val="BodyText"/>
        <w:spacing w:before="149" w:line="334" w:lineRule="auto"/>
        <w:rPr>
          <w:rFonts w:ascii="SimSun" w:hAnsi="SimSun" w:eastAsia="SimSun" w:cs="SimSun"/>
        </w:rPr>
      </w:pPr>
      <w:r>
        <w:rPr/>
        <w:t>脑缺血损伤</w:t>
      </w:r>
      <w:r>
        <w:rPr/>
        <w:t xml:space="preserve"> </w:t>
      </w:r>
      <w:r>
        <w:rPr>
          <w:rFonts w:ascii="Arial" w:hAnsi="Arial" w:eastAsia="Arial" w:cs="Arial"/>
        </w:rPr>
        <w:t>(ischemic    stroke)</w:t>
      </w:r>
      <w:r>
        <w:rPr>
          <w:rFonts w:ascii="Arial" w:hAnsi="Arial" w:eastAsia="Arial" w:cs="Arial"/>
          <w:spacing w:val="55"/>
        </w:rPr>
        <w:t xml:space="preserve"> </w:t>
      </w:r>
      <w:r>
        <w:rPr/>
        <w:t>是全球主要的致死与致残原因之一，其病理生理</w:t>
      </w:r>
      <w:r>
        <w:rPr>
          <w:spacing w:val="-1"/>
        </w:rPr>
        <w:t>过程涉及急性缺</w:t>
      </w:r>
      <w:r>
        <w:rPr/>
        <w:t xml:space="preserve"> </w:t>
      </w:r>
      <w:r>
        <w:rPr/>
        <w:t>氧、兴奋毒性、氧化应激及继发性炎症级联反应。据研究表明，循环中性粒细胞在脑缺血后数分</w:t>
      </w:r>
      <w:r>
        <w:rPr>
          <w:spacing w:val="8"/>
        </w:rPr>
        <w:t xml:space="preserve">  </w:t>
      </w:r>
      <w:r>
        <w:rPr>
          <w:spacing w:val="1"/>
        </w:rPr>
        <w:t>钟内即开始向缺血区募集，并在1-3天达到峰值，其浸润程度与梗死体积及</w:t>
      </w:r>
      <w:r>
        <w:rPr>
          <w:rFonts w:ascii="SimSun" w:hAnsi="SimSun" w:eastAsia="SimSun" w:cs="SimSun"/>
        </w:rPr>
        <w:t>NIHSS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spacing w:val="1"/>
        </w:rPr>
        <w:t>评分</w:t>
      </w:r>
      <w:r>
        <w:rPr/>
        <w:t>呈显著正相</w:t>
      </w:r>
      <w:r>
        <w:rPr/>
        <w:t xml:space="preserve"> </w:t>
      </w:r>
      <w:r>
        <w:rPr>
          <w:spacing w:val="-5"/>
        </w:rPr>
        <w:t>关</w:t>
      </w:r>
      <w:r>
        <w:rPr>
          <w:spacing w:val="-5"/>
        </w:rPr>
        <w:t xml:space="preserve"> </w:t>
      </w:r>
      <w:r>
        <w:rPr>
          <w:rFonts w:ascii="SimSun" w:hAnsi="SimSun" w:eastAsia="SimSun" w:cs="SimSun"/>
          <w:spacing w:val="-5"/>
        </w:rPr>
        <w:t>(Jickling et al.,2015;Cai et al.,201</w:t>
      </w:r>
      <w:r>
        <w:rPr>
          <w:rFonts w:ascii="SimSun" w:hAnsi="SimSun" w:eastAsia="SimSun" w:cs="SimSun"/>
          <w:spacing w:val="-6"/>
        </w:rPr>
        <w:t>9)。</w:t>
      </w:r>
      <w:r>
        <w:rPr>
          <w:spacing w:val="-6"/>
        </w:rPr>
        <w:t>早期工作已确立中性粒细胞通过释放蛋白酶、</w:t>
      </w:r>
      <w:r>
        <w:rPr>
          <w:rFonts w:ascii="SimSun" w:hAnsi="SimSun" w:eastAsia="SimSun" w:cs="SimSun"/>
          <w:spacing w:val="-6"/>
        </w:rPr>
        <w:t>ROS</w:t>
      </w:r>
    </w:p>
    <w:p>
      <w:pPr>
        <w:pStyle w:val="BodyText"/>
        <w:ind w:right="164"/>
        <w:spacing w:before="7" w:line="316" w:lineRule="auto"/>
        <w:rPr/>
      </w:pPr>
      <w:r>
        <w:rPr>
          <w:spacing w:val="-1"/>
        </w:rPr>
        <w:t>及</w:t>
      </w:r>
      <w:r>
        <w:rPr>
          <w:rFonts w:ascii="SimSun" w:hAnsi="SimSun" w:eastAsia="SimSun" w:cs="SimSun"/>
          <w:spacing w:val="-1"/>
        </w:rPr>
        <w:t>NETs </w:t>
      </w:r>
      <w:r>
        <w:rPr>
          <w:spacing w:val="-1"/>
        </w:rPr>
        <w:t>破坏</w:t>
      </w:r>
      <w:r>
        <w:rPr>
          <w:rFonts w:ascii="SimSun" w:hAnsi="SimSun" w:eastAsia="SimSun" w:cs="SimSun"/>
          <w:spacing w:val="-1"/>
        </w:rPr>
        <w:t>BBB </w:t>
      </w:r>
      <w:r>
        <w:rPr>
          <w:spacing w:val="-1"/>
        </w:rPr>
        <w:t>完整性</w:t>
      </w:r>
      <w:r>
        <w:rPr>
          <w:spacing w:val="-1"/>
        </w:rPr>
        <w:t xml:space="preserve"> </w:t>
      </w:r>
      <w:r>
        <w:rPr>
          <w:rFonts w:ascii="SimSun" w:hAnsi="SimSun" w:eastAsia="SimSun" w:cs="SimSun"/>
          <w:spacing w:val="-1"/>
        </w:rPr>
        <w:t>(Kang</w:t>
      </w:r>
      <w:r>
        <w:rPr>
          <w:rFonts w:ascii="SimSun" w:hAnsi="SimSun" w:eastAsia="SimSun" w:cs="SimSun"/>
          <w:spacing w:val="102"/>
        </w:rPr>
        <w:t xml:space="preserve"> </w:t>
      </w:r>
      <w:r>
        <w:rPr>
          <w:rFonts w:ascii="SimSun" w:hAnsi="SimSun" w:eastAsia="SimSun" w:cs="SimSun"/>
          <w:spacing w:val="-1"/>
        </w:rPr>
        <w:t>et</w:t>
      </w:r>
      <w:r>
        <w:rPr>
          <w:rFonts w:ascii="SimSun" w:hAnsi="SimSun" w:eastAsia="SimSun" w:cs="SimSun"/>
          <w:spacing w:val="84"/>
        </w:rPr>
        <w:t xml:space="preserve"> </w:t>
      </w:r>
      <w:r>
        <w:rPr>
          <w:rFonts w:ascii="SimSun" w:hAnsi="SimSun" w:eastAsia="SimSun" w:cs="SimSun"/>
          <w:spacing w:val="-1"/>
        </w:rPr>
        <w:t>al.,2020;Denorme</w:t>
      </w:r>
      <w:r>
        <w:rPr>
          <w:rFonts w:ascii="SimSun" w:hAnsi="SimSun" w:eastAsia="SimSun" w:cs="SimSun"/>
          <w:spacing w:val="90"/>
        </w:rPr>
        <w:t xml:space="preserve"> </w:t>
      </w:r>
      <w:r>
        <w:rPr>
          <w:rFonts w:ascii="SimSun" w:hAnsi="SimSun" w:eastAsia="SimSun" w:cs="SimSun"/>
          <w:spacing w:val="-1"/>
        </w:rPr>
        <w:t>et</w:t>
      </w:r>
      <w:r>
        <w:rPr>
          <w:rFonts w:ascii="SimSun" w:hAnsi="SimSun" w:eastAsia="SimSun" w:cs="SimSun"/>
          <w:spacing w:val="84"/>
        </w:rPr>
        <w:t xml:space="preserve"> </w:t>
      </w:r>
      <w:r>
        <w:rPr>
          <w:rFonts w:ascii="SimSun" w:hAnsi="SimSun" w:eastAsia="SimSun" w:cs="SimSun"/>
          <w:spacing w:val="-1"/>
        </w:rPr>
        <w:t>al.,2022),</w:t>
      </w:r>
      <w:r>
        <w:rPr>
          <w:spacing w:val="-1"/>
        </w:rPr>
        <w:t>而近年文献报道其在慢</w:t>
      </w:r>
      <w:r>
        <w:rPr/>
        <w:t xml:space="preserve"> </w:t>
      </w:r>
      <w:r>
        <w:rPr/>
        <w:t>性期可能发挥组织清理与血管重塑的积极作用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(Xie  </w:t>
      </w:r>
      <w:r>
        <w:rPr>
          <w:rFonts w:ascii="Times New Roman" w:hAnsi="Times New Roman" w:eastAsia="Times New Roman" w:cs="Times New Roman"/>
          <w:spacing w:val="-1"/>
        </w:rPr>
        <w:t xml:space="preserve">  et     al.,2023;Li    et     al.,2025)</w:t>
      </w:r>
      <w:r>
        <w:rPr>
          <w:rFonts w:ascii="SimSun" w:hAnsi="SimSun" w:eastAsia="SimSun" w:cs="SimSun"/>
          <w:spacing w:val="-1"/>
        </w:rPr>
        <w:t>。</w:t>
      </w:r>
      <w:r>
        <w:rPr>
          <w:spacing w:val="-1"/>
        </w:rPr>
        <w:t>本综述旨在</w:t>
      </w:r>
      <w:r>
        <w:rPr/>
        <w:t xml:space="preserve"> </w:t>
      </w:r>
      <w:r>
        <w:rPr>
          <w:spacing w:val="-1"/>
        </w:rPr>
        <w:t>整合近15年关键证据，构建中性粒细胞在脑缺血全时程的多</w:t>
      </w:r>
      <w:r>
        <w:rPr>
          <w:spacing w:val="-2"/>
        </w:rPr>
        <w:t>维作用框架。</w:t>
      </w:r>
    </w:p>
    <w:p>
      <w:pPr>
        <w:pStyle w:val="BodyText"/>
        <w:ind w:left="3"/>
        <w:spacing w:before="139" w:line="222" w:lineRule="auto"/>
        <w:rPr/>
      </w:pPr>
      <w:r>
        <w:rPr>
          <w:b/>
          <w:bCs/>
          <w:spacing w:val="2"/>
        </w:rPr>
        <w:t>表1:近15年中性粒细胞与脑缺血研究重要里程碑</w:t>
      </w:r>
    </w:p>
    <w:p>
      <w:pPr>
        <w:spacing w:line="222" w:lineRule="auto"/>
        <w:sectPr>
          <w:pgSz w:w="12240" w:h="15840"/>
          <w:pgMar w:top="1150" w:right="1031" w:bottom="0" w:left="970" w:header="0" w:footer="0" w:gutter="0"/>
        </w:sectPr>
        <w:rPr/>
      </w:pPr>
    </w:p>
    <w:tbl>
      <w:tblPr>
        <w:tblStyle w:val="TableNormal"/>
        <w:tblW w:w="10189" w:type="dxa"/>
        <w:tblInd w:w="3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33"/>
        <w:gridCol w:w="4187"/>
        <w:gridCol w:w="3731"/>
        <w:gridCol w:w="1438"/>
      </w:tblGrid>
      <w:tr>
        <w:trPr>
          <w:trHeight w:val="1343" w:hRule="atLeast"/>
        </w:trPr>
        <w:tc>
          <w:tcPr>
            <w:tcW w:w="833" w:type="dxa"/>
            <w:vAlign w:val="top"/>
            <w:tcBorders>
              <w:right w:val="nil"/>
            </w:tcBorders>
          </w:tcPr>
          <w:p>
            <w:pPr>
              <w:pStyle w:val="TableText"/>
              <w:ind w:left="187"/>
              <w:spacing w:before="290" w:line="219" w:lineRule="auto"/>
              <w:rPr/>
            </w:pPr>
            <w:r>
              <w:rPr>
                <w:b/>
                <w:bCs/>
                <w:spacing w:val="-5"/>
              </w:rPr>
              <w:t>年份</w:t>
            </w:r>
          </w:p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4"/>
              <w:spacing w:before="68"/>
              <w:rPr/>
            </w:pPr>
            <w:r>
              <w:rPr>
                <w:spacing w:val="-3"/>
              </w:rPr>
              <w:t>2008</w:t>
            </w:r>
          </w:p>
        </w:tc>
        <w:tc>
          <w:tcPr>
            <w:tcW w:w="41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53"/>
              <w:spacing w:before="291" w:line="220" w:lineRule="auto"/>
              <w:rPr/>
            </w:pPr>
            <w:r>
              <w:rPr>
                <w:b/>
                <w:bCs/>
                <w:spacing w:val="-5"/>
              </w:rPr>
              <w:t>关键发现</w:t>
            </w:r>
          </w:p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7"/>
              <w:spacing w:before="68" w:line="219" w:lineRule="auto"/>
              <w:rPr/>
            </w:pPr>
            <w:r>
              <w:rPr/>
              <w:t>小胶质细胞吞噬侵入中性粒细胞的新机制</w:t>
            </w:r>
          </w:p>
        </w:tc>
        <w:tc>
          <w:tcPr>
            <w:tcW w:w="373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2"/>
              <w:spacing w:before="290" w:line="219" w:lineRule="auto"/>
              <w:rPr/>
            </w:pPr>
            <w:r>
              <w:rPr>
                <w:b/>
                <w:bCs/>
                <w:spacing w:val="-4"/>
              </w:rPr>
              <w:t>代表性文献</w:t>
            </w:r>
          </w:p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9"/>
              <w:spacing w:before="68" w:line="216" w:lineRule="auto"/>
              <w:rPr/>
            </w:pPr>
            <w:r>
              <w:rPr>
                <w:spacing w:val="-1"/>
              </w:rPr>
              <w:t>Neumann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et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al.,JNeuro</w:t>
            </w:r>
            <w:r>
              <w:rPr>
                <w:spacing w:val="-2"/>
              </w:rPr>
              <w:t>sci</w:t>
            </w:r>
          </w:p>
        </w:tc>
        <w:tc>
          <w:tcPr>
            <w:tcW w:w="1438" w:type="dxa"/>
            <w:vAlign w:val="top"/>
            <w:tcBorders>
              <w:left w:val="nil"/>
            </w:tcBorders>
          </w:tcPr>
          <w:p>
            <w:pPr>
              <w:pStyle w:val="TableText"/>
              <w:ind w:left="121" w:right="130"/>
              <w:spacing w:before="141" w:line="285" w:lineRule="auto"/>
              <w:rPr/>
            </w:pPr>
            <w:r>
              <w:rPr>
                <w:b/>
                <w:bCs/>
                <w:spacing w:val="1"/>
              </w:rPr>
              <w:t>影响因子/引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-3"/>
              </w:rPr>
              <w:t>用</w:t>
            </w:r>
          </w:p>
          <w:p>
            <w:pPr>
              <w:pStyle w:val="TableText"/>
              <w:ind w:left="118"/>
              <w:spacing w:before="174" w:line="219" w:lineRule="auto"/>
              <w:rPr/>
            </w:pPr>
            <w:r>
              <w:rPr>
                <w:spacing w:val="8"/>
              </w:rPr>
              <w:t>高引用</w:t>
            </w:r>
          </w:p>
        </w:tc>
      </w:tr>
      <w:tr>
        <w:trPr>
          <w:trHeight w:val="529" w:hRule="atLeast"/>
        </w:trPr>
        <w:tc>
          <w:tcPr>
            <w:tcW w:w="833" w:type="dxa"/>
            <w:vAlign w:val="top"/>
            <w:tcBorders>
              <w:right w:val="nil"/>
            </w:tcBorders>
          </w:tcPr>
          <w:p>
            <w:pPr>
              <w:pStyle w:val="TableText"/>
              <w:ind w:left="184"/>
              <w:spacing w:before="180"/>
              <w:rPr/>
            </w:pPr>
            <w:r>
              <w:rPr>
                <w:spacing w:val="-3"/>
              </w:rPr>
              <w:t>2013</w:t>
            </w:r>
          </w:p>
        </w:tc>
        <w:tc>
          <w:tcPr>
            <w:tcW w:w="41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49"/>
              <w:spacing w:before="160" w:line="219" w:lineRule="auto"/>
              <w:rPr/>
            </w:pPr>
            <w:r>
              <w:rPr>
                <w:spacing w:val="-1"/>
              </w:rPr>
              <w:t>脑缺血中N1/N2中性粒细胞极化概念引入</w:t>
            </w:r>
          </w:p>
        </w:tc>
        <w:tc>
          <w:tcPr>
            <w:tcW w:w="373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9"/>
              <w:spacing w:before="181" w:line="239" w:lineRule="auto"/>
              <w:rPr/>
            </w:pPr>
            <w:r>
              <w:rPr>
                <w:spacing w:val="-3"/>
              </w:rPr>
              <w:t>Cuartero</w:t>
            </w:r>
            <w:r>
              <w:rPr>
                <w:spacing w:val="61"/>
              </w:rPr>
              <w:t xml:space="preserve"> </w:t>
            </w:r>
            <w:r>
              <w:rPr>
                <w:spacing w:val="-3"/>
              </w:rPr>
              <w:t>et</w:t>
            </w:r>
            <w:r>
              <w:rPr>
                <w:spacing w:val="48"/>
              </w:rPr>
              <w:t xml:space="preserve"> </w:t>
            </w:r>
            <w:r>
              <w:rPr>
                <w:spacing w:val="-3"/>
              </w:rPr>
              <w:t>al.</w:t>
            </w:r>
          </w:p>
        </w:tc>
        <w:tc>
          <w:tcPr>
            <w:tcW w:w="1438" w:type="dxa"/>
            <w:vAlign w:val="top"/>
            <w:tcBorders>
              <w:left w:val="nil"/>
            </w:tcBorders>
          </w:tcPr>
          <w:p>
            <w:pPr>
              <w:pStyle w:val="TableText"/>
              <w:ind w:left="118"/>
              <w:spacing w:before="161" w:line="220" w:lineRule="auto"/>
              <w:rPr/>
            </w:pPr>
            <w:r>
              <w:rPr>
                <w:spacing w:val="2"/>
              </w:rPr>
              <w:t>奠基性</w:t>
            </w:r>
          </w:p>
        </w:tc>
      </w:tr>
      <w:tr>
        <w:trPr>
          <w:trHeight w:val="728" w:hRule="atLeast"/>
        </w:trPr>
        <w:tc>
          <w:tcPr>
            <w:tcW w:w="833" w:type="dxa"/>
            <w:vAlign w:val="top"/>
            <w:tcBorders>
              <w:right w:val="nil"/>
            </w:tcBorders>
          </w:tcPr>
          <w:p>
            <w:pPr>
              <w:pStyle w:val="TableText"/>
              <w:ind w:left="284"/>
              <w:spacing w:before="282"/>
              <w:rPr/>
            </w:pPr>
            <w:r>
              <w:rPr>
                <w:spacing w:val="-3"/>
              </w:rPr>
              <w:t>2015</w:t>
            </w:r>
          </w:p>
        </w:tc>
        <w:tc>
          <w:tcPr>
            <w:tcW w:w="41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9"/>
              <w:spacing w:before="260" w:line="219" w:lineRule="auto"/>
              <w:rPr/>
            </w:pPr>
            <w:r>
              <w:rPr>
                <w:spacing w:val="-2"/>
              </w:rPr>
              <w:t>中性粒细胞靶向治疗的转化洞见综述</w:t>
            </w:r>
          </w:p>
        </w:tc>
        <w:tc>
          <w:tcPr>
            <w:tcW w:w="373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0" w:right="110"/>
              <w:spacing w:before="203" w:line="226" w:lineRule="auto"/>
              <w:rPr/>
            </w:pPr>
            <w:r>
              <w:rPr>
                <w:spacing w:val="-4"/>
              </w:rPr>
              <w:t>Jickling et al.,J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Cereb Blood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Flow</w:t>
            </w:r>
            <w:r>
              <w:rPr/>
              <w:t xml:space="preserve"> </w:t>
            </w:r>
            <w:r>
              <w:rPr>
                <w:spacing w:val="-1"/>
              </w:rPr>
              <w:t>Metab</w:t>
            </w:r>
          </w:p>
        </w:tc>
        <w:tc>
          <w:tcPr>
            <w:tcW w:w="1438" w:type="dxa"/>
            <w:vAlign w:val="top"/>
            <w:tcBorders>
              <w:left w:val="nil"/>
            </w:tcBorders>
          </w:tcPr>
          <w:p>
            <w:pPr>
              <w:pStyle w:val="TableText"/>
              <w:ind w:left="118"/>
              <w:spacing w:before="262" w:line="221" w:lineRule="auto"/>
              <w:rPr/>
            </w:pPr>
            <w:r>
              <w:rPr>
                <w:spacing w:val="6"/>
              </w:rPr>
              <w:t>713引用</w:t>
            </w:r>
          </w:p>
        </w:tc>
      </w:tr>
      <w:tr>
        <w:trPr>
          <w:trHeight w:val="619" w:hRule="atLeast"/>
        </w:trPr>
        <w:tc>
          <w:tcPr>
            <w:tcW w:w="833" w:type="dxa"/>
            <w:vAlign w:val="top"/>
            <w:tcBorders>
              <w:right w:val="nil"/>
            </w:tcBorders>
          </w:tcPr>
          <w:p>
            <w:pPr>
              <w:pStyle w:val="TableText"/>
              <w:ind w:left="284"/>
              <w:spacing w:before="234"/>
              <w:rPr/>
            </w:pPr>
            <w:r>
              <w:rPr>
                <w:spacing w:val="-3"/>
              </w:rPr>
              <w:t>2020</w:t>
            </w:r>
          </w:p>
        </w:tc>
        <w:tc>
          <w:tcPr>
            <w:tcW w:w="41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36"/>
              <w:spacing w:before="213" w:line="219" w:lineRule="auto"/>
              <w:rPr/>
            </w:pPr>
            <w:r>
              <w:rPr>
                <w:spacing w:val="-1"/>
              </w:rPr>
              <w:t>NETs阻碍血管重塑与再血管化</w:t>
            </w:r>
          </w:p>
        </w:tc>
        <w:tc>
          <w:tcPr>
            <w:tcW w:w="373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9"/>
              <w:spacing w:before="206" w:line="214" w:lineRule="auto"/>
              <w:rPr/>
            </w:pPr>
            <w:r>
              <w:rPr>
                <w:spacing w:val="-2"/>
              </w:rPr>
              <w:t>Kang et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al.,Nat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Commun</w:t>
            </w:r>
          </w:p>
        </w:tc>
        <w:tc>
          <w:tcPr>
            <w:tcW w:w="1438" w:type="dxa"/>
            <w:vAlign w:val="top"/>
            <w:tcBorders>
              <w:left w:val="nil"/>
            </w:tcBorders>
          </w:tcPr>
          <w:p>
            <w:pPr>
              <w:pStyle w:val="TableText"/>
              <w:ind w:left="118"/>
              <w:spacing w:before="214" w:line="221" w:lineRule="auto"/>
              <w:rPr/>
            </w:pPr>
            <w:r>
              <w:rPr>
                <w:spacing w:val="6"/>
              </w:rPr>
              <w:t>518引用</w:t>
            </w:r>
          </w:p>
        </w:tc>
      </w:tr>
      <w:tr>
        <w:trPr>
          <w:trHeight w:val="519" w:hRule="atLeast"/>
        </w:trPr>
        <w:tc>
          <w:tcPr>
            <w:tcW w:w="833" w:type="dxa"/>
            <w:vAlign w:val="top"/>
            <w:tcBorders>
              <w:right w:val="nil"/>
            </w:tcBorders>
          </w:tcPr>
          <w:p>
            <w:pPr>
              <w:pStyle w:val="TableText"/>
              <w:ind w:left="184"/>
              <w:spacing w:before="184"/>
              <w:rPr/>
            </w:pPr>
            <w:r>
              <w:rPr>
                <w:spacing w:val="-3"/>
              </w:rPr>
              <w:t>2021</w:t>
            </w:r>
          </w:p>
        </w:tc>
        <w:tc>
          <w:tcPr>
            <w:tcW w:w="41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9"/>
              <w:spacing w:before="164" w:line="219" w:lineRule="auto"/>
              <w:rPr/>
            </w:pPr>
            <w:r>
              <w:rPr>
                <w:spacing w:val="-2"/>
              </w:rPr>
              <w:t>中性粒细胞功能动态与临床结局关联</w:t>
            </w:r>
          </w:p>
        </w:tc>
        <w:tc>
          <w:tcPr>
            <w:tcW w:w="373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9"/>
              <w:spacing w:before="185" w:line="239" w:lineRule="auto"/>
              <w:rPr/>
            </w:pPr>
            <w:r>
              <w:rPr>
                <w:spacing w:val="-4"/>
              </w:rPr>
              <w:t>Cai</w:t>
            </w:r>
            <w:r>
              <w:rPr>
                <w:spacing w:val="51"/>
              </w:rPr>
              <w:t xml:space="preserve"> </w:t>
            </w:r>
            <w:r>
              <w:rPr>
                <w:spacing w:val="-4"/>
              </w:rPr>
              <w:t>et</w:t>
            </w:r>
            <w:r>
              <w:rPr>
                <w:spacing w:val="46"/>
              </w:rPr>
              <w:t xml:space="preserve"> </w:t>
            </w:r>
            <w:r>
              <w:rPr>
                <w:spacing w:val="-4"/>
              </w:rPr>
              <w:t>al.</w:t>
            </w:r>
          </w:p>
        </w:tc>
        <w:tc>
          <w:tcPr>
            <w:tcW w:w="1438" w:type="dxa"/>
            <w:vAlign w:val="top"/>
            <w:tcBorders>
              <w:left w:val="nil"/>
            </w:tcBorders>
          </w:tcPr>
          <w:p>
            <w:pPr>
              <w:pStyle w:val="TableText"/>
              <w:ind w:left="118"/>
              <w:spacing w:before="165" w:line="221" w:lineRule="auto"/>
              <w:rPr/>
            </w:pPr>
            <w:r>
              <w:rPr>
                <w:spacing w:val="6"/>
              </w:rPr>
              <w:t>222引用</w:t>
            </w:r>
          </w:p>
        </w:tc>
      </w:tr>
      <w:tr>
        <w:trPr>
          <w:trHeight w:val="539" w:hRule="atLeast"/>
        </w:trPr>
        <w:tc>
          <w:tcPr>
            <w:tcW w:w="833" w:type="dxa"/>
            <w:vAlign w:val="top"/>
            <w:tcBorders>
              <w:right w:val="nil"/>
            </w:tcBorders>
          </w:tcPr>
          <w:p>
            <w:pPr>
              <w:pStyle w:val="TableText"/>
              <w:ind w:left="284"/>
              <w:spacing w:before="196"/>
              <w:rPr/>
            </w:pPr>
            <w:r>
              <w:rPr>
                <w:spacing w:val="-3"/>
              </w:rPr>
              <w:t>2022</w:t>
            </w:r>
          </w:p>
        </w:tc>
        <w:tc>
          <w:tcPr>
            <w:tcW w:w="41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36"/>
              <w:spacing w:before="174" w:line="219" w:lineRule="auto"/>
              <w:rPr/>
            </w:pPr>
            <w:r>
              <w:rPr>
                <w:spacing w:val="-1"/>
              </w:rPr>
              <w:t>NETs调控脑缺血损伤的机制研究</w:t>
            </w:r>
          </w:p>
        </w:tc>
        <w:tc>
          <w:tcPr>
            <w:tcW w:w="373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9"/>
              <w:spacing w:before="172" w:line="216" w:lineRule="auto"/>
              <w:rPr/>
            </w:pPr>
            <w:r>
              <w:rPr>
                <w:spacing w:val="-1"/>
              </w:rPr>
              <w:t>Denorme et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al.,JClin</w:t>
            </w:r>
            <w:r>
              <w:rPr>
                <w:spacing w:val="28"/>
              </w:rPr>
              <w:t xml:space="preserve"> </w:t>
            </w:r>
            <w:r>
              <w:rPr>
                <w:spacing w:val="-1"/>
              </w:rPr>
              <w:t>Invest</w:t>
            </w:r>
          </w:p>
        </w:tc>
        <w:tc>
          <w:tcPr>
            <w:tcW w:w="1438" w:type="dxa"/>
            <w:vAlign w:val="top"/>
            <w:tcBorders>
              <w:left w:val="nil"/>
            </w:tcBorders>
          </w:tcPr>
          <w:p>
            <w:pPr>
              <w:pStyle w:val="TableText"/>
              <w:ind w:left="118"/>
              <w:spacing w:before="176" w:line="221" w:lineRule="auto"/>
              <w:rPr/>
            </w:pPr>
            <w:r>
              <w:rPr>
                <w:spacing w:val="6"/>
              </w:rPr>
              <w:t>347引用</w:t>
            </w:r>
          </w:p>
        </w:tc>
      </w:tr>
      <w:tr>
        <w:trPr>
          <w:trHeight w:val="729" w:hRule="atLeast"/>
        </w:trPr>
        <w:tc>
          <w:tcPr>
            <w:tcW w:w="833" w:type="dxa"/>
            <w:vAlign w:val="top"/>
            <w:tcBorders>
              <w:right w:val="nil"/>
            </w:tcBorders>
          </w:tcPr>
          <w:p>
            <w:pPr>
              <w:pStyle w:val="TableText"/>
              <w:ind w:left="284"/>
              <w:spacing w:before="287"/>
              <w:rPr/>
            </w:pPr>
            <w:r>
              <w:rPr>
                <w:spacing w:val="-3"/>
              </w:rPr>
              <w:t>2023</w:t>
            </w:r>
          </w:p>
        </w:tc>
        <w:tc>
          <w:tcPr>
            <w:tcW w:w="41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36" w:right="295" w:firstLine="2"/>
              <w:spacing w:before="175" w:line="239" w:lineRule="auto"/>
              <w:rPr/>
            </w:pPr>
            <w:r>
              <w:rPr>
                <w:spacing w:val="-2"/>
              </w:rPr>
              <w:t>中性粒细胞异质性及其在炎症网络中的作</w:t>
            </w:r>
            <w:r>
              <w:rPr>
                <w:spacing w:val="7"/>
              </w:rPr>
              <w:t xml:space="preserve"> </w:t>
            </w:r>
            <w:r>
              <w:rPr/>
              <w:t>用</w:t>
            </w:r>
          </w:p>
        </w:tc>
        <w:tc>
          <w:tcPr>
            <w:tcW w:w="373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9"/>
              <w:spacing w:before="287" w:line="239" w:lineRule="auto"/>
              <w:rPr/>
            </w:pPr>
            <w:r>
              <w:rPr>
                <w:spacing w:val="-4"/>
              </w:rPr>
              <w:t>Xie</w:t>
            </w:r>
            <w:r>
              <w:rPr>
                <w:spacing w:val="52"/>
              </w:rPr>
              <w:t xml:space="preserve"> </w:t>
            </w:r>
            <w:r>
              <w:rPr>
                <w:spacing w:val="-4"/>
              </w:rPr>
              <w:t>et</w:t>
            </w:r>
            <w:r>
              <w:rPr>
                <w:spacing w:val="45"/>
              </w:rPr>
              <w:t xml:space="preserve"> </w:t>
            </w:r>
            <w:r>
              <w:rPr>
                <w:spacing w:val="-4"/>
              </w:rPr>
              <w:t>al.</w:t>
            </w:r>
          </w:p>
        </w:tc>
        <w:tc>
          <w:tcPr>
            <w:tcW w:w="1438" w:type="dxa"/>
            <w:vAlign w:val="top"/>
            <w:tcBorders>
              <w:left w:val="nil"/>
            </w:tcBorders>
          </w:tcPr>
          <w:p>
            <w:pPr>
              <w:pStyle w:val="TableText"/>
              <w:ind w:left="118"/>
              <w:spacing w:before="267" w:line="221" w:lineRule="auto"/>
              <w:rPr/>
            </w:pPr>
            <w:r>
              <w:rPr>
                <w:spacing w:val="6"/>
              </w:rPr>
              <w:t>42引用</w:t>
            </w:r>
          </w:p>
        </w:tc>
      </w:tr>
      <w:tr>
        <w:trPr>
          <w:trHeight w:val="849" w:hRule="atLeast"/>
        </w:trPr>
        <w:tc>
          <w:tcPr>
            <w:tcW w:w="833" w:type="dxa"/>
            <w:vAlign w:val="top"/>
            <w:tcBorders>
              <w:right w:val="nil"/>
            </w:tcBorders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4"/>
              <w:spacing w:before="68"/>
              <w:rPr/>
            </w:pPr>
            <w:r>
              <w:rPr>
                <w:spacing w:val="-3"/>
              </w:rPr>
              <w:t>2025</w:t>
            </w:r>
          </w:p>
        </w:tc>
        <w:tc>
          <w:tcPr>
            <w:tcW w:w="41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6" w:right="295" w:hanging="17"/>
              <w:spacing w:before="256" w:line="256" w:lineRule="auto"/>
              <w:rPr/>
            </w:pPr>
            <w:r>
              <w:rPr>
                <w:spacing w:val="-2"/>
              </w:rPr>
              <w:t>中性粒细胞动员触发小胶质细胞功能改变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加剧损伤</w:t>
            </w:r>
          </w:p>
        </w:tc>
        <w:tc>
          <w:tcPr>
            <w:tcW w:w="3731" w:type="dxa"/>
            <w:vAlign w:val="top"/>
            <w:tcBorders>
              <w:left w:val="nil"/>
              <w:right w:val="nil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9"/>
              <w:spacing w:before="69" w:line="216" w:lineRule="auto"/>
              <w:rPr/>
            </w:pPr>
            <w:r>
              <w:rPr>
                <w:spacing w:val="-3"/>
              </w:rPr>
              <w:t>Jin</w:t>
            </w:r>
            <w:r>
              <w:rPr>
                <w:spacing w:val="31"/>
              </w:rPr>
              <w:t xml:space="preserve"> </w:t>
            </w:r>
            <w:r>
              <w:rPr>
                <w:spacing w:val="-3"/>
              </w:rPr>
              <w:t>et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al.,Adv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Sci</w:t>
            </w:r>
          </w:p>
        </w:tc>
        <w:tc>
          <w:tcPr>
            <w:tcW w:w="1438" w:type="dxa"/>
            <w:vAlign w:val="top"/>
            <w:tcBorders>
              <w:left w:val="nil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8"/>
              <w:spacing w:before="69" w:line="219" w:lineRule="auto"/>
              <w:rPr/>
            </w:pPr>
            <w:r>
              <w:rPr>
                <w:spacing w:val="3"/>
              </w:rPr>
              <w:t>新近高影响</w:t>
            </w:r>
          </w:p>
        </w:tc>
      </w:tr>
      <w:tr>
        <w:trPr>
          <w:trHeight w:val="504" w:hRule="atLeast"/>
        </w:trPr>
        <w:tc>
          <w:tcPr>
            <w:tcW w:w="833" w:type="dxa"/>
            <w:vAlign w:val="top"/>
            <w:tcBorders>
              <w:right w:val="nil"/>
            </w:tcBorders>
          </w:tcPr>
          <w:p>
            <w:pPr>
              <w:pStyle w:val="TableText"/>
              <w:ind w:left="284"/>
              <w:spacing w:before="178"/>
              <w:rPr/>
            </w:pPr>
            <w:r>
              <w:rPr>
                <w:spacing w:val="-3"/>
              </w:rPr>
              <w:t>2025</w:t>
            </w:r>
          </w:p>
        </w:tc>
        <w:tc>
          <w:tcPr>
            <w:tcW w:w="41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51"/>
              <w:spacing w:before="159" w:line="220" w:lineRule="auto"/>
              <w:rPr/>
            </w:pPr>
            <w:r>
              <w:rPr>
                <w:spacing w:val="-1"/>
              </w:rPr>
              <w:t>单细胞图谱揭示中性粒细胞命运与功能</w:t>
            </w:r>
          </w:p>
        </w:tc>
        <w:tc>
          <w:tcPr>
            <w:tcW w:w="373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9"/>
              <w:spacing w:before="151" w:line="214" w:lineRule="auto"/>
              <w:rPr/>
            </w:pPr>
            <w:r>
              <w:rPr>
                <w:spacing w:val="-3"/>
              </w:rPr>
              <w:t>Zhang</w:t>
            </w:r>
            <w:r>
              <w:rPr>
                <w:spacing w:val="50"/>
              </w:rPr>
              <w:t xml:space="preserve"> </w:t>
            </w:r>
            <w:r>
              <w:rPr>
                <w:spacing w:val="-3"/>
              </w:rPr>
              <w:t>et</w:t>
            </w:r>
            <w:r>
              <w:rPr>
                <w:spacing w:val="45"/>
              </w:rPr>
              <w:t xml:space="preserve"> </w:t>
            </w:r>
            <w:r>
              <w:rPr>
                <w:spacing w:val="-3"/>
              </w:rPr>
              <w:t>al.</w:t>
            </w:r>
          </w:p>
        </w:tc>
        <w:tc>
          <w:tcPr>
            <w:tcW w:w="1438" w:type="dxa"/>
            <w:vAlign w:val="top"/>
            <w:tcBorders>
              <w:left w:val="nil"/>
            </w:tcBorders>
          </w:tcPr>
          <w:p>
            <w:pPr>
              <w:pStyle w:val="TableText"/>
              <w:ind w:left="118"/>
              <w:spacing w:before="159" w:line="221" w:lineRule="auto"/>
              <w:rPr/>
            </w:pPr>
            <w:r>
              <w:rPr>
                <w:spacing w:val="4"/>
              </w:rPr>
              <w:t>前沿</w:t>
            </w:r>
          </w:p>
        </w:tc>
      </w:tr>
    </w:tbl>
    <w:p>
      <w:pPr>
        <w:spacing w:line="442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98" w:line="222" w:lineRule="auto"/>
        <w:outlineLvl w:val="2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1"/>
        </w:rPr>
        <w:t>2.</w:t>
      </w:r>
      <w:r>
        <w:rPr>
          <w:sz w:val="30"/>
          <w:szCs w:val="30"/>
          <w:b/>
          <w:bCs/>
          <w:spacing w:val="-1"/>
        </w:rPr>
        <w:t>中性粒细胞在急性期与慢性期的功能对比</w:t>
      </w:r>
    </w:p>
    <w:p>
      <w:pPr>
        <w:spacing w:line="201" w:lineRule="exact"/>
        <w:rPr/>
      </w:pPr>
      <w:r/>
    </w:p>
    <w:tbl>
      <w:tblPr>
        <w:tblStyle w:val="TableNormal"/>
        <w:tblW w:w="102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44"/>
        <w:gridCol w:w="3197"/>
        <w:gridCol w:w="2976"/>
        <w:gridCol w:w="3032"/>
      </w:tblGrid>
      <w:tr>
        <w:trPr>
          <w:trHeight w:val="389" w:hRule="atLeast"/>
        </w:trPr>
        <w:tc>
          <w:tcPr>
            <w:tcW w:w="10249" w:type="dxa"/>
            <w:vAlign w:val="top"/>
            <w:gridSpan w:val="4"/>
            <w:tcBorders>
              <w:top w:val="nil"/>
            </w:tcBorders>
          </w:tcPr>
          <w:p>
            <w:pPr>
              <w:pStyle w:val="TableText"/>
              <w:ind w:left="18"/>
              <w:spacing w:before="86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表2:急性期vs.慢性期中性粒细胞功能全景对比</w:t>
            </w:r>
          </w:p>
        </w:tc>
      </w:tr>
      <w:tr>
        <w:trPr>
          <w:trHeight w:val="1317" w:hRule="atLeast"/>
        </w:trPr>
        <w:tc>
          <w:tcPr>
            <w:tcW w:w="1044" w:type="dxa"/>
            <w:vAlign w:val="top"/>
            <w:tcBorders>
              <w:right w:val="nil"/>
            </w:tcBorders>
          </w:tcPr>
          <w:p>
            <w:pPr>
              <w:pStyle w:val="TableText"/>
              <w:ind w:left="164"/>
              <w:spacing w:before="190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特征</w:t>
            </w:r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5" w:right="291"/>
              <w:spacing w:before="71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募集峰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值</w:t>
            </w:r>
          </w:p>
        </w:tc>
        <w:tc>
          <w:tcPr>
            <w:tcW w:w="319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9"/>
              <w:spacing w:before="187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2"/>
              </w:rPr>
              <w:t>急性期(0-7天)</w:t>
            </w:r>
          </w:p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0"/>
              <w:spacing w:before="71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1-3天</w:t>
            </w:r>
          </w:p>
        </w:tc>
        <w:tc>
          <w:tcPr>
            <w:tcW w:w="29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02"/>
              <w:spacing w:before="187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1"/>
              </w:rPr>
              <w:t>慢性期(&gt;7天至数月)</w:t>
            </w:r>
          </w:p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8"/>
              <w:spacing w:before="7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持续低水平浸润或清除</w:t>
            </w:r>
          </w:p>
        </w:tc>
        <w:tc>
          <w:tcPr>
            <w:tcW w:w="3032" w:type="dxa"/>
            <w:vAlign w:val="top"/>
            <w:tcBorders>
              <w:left w:val="nil"/>
            </w:tcBorders>
          </w:tcPr>
          <w:p>
            <w:pPr>
              <w:pStyle w:val="TableText"/>
              <w:ind w:left="186"/>
              <w:spacing w:before="187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主要通路/分子</w:t>
            </w:r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2"/>
              <w:spacing w:before="71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CXCR2,ICAM-1,selectins</w:t>
            </w:r>
          </w:p>
        </w:tc>
      </w:tr>
      <w:tr>
        <w:trPr>
          <w:trHeight w:val="532" w:hRule="atLeast"/>
        </w:trPr>
        <w:tc>
          <w:tcPr>
            <w:tcW w:w="1044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164"/>
              <w:spacing w:before="264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6"/>
              </w:rPr>
              <w:t>主导表</w:t>
            </w:r>
          </w:p>
        </w:tc>
        <w:tc>
          <w:tcPr>
            <w:tcW w:w="3197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195"/>
              <w:spacing w:before="301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N1促炎型为主(约70-80%)</w:t>
            </w:r>
          </w:p>
        </w:tc>
        <w:tc>
          <w:tcPr>
            <w:tcW w:w="2976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388"/>
              <w:spacing w:before="282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N2修复型比例上升(可达</w:t>
            </w:r>
          </w:p>
        </w:tc>
        <w:tc>
          <w:tcPr>
            <w:tcW w:w="3032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192"/>
              <w:spacing w:before="269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NF-KB↑,STAT3/STAT6切</w:t>
            </w:r>
          </w:p>
        </w:tc>
      </w:tr>
      <w:tr>
        <w:trPr>
          <w:trHeight w:val="277" w:hRule="atLeast"/>
        </w:trPr>
        <w:tc>
          <w:tcPr>
            <w:tcW w:w="1044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164"/>
              <w:spacing w:before="29" w:line="1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型</w:t>
            </w:r>
          </w:p>
        </w:tc>
        <w:tc>
          <w:tcPr>
            <w:tcW w:w="3197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76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left="388"/>
              <w:spacing w:before="34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40-60%)</w:t>
            </w:r>
          </w:p>
        </w:tc>
        <w:tc>
          <w:tcPr>
            <w:tcW w:w="3032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192"/>
              <w:spacing w:before="21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换</w:t>
            </w:r>
          </w:p>
        </w:tc>
      </w:tr>
      <w:tr>
        <w:trPr>
          <w:trHeight w:val="888" w:hRule="atLeast"/>
        </w:trPr>
        <w:tc>
          <w:tcPr>
            <w:tcW w:w="1044" w:type="dxa"/>
            <w:vAlign w:val="top"/>
            <w:tcBorders>
              <w:right w:val="nil"/>
            </w:tcBorders>
          </w:tcPr>
          <w:p>
            <w:pPr>
              <w:pStyle w:val="TableText"/>
              <w:ind w:left="164" w:right="194"/>
              <w:spacing w:before="274" w:line="24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6"/>
              </w:rPr>
              <w:t>主要效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应</w:t>
            </w:r>
          </w:p>
        </w:tc>
        <w:tc>
          <w:tcPr>
            <w:tcW w:w="319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5" w:right="441"/>
              <w:spacing w:before="282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BBB破坏个(通透性增加2-5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2"/>
              </w:rPr>
              <w:t>倍)、脑水肿、神经元凋亡</w:t>
            </w:r>
          </w:p>
        </w:tc>
        <w:tc>
          <w:tcPr>
            <w:tcW w:w="29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68" w:right="194"/>
              <w:spacing w:before="273"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碎片吞噬、血管重塑、胶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spacing w:val="3"/>
              </w:rPr>
              <w:t>质瘢痕调控</w:t>
            </w:r>
          </w:p>
        </w:tc>
        <w:tc>
          <w:tcPr>
            <w:tcW w:w="3032" w:type="dxa"/>
            <w:vAlign w:val="top"/>
            <w:tcBorders>
              <w:left w:val="nil"/>
            </w:tcBorders>
          </w:tcPr>
          <w:p>
            <w:pPr>
              <w:pStyle w:val="TableText"/>
              <w:ind w:left="192"/>
              <w:spacing w:before="276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MMP-9个，NETs,Arg1个，</w:t>
            </w:r>
          </w:p>
          <w:p>
            <w:pPr>
              <w:pStyle w:val="TableText"/>
              <w:ind w:left="192"/>
              <w:spacing w:before="89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VEGF</w:t>
            </w:r>
          </w:p>
        </w:tc>
      </w:tr>
      <w:tr>
        <w:trPr>
          <w:trHeight w:val="749" w:hRule="atLeast"/>
        </w:trPr>
        <w:tc>
          <w:tcPr>
            <w:tcW w:w="1044" w:type="dxa"/>
            <w:vAlign w:val="top"/>
            <w:tcBorders>
              <w:right w:val="nil"/>
            </w:tcBorders>
          </w:tcPr>
          <w:p>
            <w:pPr>
              <w:pStyle w:val="TableText"/>
              <w:ind w:left="174" w:right="191"/>
              <w:spacing w:before="205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与小胶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质交互</w:t>
            </w:r>
          </w:p>
        </w:tc>
        <w:tc>
          <w:tcPr>
            <w:tcW w:w="319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5"/>
              <w:spacing w:before="27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激活促炎小胶质、抑制吞噬</w:t>
            </w:r>
          </w:p>
        </w:tc>
        <w:tc>
          <w:tcPr>
            <w:tcW w:w="29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8" w:right="147"/>
              <w:spacing w:before="205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被小胶质吞噬清除或协同</w:t>
            </w:r>
            <w:r>
              <w:rPr>
                <w:sz w:val="22"/>
                <w:szCs w:val="22"/>
                <w:spacing w:val="6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修复</w:t>
            </w:r>
          </w:p>
        </w:tc>
        <w:tc>
          <w:tcPr>
            <w:tcW w:w="3032" w:type="dxa"/>
            <w:vAlign w:val="top"/>
            <w:tcBorders>
              <w:left w:val="nil"/>
            </w:tcBorders>
          </w:tcPr>
          <w:p>
            <w:pPr>
              <w:pStyle w:val="TableText"/>
              <w:ind w:left="172" w:right="674"/>
              <w:spacing w:before="212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IL-1β,TNF-</w:t>
            </w:r>
            <w:r>
              <w:rPr>
                <w:sz w:val="22"/>
                <w:szCs w:val="22"/>
                <w:spacing w:val="-47"/>
              </w:rPr>
              <w:t xml:space="preserve"> </w:t>
            </w:r>
            <w:r>
              <w:rPr>
                <w:sz w:val="22"/>
                <w:szCs w:val="22"/>
                <w:spacing w:val="-5"/>
              </w:rPr>
              <w:t>α→NLRP3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inflammasome</w:t>
            </w:r>
          </w:p>
        </w:tc>
      </w:tr>
      <w:tr>
        <w:trPr>
          <w:trHeight w:val="803" w:hRule="atLeast"/>
        </w:trPr>
        <w:tc>
          <w:tcPr>
            <w:tcW w:w="1044" w:type="dxa"/>
            <w:vAlign w:val="top"/>
            <w:tcBorders>
              <w:right w:val="nil"/>
            </w:tcBorders>
          </w:tcPr>
          <w:p>
            <w:pPr>
              <w:pStyle w:val="TableText"/>
              <w:ind w:left="164"/>
              <w:spacing w:before="297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净效应</w:t>
            </w:r>
          </w:p>
        </w:tc>
        <w:tc>
          <w:tcPr>
            <w:tcW w:w="319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5" w:right="369"/>
              <w:spacing w:before="266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加重损伤(梗死体积增大30-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50%)</w:t>
            </w:r>
          </w:p>
        </w:tc>
        <w:tc>
          <w:tcPr>
            <w:tcW w:w="297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88" w:right="284"/>
              <w:spacing w:before="266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潜在保护(神经功能评分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spacing w:val="4"/>
              </w:rPr>
              <w:t>改善约20-40%)</w:t>
            </w:r>
          </w:p>
        </w:tc>
        <w:tc>
          <w:tcPr>
            <w:tcW w:w="3032" w:type="dxa"/>
            <w:vAlign w:val="top"/>
            <w:tcBorders>
              <w:left w:val="nil"/>
            </w:tcBorders>
          </w:tcPr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2"/>
              <w:spacing w:before="71" w:line="17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t>一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2240" w:h="15840"/>
          <w:pgMar w:top="1195" w:right="1005" w:bottom="0" w:left="975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right="45"/>
        <w:spacing w:before="46" w:line="305" w:lineRule="auto"/>
        <w:rPr>
          <w:rFonts w:ascii="SimSun" w:hAnsi="SimSun" w:eastAsia="SimSun" w:cs="SimSun"/>
        </w:rPr>
      </w:pPr>
      <w:r>
        <w:rPr/>
        <w:t>研究表明，急性期中性粒细胞主要通过</w:t>
      </w:r>
      <w:r>
        <w:rPr>
          <w:rFonts w:ascii="SimSun" w:hAnsi="SimSun" w:eastAsia="SimSun" w:cs="SimSun"/>
        </w:rPr>
        <w:t>CXCR2</w:t>
      </w:r>
      <w:r>
        <w:rPr>
          <w:rFonts w:ascii="SimSun" w:hAnsi="SimSun" w:eastAsia="SimSun" w:cs="SimSun"/>
          <w:spacing w:val="109"/>
        </w:rPr>
        <w:t xml:space="preserve"> </w:t>
      </w:r>
      <w:r>
        <w:rPr/>
        <w:t>介导的趋化、</w:t>
      </w:r>
      <w:r>
        <w:rPr>
          <w:rFonts w:ascii="SimSun" w:hAnsi="SimSun" w:eastAsia="SimSun" w:cs="SimSun"/>
        </w:rPr>
        <w:t>CD11b/ICAM-1</w:t>
      </w:r>
      <w:r>
        <w:rPr>
          <w:rFonts w:ascii="SimSun" w:hAnsi="SimSun" w:eastAsia="SimSun" w:cs="SimSun"/>
          <w:spacing w:val="88"/>
        </w:rPr>
        <w:t xml:space="preserve"> </w:t>
      </w:r>
      <w:r>
        <w:rPr/>
        <w:t>介导的黏附跨内皮迁</w:t>
      </w:r>
      <w:r>
        <w:rPr/>
        <w:t xml:space="preserve"> </w:t>
      </w:r>
      <w:r>
        <w:rPr>
          <w:spacing w:val="-2"/>
        </w:rPr>
        <w:t>移进入脑实质，随后释放</w:t>
      </w:r>
      <w:r>
        <w:rPr>
          <w:rFonts w:ascii="SimSun" w:hAnsi="SimSun" w:eastAsia="SimSun" w:cs="SimSun"/>
          <w:spacing w:val="-2"/>
        </w:rPr>
        <w:t>NETs、 </w:t>
      </w:r>
      <w:r>
        <w:rPr>
          <w:spacing w:val="-2"/>
        </w:rPr>
        <w:t>弹性蛋白酶及</w:t>
      </w:r>
      <w:r>
        <w:rPr>
          <w:rFonts w:ascii="SimSun" w:hAnsi="SimSun" w:eastAsia="SimSun" w:cs="SimSun"/>
          <w:spacing w:val="-2"/>
        </w:rPr>
        <w:t>MMP-9,   </w:t>
      </w:r>
      <w:r>
        <w:rPr>
          <w:spacing w:val="-2"/>
        </w:rPr>
        <w:t>导致</w:t>
      </w:r>
      <w:r>
        <w:rPr>
          <w:rFonts w:ascii="SimSun" w:hAnsi="SimSun" w:eastAsia="SimSun" w:cs="SimSun"/>
          <w:spacing w:val="-2"/>
        </w:rPr>
        <w:t>BBB </w:t>
      </w:r>
      <w:r>
        <w:rPr>
          <w:spacing w:val="-2"/>
        </w:rPr>
        <w:t>通透性显著升高</w:t>
      </w:r>
      <w:r>
        <w:rPr>
          <w:spacing w:val="-3"/>
        </w:rPr>
        <w:t xml:space="preserve"> </w:t>
      </w:r>
      <w:r>
        <w:rPr>
          <w:rFonts w:ascii="SimSun" w:hAnsi="SimSun" w:eastAsia="SimSun" w:cs="SimSun"/>
          <w:spacing w:val="-3"/>
        </w:rPr>
        <w:t>(Kang et al.,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"/>
        </w:rPr>
        <w:t>2020;Denorme   et   al.,2022)。NETs</w:t>
      </w:r>
      <w:r>
        <w:rPr>
          <w:spacing w:val="-1"/>
        </w:rPr>
        <w:t>不仅促进血栓稳定化，还可激活</w:t>
      </w:r>
      <w:r>
        <w:rPr>
          <w:rFonts w:ascii="SimSun" w:hAnsi="SimSun" w:eastAsia="SimSun" w:cs="SimSun"/>
          <w:spacing w:val="-1"/>
        </w:rPr>
        <w:t>NLRP3    inflammasome,</w:t>
      </w:r>
      <w:r>
        <w:rPr>
          <w:rFonts w:ascii="SimSun" w:hAnsi="SimSun" w:eastAsia="SimSun" w:cs="SimSun"/>
          <w:spacing w:val="13"/>
        </w:rPr>
        <w:t xml:space="preserve"> </w:t>
      </w:r>
      <w:r>
        <w:rPr>
          <w:spacing w:val="-1"/>
        </w:rPr>
        <w:t>进一步放大炎症级联</w:t>
      </w:r>
      <w:r>
        <w:rPr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(He    et     al.,2025)</w:t>
      </w:r>
      <w:r>
        <w:rPr>
          <w:rFonts w:ascii="SimSun" w:hAnsi="SimSun" w:eastAsia="SimSun" w:cs="SimSun"/>
          <w:spacing w:val="-1"/>
        </w:rPr>
        <w:t>。</w:t>
      </w:r>
      <w:r>
        <w:rPr>
          <w:spacing w:val="-1"/>
        </w:rPr>
        <w:t>相反，慢性期部</w:t>
      </w:r>
      <w:r>
        <w:rPr>
          <w:spacing w:val="-2"/>
        </w:rPr>
        <w:t>分中性粒细胞在</w:t>
      </w:r>
      <w:r>
        <w:rPr>
          <w:rFonts w:ascii="Times New Roman" w:hAnsi="Times New Roman" w:eastAsia="Times New Roman" w:cs="Times New Roman"/>
          <w:spacing w:val="-2"/>
        </w:rPr>
        <w:t>TGF-β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IL-4/IL-13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 </w:t>
      </w:r>
      <w:r>
        <w:rPr>
          <w:spacing w:val="-2"/>
        </w:rPr>
        <w:t>等</w:t>
      </w:r>
      <w:r>
        <w:rPr/>
        <w:t xml:space="preserve">  </w:t>
      </w:r>
      <w:r>
        <w:rPr>
          <w:spacing w:val="-3"/>
        </w:rPr>
        <w:t>信号下向</w:t>
      </w:r>
      <w:r>
        <w:rPr>
          <w:rFonts w:ascii="SimSun" w:hAnsi="SimSun" w:eastAsia="SimSun" w:cs="SimSun"/>
          <w:spacing w:val="-3"/>
        </w:rPr>
        <w:t>N2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-3"/>
        </w:rPr>
        <w:t>表型转换，表达</w:t>
      </w:r>
      <w:r>
        <w:rPr>
          <w:rFonts w:ascii="SimSun" w:hAnsi="SimSun" w:eastAsia="SimSun" w:cs="SimSun"/>
          <w:spacing w:val="-3"/>
        </w:rPr>
        <w:t>Arg1、CD206</w:t>
      </w:r>
      <w:r>
        <w:rPr>
          <w:rFonts w:ascii="SimSun" w:hAnsi="SimSun" w:eastAsia="SimSun" w:cs="SimSun"/>
          <w:spacing w:val="112"/>
        </w:rPr>
        <w:t xml:space="preserve"> </w:t>
      </w:r>
      <w:r>
        <w:rPr>
          <w:spacing w:val="-3"/>
        </w:rPr>
        <w:t>及</w:t>
      </w:r>
      <w:r>
        <w:rPr>
          <w:rFonts w:ascii="SimSun" w:hAnsi="SimSun" w:eastAsia="SimSun" w:cs="SimSun"/>
          <w:spacing w:val="-3"/>
        </w:rPr>
        <w:t>VEGF,  </w:t>
      </w:r>
      <w:r>
        <w:rPr>
          <w:spacing w:val="-3"/>
        </w:rPr>
        <w:t>促进血管</w:t>
      </w:r>
      <w:r>
        <w:rPr>
          <w:spacing w:val="-4"/>
        </w:rPr>
        <w:t>新生与组织修复</w:t>
      </w:r>
      <w:r>
        <w:rPr>
          <w:spacing w:val="-4"/>
        </w:rPr>
        <w:t xml:space="preserve"> </w:t>
      </w:r>
      <w:r>
        <w:rPr>
          <w:rFonts w:ascii="SimSun" w:hAnsi="SimSun" w:eastAsia="SimSun" w:cs="SimSun"/>
          <w:spacing w:val="-4"/>
        </w:rPr>
        <w:t>(Xie et al.,</w:t>
      </w:r>
    </w:p>
    <w:p>
      <w:pPr>
        <w:spacing w:line="395" w:lineRule="exact"/>
        <w:rPr>
          <w:rFonts w:ascii="SimSun" w:hAnsi="SimSun" w:eastAsia="SimSun" w:cs="SimSun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spacing w:val="-1"/>
          <w:position w:val="4"/>
        </w:rPr>
        <w:t>2023;Li et al.,2025)</w:t>
      </w:r>
      <w:r>
        <w:rPr>
          <w:rFonts w:ascii="SimSun" w:hAnsi="SimSun" w:eastAsia="SimSun" w:cs="SimSun"/>
          <w:sz w:val="29"/>
          <w:szCs w:val="29"/>
          <w:spacing w:val="-1"/>
          <w:position w:val="4"/>
        </w:rPr>
        <w:t>。</w:t>
      </w:r>
    </w:p>
    <w:p>
      <w:pPr>
        <w:spacing w:line="404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5" w:line="221" w:lineRule="auto"/>
        <w:outlineLvl w:val="2"/>
        <w:rPr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4"/>
        </w:rPr>
        <w:t>3.</w:t>
      </w:r>
      <w:r>
        <w:rPr>
          <w:rFonts w:ascii="SimSun" w:hAnsi="SimSun" w:eastAsia="SimSun" w:cs="SimSun"/>
          <w:sz w:val="29"/>
          <w:szCs w:val="29"/>
          <w:spacing w:val="-64"/>
        </w:rPr>
        <w:t xml:space="preserve"> </w:t>
      </w:r>
      <w:r>
        <w:rPr>
          <w:sz w:val="29"/>
          <w:szCs w:val="29"/>
          <w:b/>
          <w:bCs/>
          <w:spacing w:val="4"/>
        </w:rPr>
        <w:t>中性粒细胞亚群及其特征</w:t>
      </w:r>
    </w:p>
    <w:p>
      <w:pPr>
        <w:pStyle w:val="BodyText"/>
        <w:ind w:left="3"/>
        <w:spacing w:before="231" w:line="221" w:lineRule="auto"/>
        <w:rPr/>
      </w:pPr>
      <w:r>
        <w:rPr>
          <w:b/>
          <w:bCs/>
          <w:spacing w:val="5"/>
        </w:rPr>
        <w:t>表3:潜在中性粒细胞亚群及其假定特征汇总</w:t>
      </w:r>
    </w:p>
    <w:p>
      <w:pPr>
        <w:spacing w:line="63" w:lineRule="exact"/>
        <w:rPr/>
      </w:pPr>
      <w:r/>
    </w:p>
    <w:tbl>
      <w:tblPr>
        <w:tblStyle w:val="TableNormal"/>
        <w:tblW w:w="10199" w:type="dxa"/>
        <w:tblInd w:w="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357"/>
        <w:gridCol w:w="2964"/>
        <w:gridCol w:w="2051"/>
        <w:gridCol w:w="1878"/>
        <w:gridCol w:w="949"/>
      </w:tblGrid>
      <w:tr>
        <w:trPr>
          <w:trHeight w:val="1612" w:hRule="atLeast"/>
        </w:trPr>
        <w:tc>
          <w:tcPr>
            <w:tcW w:w="2357" w:type="dxa"/>
            <w:vAlign w:val="top"/>
            <w:tcBorders>
              <w:right w:val="nil"/>
            </w:tcBorders>
          </w:tcPr>
          <w:p>
            <w:pPr>
              <w:pStyle w:val="TableText"/>
              <w:ind w:left="268"/>
              <w:spacing w:before="30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亚群</w:t>
            </w:r>
          </w:p>
          <w:p>
            <w:pPr>
              <w:spacing w:line="4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5"/>
              <w:spacing w:before="7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N1促炎型</w:t>
            </w:r>
          </w:p>
        </w:tc>
        <w:tc>
          <w:tcPr>
            <w:tcW w:w="296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13"/>
              <w:spacing w:before="304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标志物组合</w:t>
            </w:r>
          </w:p>
          <w:p>
            <w:pPr>
              <w:spacing w:line="4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3" w:right="997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CD11b↑,CD62L↓,</w:t>
            </w:r>
            <w:r>
              <w:rPr>
                <w:sz w:val="22"/>
                <w:szCs w:val="22"/>
                <w:spacing w:val="6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CXCR4个</w:t>
            </w:r>
          </w:p>
        </w:tc>
        <w:tc>
          <w:tcPr>
            <w:tcW w:w="205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32"/>
              <w:spacing w:before="302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主要功能</w:t>
            </w:r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8"/>
              <w:spacing w:before="71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ROS、NETs、</w:t>
            </w:r>
          </w:p>
          <w:p>
            <w:pPr>
              <w:pStyle w:val="TableText"/>
              <w:ind w:left="128"/>
              <w:spacing w:before="8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MM</w:t>
            </w:r>
            <w:r>
              <w:rPr>
                <w:sz w:val="22"/>
                <w:szCs w:val="22"/>
                <w:spacing w:val="-65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z w:val="22"/>
                <w:szCs w:val="22"/>
                <w:spacing w:val="-63"/>
              </w:rPr>
              <w:t xml:space="preserve"> </w:t>
            </w:r>
            <w:r>
              <w:rPr>
                <w:sz w:val="22"/>
                <w:szCs w:val="22"/>
                <w:spacing w:val="24"/>
              </w:rPr>
              <w:t>-</w:t>
            </w:r>
            <w:r>
              <w:rPr>
                <w:sz w:val="22"/>
                <w:szCs w:val="22"/>
                <w:spacing w:val="-61"/>
              </w:rPr>
              <w:t xml:space="preserve"> </w:t>
            </w:r>
            <w:r>
              <w:rPr>
                <w:sz w:val="22"/>
                <w:szCs w:val="22"/>
                <w:spacing w:val="24"/>
              </w:rPr>
              <w:t>9释放</w:t>
            </w:r>
          </w:p>
        </w:tc>
        <w:tc>
          <w:tcPr>
            <w:tcW w:w="2827" w:type="dxa"/>
            <w:vAlign w:val="top"/>
            <w:gridSpan w:val="2"/>
            <w:tcBorders>
              <w:left w:val="nil"/>
            </w:tcBorders>
          </w:tcPr>
          <w:p>
            <w:pPr>
              <w:pStyle w:val="TableText"/>
              <w:ind w:left="167" w:right="191"/>
              <w:spacing w:before="255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6"/>
              </w:rPr>
              <w:t>在脑缺血中的作</w:t>
            </w:r>
            <w:r>
              <w:rPr>
                <w:sz w:val="22"/>
                <w:szCs w:val="22"/>
                <w:spacing w:val="91"/>
              </w:rPr>
              <w:t xml:space="preserve"> </w:t>
            </w:r>
            <w:r>
              <w:rPr>
                <w:sz w:val="22"/>
                <w:szCs w:val="22"/>
                <w:spacing w:val="6"/>
                <w:position w:val="1"/>
              </w:rPr>
              <w:t>文献支</w:t>
            </w:r>
            <w:r>
              <w:rPr>
                <w:sz w:val="22"/>
                <w:szCs w:val="22"/>
                <w:position w:val="1"/>
              </w:rPr>
              <w:t xml:space="preserve"> </w:t>
            </w:r>
            <w:r>
              <w:rPr>
                <w:sz w:val="22"/>
                <w:szCs w:val="22"/>
                <w:spacing w:val="3"/>
                <w:position w:val="-1"/>
              </w:rPr>
              <w:t>用              </w:t>
            </w:r>
            <w:r>
              <w:rPr>
                <w:sz w:val="22"/>
                <w:szCs w:val="22"/>
                <w:spacing w:val="3"/>
              </w:rPr>
              <w:t>持度</w:t>
            </w:r>
          </w:p>
          <w:p>
            <w:pPr>
              <w:pStyle w:val="TableText"/>
              <w:ind w:left="167" w:right="788"/>
              <w:spacing w:before="255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加重BBB破坏、  </w:t>
            </w:r>
            <w:r>
              <w:rPr>
                <w:sz w:val="22"/>
                <w:szCs w:val="22"/>
                <w:spacing w:val="-1"/>
                <w:position w:val="-3"/>
              </w:rPr>
              <w:t>高</w:t>
            </w:r>
            <w:r>
              <w:rPr>
                <w:sz w:val="22"/>
                <w:szCs w:val="22"/>
                <w:spacing w:val="5"/>
                <w:position w:val="-3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神经炎症</w:t>
            </w:r>
          </w:p>
        </w:tc>
      </w:tr>
      <w:tr>
        <w:trPr>
          <w:trHeight w:val="818" w:hRule="atLeast"/>
        </w:trPr>
        <w:tc>
          <w:tcPr>
            <w:tcW w:w="2357" w:type="dxa"/>
            <w:vAlign w:val="top"/>
            <w:tcBorders>
              <w:right w:val="nil"/>
            </w:tcBorders>
          </w:tcPr>
          <w:p>
            <w:pPr>
              <w:pStyle w:val="TableText"/>
              <w:ind w:left="265"/>
              <w:spacing w:before="30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N2修复型</w:t>
            </w:r>
          </w:p>
        </w:tc>
        <w:tc>
          <w:tcPr>
            <w:tcW w:w="296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13"/>
              <w:spacing w:before="294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CD206个，Arg1个，IL-10个</w:t>
            </w:r>
          </w:p>
        </w:tc>
        <w:tc>
          <w:tcPr>
            <w:tcW w:w="205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8" w:right="142"/>
              <w:spacing w:before="281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吞噬、抗炎因子分 </w:t>
            </w:r>
            <w:r>
              <w:rPr>
                <w:sz w:val="22"/>
                <w:szCs w:val="22"/>
              </w:rPr>
              <w:t>泌</w:t>
            </w:r>
          </w:p>
        </w:tc>
        <w:tc>
          <w:tcPr>
            <w:tcW w:w="187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7" w:right="188"/>
              <w:spacing w:before="300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促进修复、抑制</w:t>
            </w:r>
            <w:r>
              <w:rPr>
                <w:sz w:val="22"/>
                <w:szCs w:val="22"/>
                <w:spacing w:val="5"/>
              </w:rPr>
              <w:t xml:space="preserve"> </w:t>
            </w:r>
            <w:r>
              <w:rPr>
                <w:sz w:val="22"/>
                <w:szCs w:val="22"/>
                <w:spacing w:val="5"/>
              </w:rPr>
              <w:t>炎症</w:t>
            </w:r>
          </w:p>
        </w:tc>
        <w:tc>
          <w:tcPr>
            <w:tcW w:w="949" w:type="dxa"/>
            <w:vAlign w:val="top"/>
            <w:tcBorders>
              <w:left w:val="nil"/>
            </w:tcBorders>
          </w:tcPr>
          <w:p>
            <w:pPr>
              <w:pStyle w:val="TableText"/>
              <w:ind w:left="199"/>
              <w:spacing w:before="30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</w:rPr>
              <w:t>中高</w:t>
            </w:r>
          </w:p>
        </w:tc>
      </w:tr>
      <w:tr>
        <w:trPr>
          <w:trHeight w:val="828" w:hRule="atLeast"/>
        </w:trPr>
        <w:tc>
          <w:tcPr>
            <w:tcW w:w="2357" w:type="dxa"/>
            <w:vAlign w:val="top"/>
            <w:tcBorders>
              <w:right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5"/>
              <w:spacing w:before="7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9"/>
              </w:rPr>
              <w:t>衰老型(</w:t>
            </w:r>
            <w:r>
              <w:rPr>
                <w:sz w:val="22"/>
                <w:szCs w:val="22"/>
              </w:rPr>
              <w:t>senescent</w:t>
            </w:r>
            <w:r>
              <w:rPr>
                <w:sz w:val="22"/>
                <w:szCs w:val="22"/>
                <w:spacing w:val="9"/>
              </w:rPr>
              <w:t>)</w:t>
            </w:r>
          </w:p>
        </w:tc>
        <w:tc>
          <w:tcPr>
            <w:tcW w:w="296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13"/>
              <w:spacing w:before="306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CXCR4bright/CD62Ldim</w:t>
            </w:r>
          </w:p>
        </w:tc>
        <w:tc>
          <w:tcPr>
            <w:tcW w:w="205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8"/>
              <w:spacing w:before="28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持续促炎、易</w:t>
            </w:r>
          </w:p>
          <w:p>
            <w:pPr>
              <w:pStyle w:val="TableText"/>
              <w:ind w:left="128"/>
              <w:spacing w:before="117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-3"/>
              </w:rPr>
              <w:t>NETosis</w:t>
            </w:r>
          </w:p>
        </w:tc>
        <w:tc>
          <w:tcPr>
            <w:tcW w:w="187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7" w:right="172"/>
              <w:spacing w:before="284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与严重程度正相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关</w:t>
            </w:r>
          </w:p>
        </w:tc>
        <w:tc>
          <w:tcPr>
            <w:tcW w:w="949" w:type="dxa"/>
            <w:vAlign w:val="top"/>
            <w:tcBorders>
              <w:left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"/>
              <w:spacing w:before="7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中</w:t>
            </w:r>
          </w:p>
        </w:tc>
      </w:tr>
      <w:tr>
        <w:trPr>
          <w:trHeight w:val="809" w:hRule="atLeast"/>
        </w:trPr>
        <w:tc>
          <w:tcPr>
            <w:tcW w:w="2357" w:type="dxa"/>
            <w:vAlign w:val="top"/>
            <w:tcBorders>
              <w:right w:val="nil"/>
            </w:tcBorders>
          </w:tcPr>
          <w:p>
            <w:pPr>
              <w:pStyle w:val="TableText"/>
              <w:ind w:left="264" w:right="422" w:hanging="110"/>
              <w:spacing w:before="265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逆向跨内皮迁移型</w:t>
            </w:r>
            <w:r>
              <w:rPr>
                <w:sz w:val="22"/>
                <w:szCs w:val="22"/>
                <w:spacing w:val="5"/>
              </w:rPr>
              <w:t xml:space="preserve"> </w:t>
            </w:r>
            <w:r>
              <w:rPr>
                <w:sz w:val="22"/>
                <w:szCs w:val="22"/>
                <w:spacing w:val="-8"/>
              </w:rPr>
              <w:t>(rTEM)</w:t>
            </w:r>
          </w:p>
        </w:tc>
        <w:tc>
          <w:tcPr>
            <w:tcW w:w="296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13"/>
              <w:spacing w:before="298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CD54high CXCR1low</w:t>
            </w:r>
          </w:p>
        </w:tc>
        <w:tc>
          <w:tcPr>
            <w:tcW w:w="205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8"/>
              <w:spacing w:before="306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血管炎症放大</w:t>
            </w:r>
          </w:p>
        </w:tc>
        <w:tc>
          <w:tcPr>
            <w:tcW w:w="2827" w:type="dxa"/>
            <w:vAlign w:val="top"/>
            <w:gridSpan w:val="2"/>
            <w:tcBorders>
              <w:left w:val="nil"/>
            </w:tcBorders>
          </w:tcPr>
          <w:p>
            <w:pPr>
              <w:pStyle w:val="TableText"/>
              <w:ind w:left="207"/>
              <w:spacing w:before="305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加剧血管炎症</w:t>
            </w:r>
            <w:r>
              <w:rPr>
                <w:sz w:val="22"/>
                <w:szCs w:val="22"/>
                <w:spacing w:val="46"/>
              </w:rPr>
              <w:t xml:space="preserve">  </w:t>
            </w:r>
            <w:r>
              <w:rPr>
                <w:sz w:val="22"/>
                <w:szCs w:val="22"/>
                <w:spacing w:val="-2"/>
              </w:rPr>
              <w:t>中</w:t>
            </w:r>
          </w:p>
        </w:tc>
      </w:tr>
      <w:tr>
        <w:trPr>
          <w:trHeight w:val="813" w:hRule="atLeast"/>
        </w:trPr>
        <w:tc>
          <w:tcPr>
            <w:tcW w:w="2357" w:type="dxa"/>
            <w:vAlign w:val="top"/>
            <w:tcBorders>
              <w:right w:val="nil"/>
            </w:tcBorders>
          </w:tcPr>
          <w:p>
            <w:pPr>
              <w:pStyle w:val="TableText"/>
              <w:ind w:left="265"/>
              <w:spacing w:before="307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晚期保护型</w:t>
            </w:r>
          </w:p>
        </w:tc>
        <w:tc>
          <w:tcPr>
            <w:tcW w:w="296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13"/>
              <w:spacing w:before="307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未完全定义(单细胞提示)</w:t>
            </w:r>
          </w:p>
        </w:tc>
        <w:tc>
          <w:tcPr>
            <w:tcW w:w="205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8"/>
              <w:spacing w:before="305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促进再血管化</w:t>
            </w:r>
          </w:p>
        </w:tc>
        <w:tc>
          <w:tcPr>
            <w:tcW w:w="187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8" w:right="189"/>
              <w:spacing w:before="278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慢性期潜在有益</w:t>
            </w:r>
            <w:r>
              <w:rPr>
                <w:sz w:val="22"/>
                <w:szCs w:val="22"/>
                <w:spacing w:val="3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亚群</w:t>
            </w:r>
          </w:p>
        </w:tc>
        <w:tc>
          <w:tcPr>
            <w:tcW w:w="949" w:type="dxa"/>
            <w:vAlign w:val="top"/>
            <w:tcBorders>
              <w:left w:val="nil"/>
            </w:tcBorders>
          </w:tcPr>
          <w:p>
            <w:pPr>
              <w:pStyle w:val="TableText"/>
              <w:ind w:left="69"/>
              <w:spacing w:before="307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新兴</w:t>
            </w:r>
          </w:p>
        </w:tc>
      </w:tr>
    </w:tbl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right="20"/>
        <w:spacing w:before="79" w:line="333" w:lineRule="auto"/>
        <w:rPr>
          <w:rFonts w:ascii="SimSun" w:hAnsi="SimSun" w:eastAsia="SimSun" w:cs="SimSun"/>
        </w:rPr>
      </w:pPr>
      <w:r>
        <w:rPr>
          <w:spacing w:val="1"/>
        </w:rPr>
        <w:t>单细胞研究显示，脑缺血后中性粒细胞存在显著异质性，</w:t>
      </w:r>
      <w:r>
        <w:rPr>
          <w:rFonts w:ascii="Times New Roman" w:hAnsi="Times New Roman" w:eastAsia="Times New Roman" w:cs="Times New Roman"/>
          <w:spacing w:val="1"/>
        </w:rPr>
        <w:t>N</w:t>
      </w:r>
      <w:r>
        <w:rPr>
          <w:rFonts w:ascii="Times New Roman" w:hAnsi="Times New Roman" w:eastAsia="Times New Roman" w:cs="Times New Roman"/>
        </w:rPr>
        <w:t>1</w:t>
      </w:r>
      <w:r>
        <w:rPr/>
        <w:t>亚群主导急性损伤，而</w:t>
      </w:r>
      <w:r>
        <w:rPr>
          <w:rFonts w:ascii="Times New Roman" w:hAnsi="Times New Roman" w:eastAsia="Times New Roman" w:cs="Times New Roman"/>
        </w:rPr>
        <w:t>N2</w:t>
      </w:r>
      <w:r>
        <w:rPr/>
        <w:t>比例在慢性</w:t>
      </w:r>
      <w:r>
        <w:rPr/>
        <w:t xml:space="preserve"> </w:t>
      </w:r>
      <w:r>
        <w:rPr>
          <w:spacing w:val="-2"/>
        </w:rPr>
        <w:t>期逐渐上升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(Xie et al.,2023;Zhang</w:t>
      </w:r>
      <w:r>
        <w:rPr>
          <w:rFonts w:ascii="SimSun" w:hAnsi="SimSun" w:eastAsia="SimSun" w:cs="SimSun"/>
          <w:spacing w:val="35"/>
        </w:rPr>
        <w:t xml:space="preserve"> </w:t>
      </w:r>
      <w:r>
        <w:rPr>
          <w:rFonts w:ascii="SimSun" w:hAnsi="SimSun" w:eastAsia="SimSun" w:cs="SimSun"/>
          <w:spacing w:val="-2"/>
        </w:rPr>
        <w:t>et</w:t>
      </w:r>
      <w:r>
        <w:rPr>
          <w:rFonts w:ascii="SimSun" w:hAnsi="SimSun" w:eastAsia="SimSun" w:cs="SimSun"/>
          <w:spacing w:val="22"/>
        </w:rPr>
        <w:t xml:space="preserve"> </w:t>
      </w:r>
      <w:r>
        <w:rPr>
          <w:rFonts w:ascii="SimSun" w:hAnsi="SimSun" w:eastAsia="SimSun" w:cs="SimSun"/>
          <w:spacing w:val="-2"/>
        </w:rPr>
        <w:t>al.,2025)。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4" w:line="221" w:lineRule="auto"/>
        <w:outlineLvl w:val="2"/>
        <w:rPr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5"/>
        </w:rPr>
        <w:t>4.</w:t>
      </w:r>
      <w:r>
        <w:rPr>
          <w:rFonts w:ascii="SimSun" w:hAnsi="SimSun" w:eastAsia="SimSun" w:cs="SimSun"/>
          <w:sz w:val="29"/>
          <w:szCs w:val="29"/>
          <w:spacing w:val="-72"/>
        </w:rPr>
        <w:t xml:space="preserve"> </w:t>
      </w:r>
      <w:r>
        <w:rPr>
          <w:sz w:val="29"/>
          <w:szCs w:val="29"/>
          <w:b/>
          <w:bCs/>
          <w:spacing w:val="5"/>
        </w:rPr>
        <w:t>中性粒细胞与其他细胞的互作网络</w:t>
      </w:r>
    </w:p>
    <w:p>
      <w:pPr>
        <w:pStyle w:val="BodyText"/>
        <w:ind w:left="3"/>
        <w:spacing w:before="223" w:line="222" w:lineRule="auto"/>
        <w:rPr/>
      </w:pPr>
      <w:r>
        <w:rPr>
          <w:b/>
          <w:bCs/>
          <w:spacing w:val="8"/>
        </w:rPr>
        <w:t>表4:可能的细胞互作分子清单</w:t>
      </w:r>
    </w:p>
    <w:p>
      <w:pPr>
        <w:spacing w:line="222" w:lineRule="auto"/>
        <w:sectPr>
          <w:pgSz w:w="12240" w:h="15840"/>
          <w:pgMar w:top="1228" w:right="1035" w:bottom="0" w:left="970" w:header="0" w:footer="0" w:gutter="0"/>
        </w:sectPr>
        <w:rPr/>
      </w:pPr>
    </w:p>
    <w:tbl>
      <w:tblPr>
        <w:tblStyle w:val="TableNormal"/>
        <w:tblW w:w="10220" w:type="dxa"/>
        <w:tblInd w:w="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41"/>
        <w:gridCol w:w="3295"/>
        <w:gridCol w:w="2552"/>
        <w:gridCol w:w="3232"/>
      </w:tblGrid>
      <w:tr>
        <w:trPr>
          <w:trHeight w:val="1292" w:hRule="atLeast"/>
        </w:trPr>
        <w:tc>
          <w:tcPr>
            <w:tcW w:w="1141" w:type="dxa"/>
            <w:vAlign w:val="top"/>
            <w:tcBorders>
              <w:right w:val="nil"/>
            </w:tcBorders>
          </w:tcPr>
          <w:p>
            <w:pPr>
              <w:pStyle w:val="TableText"/>
              <w:ind w:left="18"/>
              <w:spacing w:before="181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互作细胞</w:t>
            </w:r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 w:right="107"/>
              <w:spacing w:before="72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小胶质细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胞</w:t>
            </w:r>
          </w:p>
        </w:tc>
        <w:tc>
          <w:tcPr>
            <w:tcW w:w="329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2"/>
              <w:spacing w:before="181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关键分子对</w:t>
            </w:r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8" w:right="186"/>
              <w:spacing w:before="72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IL</w:t>
            </w:r>
            <w:r>
              <w:rPr>
                <w:sz w:val="22"/>
                <w:szCs w:val="22"/>
                <w:spacing w:val="1"/>
              </w:rPr>
              <w:t>-1β/</w:t>
            </w:r>
            <w:r>
              <w:rPr>
                <w:sz w:val="22"/>
                <w:szCs w:val="22"/>
              </w:rPr>
              <w:t>TNF</w:t>
            </w:r>
            <w:r>
              <w:rPr>
                <w:sz w:val="22"/>
                <w:szCs w:val="22"/>
                <w:spacing w:val="1"/>
              </w:rPr>
              <w:t>-</w:t>
            </w:r>
            <w:r>
              <w:rPr>
                <w:sz w:val="22"/>
                <w:szCs w:val="22"/>
                <w:spacing w:val="-40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α</w:t>
            </w:r>
            <w:r>
              <w:rPr>
                <w:sz w:val="22"/>
                <w:szCs w:val="22"/>
                <w:spacing w:val="-83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→</w:t>
            </w:r>
            <w:r>
              <w:rPr>
                <w:sz w:val="22"/>
                <w:szCs w:val="22"/>
              </w:rPr>
              <w:t>NLRP</w:t>
            </w:r>
            <w:r>
              <w:rPr>
                <w:sz w:val="22"/>
                <w:szCs w:val="22"/>
                <w:spacing w:val="1"/>
              </w:rPr>
              <w:t>3激活；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CXCL1/CXCR2</w:t>
            </w:r>
          </w:p>
        </w:tc>
        <w:tc>
          <w:tcPr>
            <w:tcW w:w="255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94"/>
              <w:spacing w:before="184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5"/>
              </w:rPr>
              <w:t>效应方向</w:t>
            </w:r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3" w:right="258"/>
              <w:spacing w:before="71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急性：促炎放大；慢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3"/>
              </w:rPr>
              <w:t>性：吞噬清除</w:t>
            </w:r>
          </w:p>
        </w:tc>
        <w:tc>
          <w:tcPr>
            <w:tcW w:w="3232" w:type="dxa"/>
            <w:vAlign w:val="top"/>
            <w:tcBorders>
              <w:left w:val="nil"/>
            </w:tcBorders>
          </w:tcPr>
          <w:p>
            <w:pPr>
              <w:pStyle w:val="TableText"/>
              <w:ind w:left="132"/>
              <w:spacing w:before="18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机制通路</w:t>
            </w:r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2" w:right="896"/>
              <w:spacing w:before="72" w:line="21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NF-KB,Pl3K/Akt,NLRP3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inflammasome</w:t>
            </w:r>
          </w:p>
        </w:tc>
      </w:tr>
      <w:tr>
        <w:trPr>
          <w:trHeight w:val="847" w:hRule="atLeast"/>
        </w:trPr>
        <w:tc>
          <w:tcPr>
            <w:tcW w:w="1141" w:type="dxa"/>
            <w:vAlign w:val="top"/>
            <w:tcBorders>
              <w:right w:val="nil"/>
            </w:tcBorders>
          </w:tcPr>
          <w:p>
            <w:pPr>
              <w:pStyle w:val="TableText"/>
              <w:ind w:left="124" w:right="142"/>
              <w:spacing w:before="31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星形胶质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细胞</w:t>
            </w:r>
          </w:p>
        </w:tc>
        <w:tc>
          <w:tcPr>
            <w:tcW w:w="3295" w:type="dxa"/>
            <w:vAlign w:val="top"/>
            <w:tcBorders>
              <w:left w:val="nil"/>
              <w:right w:val="nil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/>
              <w:spacing w:before="71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ICAM-1/VCAM-1;IL-6/STAT3</w:t>
            </w:r>
          </w:p>
        </w:tc>
        <w:tc>
          <w:tcPr>
            <w:tcW w:w="255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94" w:right="486"/>
              <w:spacing w:before="293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延长中性粒细胞寿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spacing w:val="5"/>
              </w:rPr>
              <w:t>命、促炎因子个</w:t>
            </w:r>
          </w:p>
        </w:tc>
        <w:tc>
          <w:tcPr>
            <w:tcW w:w="3232" w:type="dxa"/>
            <w:vAlign w:val="top"/>
            <w:tcBorders>
              <w:left w:val="nil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2"/>
              <w:spacing w:before="71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JAK/STAT,GFAP↑</w:t>
            </w:r>
          </w:p>
        </w:tc>
      </w:tr>
      <w:tr>
        <w:trPr>
          <w:trHeight w:val="788" w:hRule="atLeast"/>
        </w:trPr>
        <w:tc>
          <w:tcPr>
            <w:tcW w:w="1141" w:type="dxa"/>
            <w:vAlign w:val="top"/>
            <w:tcBorders>
              <w:right w:val="nil"/>
            </w:tcBorders>
          </w:tcPr>
          <w:p>
            <w:pPr>
              <w:pStyle w:val="TableText"/>
              <w:ind w:left="14"/>
              <w:spacing w:before="295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神经元</w:t>
            </w:r>
          </w:p>
        </w:tc>
        <w:tc>
          <w:tcPr>
            <w:tcW w:w="329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48" w:right="510"/>
              <w:spacing w:before="277" w:line="21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DAMPs→TLR4/NF-KB;NETs直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6"/>
              </w:rPr>
              <w:t>接毒性</w:t>
            </w:r>
          </w:p>
        </w:tc>
        <w:tc>
          <w:tcPr>
            <w:tcW w:w="255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07"/>
              <w:spacing w:before="295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6"/>
              </w:rPr>
              <w:t>兴奋毒性加剧、凋亡个</w:t>
            </w:r>
          </w:p>
        </w:tc>
        <w:tc>
          <w:tcPr>
            <w:tcW w:w="3232" w:type="dxa"/>
            <w:vAlign w:val="top"/>
            <w:tcBorders>
              <w:left w:val="nil"/>
            </w:tcBorders>
          </w:tcPr>
          <w:p>
            <w:pPr>
              <w:pStyle w:val="TableText"/>
              <w:ind w:left="271"/>
              <w:spacing w:before="289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ROS,caspase-1</w:t>
            </w:r>
          </w:p>
        </w:tc>
      </w:tr>
      <w:tr>
        <w:trPr>
          <w:trHeight w:val="823" w:hRule="atLeast"/>
        </w:trPr>
        <w:tc>
          <w:tcPr>
            <w:tcW w:w="1141" w:type="dxa"/>
            <w:vAlign w:val="top"/>
            <w:tcBorders>
              <w:right w:val="nil"/>
            </w:tcBorders>
          </w:tcPr>
          <w:p>
            <w:pPr>
              <w:pStyle w:val="TableText"/>
              <w:ind w:left="14"/>
              <w:spacing w:before="307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内皮细胞</w:t>
            </w:r>
          </w:p>
        </w:tc>
        <w:tc>
          <w:tcPr>
            <w:tcW w:w="329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38" w:right="522"/>
              <w:spacing w:before="307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CD11b/ICAM-1;MMP-9降解紧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spacing w:val="11"/>
              </w:rPr>
              <w:t>密连接蛋白</w:t>
            </w:r>
          </w:p>
        </w:tc>
        <w:tc>
          <w:tcPr>
            <w:tcW w:w="255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94"/>
              <w:spacing w:before="307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BBB通透性增加2-3倍</w:t>
            </w:r>
          </w:p>
        </w:tc>
        <w:tc>
          <w:tcPr>
            <w:tcW w:w="3232" w:type="dxa"/>
            <w:vAlign w:val="top"/>
            <w:tcBorders>
              <w:left w:val="nil"/>
            </w:tcBorders>
          </w:tcPr>
          <w:p>
            <w:pPr>
              <w:pStyle w:val="TableText"/>
              <w:ind w:left="245"/>
              <w:spacing w:before="307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VE-cadherin降解</w:t>
            </w:r>
          </w:p>
        </w:tc>
      </w:tr>
    </w:tbl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right="56"/>
        <w:spacing w:before="78" w:line="308" w:lineRule="auto"/>
        <w:jc w:val="both"/>
        <w:rPr/>
      </w:pPr>
      <w:r>
        <w:rPr/>
        <w:t>中性粒细胞可通过释放</w:t>
      </w:r>
      <w:r>
        <w:rPr>
          <w:rFonts w:ascii="SimSun" w:hAnsi="SimSun" w:eastAsia="SimSun" w:cs="SimSun"/>
        </w:rPr>
        <w:t>NETs</w:t>
      </w:r>
      <w:r>
        <w:rPr>
          <w:rFonts w:ascii="SimSun" w:hAnsi="SimSun" w:eastAsia="SimSun" w:cs="SimSun"/>
          <w:spacing w:val="-21"/>
        </w:rPr>
        <w:t xml:space="preserve"> </w:t>
      </w:r>
      <w:r>
        <w:rPr/>
        <w:t>及炎症因子激活小胶质细胞向促炎表型转换，抑制其吞噬功能并诱导</w:t>
      </w:r>
      <w:r>
        <w:rPr/>
        <w:t xml:space="preserve"> </w:t>
      </w:r>
      <w:r>
        <w:rPr>
          <w:spacing w:val="-1"/>
        </w:rPr>
        <w:t>焦亡</w:t>
      </w:r>
      <w:r>
        <w:rPr>
          <w:spacing w:val="-1"/>
        </w:rPr>
        <w:t xml:space="preserve"> </w:t>
      </w:r>
      <w:r>
        <w:rPr>
          <w:rFonts w:ascii="Arial" w:hAnsi="Arial" w:eastAsia="Arial" w:cs="Arial"/>
          <w:spacing w:val="-1"/>
        </w:rPr>
        <w:t>(Jin   et   al.,2025)</w:t>
      </w:r>
      <w:r>
        <w:rPr>
          <w:rFonts w:ascii="SimSun" w:hAnsi="SimSun" w:eastAsia="SimSun" w:cs="SimSun"/>
          <w:spacing w:val="-1"/>
        </w:rPr>
        <w:t>。</w:t>
      </w:r>
      <w:r>
        <w:rPr>
          <w:spacing w:val="-1"/>
        </w:rPr>
        <w:t>同时，小胶质细胞亦可吞噬凋亡或活的中性粒细胞，构成脑免疫特权的</w:t>
      </w:r>
      <w:r>
        <w:rPr>
          <w:spacing w:val="14"/>
        </w:rPr>
        <w:t xml:space="preserve"> </w:t>
      </w:r>
      <w:r>
        <w:rPr>
          <w:spacing w:val="-1"/>
        </w:rPr>
        <w:t>重要机制</w:t>
      </w:r>
      <w:r>
        <w:rPr>
          <w:spacing w:val="-1"/>
        </w:rPr>
        <w:t xml:space="preserve"> </w:t>
      </w:r>
      <w:r>
        <w:rPr>
          <w:rFonts w:ascii="Arial" w:hAnsi="Arial" w:eastAsia="Arial" w:cs="Arial"/>
          <w:spacing w:val="-1"/>
        </w:rPr>
        <w:t>(Neumann</w:t>
      </w:r>
      <w:r>
        <w:rPr>
          <w:rFonts w:ascii="Arial" w:hAnsi="Arial" w:eastAsia="Arial" w:cs="Arial"/>
          <w:spacing w:val="21"/>
        </w:rPr>
        <w:t xml:space="preserve">   </w:t>
      </w:r>
      <w:r>
        <w:rPr>
          <w:rFonts w:ascii="Arial" w:hAnsi="Arial" w:eastAsia="Arial" w:cs="Arial"/>
          <w:spacing w:val="-1"/>
        </w:rPr>
        <w:t>et</w:t>
      </w:r>
      <w:r>
        <w:rPr>
          <w:rFonts w:ascii="Arial" w:hAnsi="Arial" w:eastAsia="Arial" w:cs="Arial"/>
          <w:spacing w:val="21"/>
        </w:rPr>
        <w:t xml:space="preserve">   </w:t>
      </w:r>
      <w:r>
        <w:rPr>
          <w:rFonts w:ascii="Arial" w:hAnsi="Arial" w:eastAsia="Arial" w:cs="Arial"/>
          <w:spacing w:val="-1"/>
        </w:rPr>
        <w:t>al.,2008;Otxoa-de-Amezaga</w:t>
      </w:r>
      <w:r>
        <w:rPr>
          <w:rFonts w:ascii="Arial" w:hAnsi="Arial" w:eastAsia="Arial" w:cs="Arial"/>
          <w:spacing w:val="21"/>
        </w:rPr>
        <w:t xml:space="preserve">   </w:t>
      </w:r>
      <w:r>
        <w:rPr>
          <w:rFonts w:ascii="Arial" w:hAnsi="Arial" w:eastAsia="Arial" w:cs="Arial"/>
          <w:spacing w:val="-1"/>
        </w:rPr>
        <w:t>et</w:t>
      </w:r>
      <w:r>
        <w:rPr>
          <w:rFonts w:ascii="Arial" w:hAnsi="Arial" w:eastAsia="Arial" w:cs="Arial"/>
          <w:spacing w:val="20"/>
          <w:w w:val="101"/>
        </w:rPr>
        <w:t xml:space="preserve">   </w:t>
      </w:r>
      <w:r>
        <w:rPr>
          <w:rFonts w:ascii="Arial" w:hAnsi="Arial" w:eastAsia="Arial" w:cs="Arial"/>
          <w:spacing w:val="-1"/>
        </w:rPr>
        <w:t>al</w:t>
      </w:r>
      <w:r>
        <w:rPr>
          <w:rFonts w:ascii="Arial" w:hAnsi="Arial" w:eastAsia="Arial" w:cs="Arial"/>
          <w:spacing w:val="-2"/>
        </w:rPr>
        <w:t>.,2019)</w:t>
      </w:r>
      <w:r>
        <w:rPr>
          <w:rFonts w:ascii="SimSun" w:hAnsi="SimSun" w:eastAsia="SimSun" w:cs="SimSun"/>
          <w:spacing w:val="-2"/>
        </w:rPr>
        <w:t>。</w:t>
      </w:r>
      <w:r>
        <w:rPr>
          <w:spacing w:val="-2"/>
        </w:rPr>
        <w:t>与星形胶质细胞的直接</w:t>
      </w:r>
      <w:r>
        <w:rPr/>
        <w:t xml:space="preserve"> </w:t>
      </w:r>
      <w:r>
        <w:rPr/>
        <w:t>接触进一步增强中性粒细胞促炎因子表达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(Yuan    et     al.,2025)</w:t>
      </w:r>
      <w:r>
        <w:rPr>
          <w:rFonts w:ascii="SimSun" w:hAnsi="SimSun" w:eastAsia="SimSun" w:cs="SimSun"/>
        </w:rPr>
        <w:t>。</w:t>
      </w:r>
      <w:r>
        <w:rPr/>
        <w:t>这些交互可</w:t>
      </w:r>
      <w:r>
        <w:rPr>
          <w:spacing w:val="-1"/>
        </w:rPr>
        <w:t>类比阿尔茨海默病中</w:t>
      </w:r>
      <w:r>
        <w:rPr/>
        <w:t xml:space="preserve"> </w:t>
      </w:r>
      <w:r>
        <w:rPr>
          <w:spacing w:val="-2"/>
        </w:rPr>
        <w:t>中性粒细胞-小胶质-神经元轴的病理放大效应。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outlineLvl w:val="2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5.</w:t>
      </w:r>
      <w:r>
        <w:rPr>
          <w:rFonts w:ascii="SimSun" w:hAnsi="SimSun" w:eastAsia="SimSun" w:cs="SimSun"/>
          <w:sz w:val="30"/>
          <w:szCs w:val="30"/>
          <w:spacing w:val="-81"/>
        </w:rPr>
        <w:t xml:space="preserve"> </w:t>
      </w:r>
      <w:r>
        <w:rPr>
          <w:sz w:val="30"/>
          <w:szCs w:val="30"/>
          <w:b/>
          <w:bCs/>
          <w:spacing w:val="-4"/>
        </w:rPr>
        <w:t>与临床结局的关联及未来方向</w:t>
      </w:r>
    </w:p>
    <w:p>
      <w:pPr>
        <w:pStyle w:val="BodyText"/>
        <w:ind w:right="57"/>
        <w:spacing w:before="231" w:line="305" w:lineRule="auto"/>
        <w:jc w:val="both"/>
        <w:rPr/>
      </w:pPr>
      <w:r>
        <w:rPr/>
        <w:t>临床证据显示，外周血中性粒细胞计数及</w:t>
      </w:r>
      <w:r>
        <w:rPr>
          <w:rFonts w:ascii="SimSun" w:hAnsi="SimSun" w:eastAsia="SimSun" w:cs="SimSun"/>
        </w:rPr>
        <w:t>NETs </w:t>
      </w:r>
      <w:r>
        <w:rPr/>
        <w:t>标志物水平与梗死体积、功能预后及出血</w:t>
      </w:r>
      <w:r>
        <w:rPr>
          <w:spacing w:val="-1"/>
        </w:rPr>
        <w:t>转化风险</w:t>
      </w:r>
      <w:r>
        <w:rPr/>
        <w:t xml:space="preserve"> </w:t>
      </w:r>
      <w:r>
        <w:rPr>
          <w:spacing w:val="2"/>
        </w:rPr>
        <w:t>呈正相关</w:t>
      </w:r>
      <w:r>
        <w:rPr>
          <w:spacing w:val="2"/>
        </w:rPr>
        <w:t xml:space="preserve"> </w:t>
      </w:r>
      <w:r>
        <w:rPr>
          <w:rFonts w:ascii="Arial" w:hAnsi="Arial" w:eastAsia="Arial" w:cs="Arial"/>
          <w:spacing w:val="2"/>
        </w:rPr>
        <w:t>(</w:t>
      </w:r>
      <w:r>
        <w:rPr>
          <w:rFonts w:ascii="Arial" w:hAnsi="Arial" w:eastAsia="Arial" w:cs="Arial"/>
        </w:rPr>
        <w:t>Denorme</w:t>
      </w:r>
      <w:r>
        <w:rPr>
          <w:rFonts w:ascii="Arial" w:hAnsi="Arial" w:eastAsia="Arial" w:cs="Arial"/>
          <w:spacing w:val="2"/>
        </w:rPr>
        <w:t xml:space="preserve">   </w:t>
      </w:r>
      <w:r>
        <w:rPr>
          <w:rFonts w:ascii="Arial" w:hAnsi="Arial" w:eastAsia="Arial" w:cs="Arial"/>
        </w:rPr>
        <w:t>et</w:t>
      </w:r>
      <w:r>
        <w:rPr>
          <w:rFonts w:ascii="Arial" w:hAnsi="Arial" w:eastAsia="Arial" w:cs="Arial"/>
          <w:spacing w:val="2"/>
        </w:rPr>
        <w:t xml:space="preserve">   </w:t>
      </w:r>
      <w:r>
        <w:rPr>
          <w:rFonts w:ascii="Arial" w:hAnsi="Arial" w:eastAsia="Arial" w:cs="Arial"/>
        </w:rPr>
        <w:t>al</w:t>
      </w:r>
      <w:r>
        <w:rPr>
          <w:rFonts w:ascii="Arial" w:hAnsi="Arial" w:eastAsia="Arial" w:cs="Arial"/>
          <w:spacing w:val="2"/>
        </w:rPr>
        <w:t>.,2022;</w:t>
      </w:r>
      <w:r>
        <w:rPr>
          <w:rFonts w:ascii="Arial" w:hAnsi="Arial" w:eastAsia="Arial" w:cs="Arial"/>
        </w:rPr>
        <w:t>He</w:t>
      </w:r>
      <w:r>
        <w:rPr>
          <w:rFonts w:ascii="Arial" w:hAnsi="Arial" w:eastAsia="Arial" w:cs="Arial"/>
          <w:spacing w:val="2"/>
        </w:rPr>
        <w:t xml:space="preserve">    </w:t>
      </w:r>
      <w:r>
        <w:rPr>
          <w:rFonts w:ascii="Arial" w:hAnsi="Arial" w:eastAsia="Arial" w:cs="Arial"/>
        </w:rPr>
        <w:t>et</w:t>
      </w:r>
      <w:r>
        <w:rPr>
          <w:rFonts w:ascii="Arial" w:hAnsi="Arial" w:eastAsia="Arial" w:cs="Arial"/>
          <w:spacing w:val="2"/>
        </w:rPr>
        <w:t xml:space="preserve"> 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rFonts w:ascii="Arial" w:hAnsi="Arial" w:eastAsia="Arial" w:cs="Arial"/>
        </w:rPr>
        <w:t>al</w:t>
      </w:r>
      <w:r>
        <w:rPr>
          <w:rFonts w:ascii="Arial" w:hAnsi="Arial" w:eastAsia="Arial" w:cs="Arial"/>
          <w:spacing w:val="1"/>
        </w:rPr>
        <w:t>.,2025)</w:t>
      </w:r>
      <w:r>
        <w:rPr>
          <w:rFonts w:ascii="SimSun" w:hAnsi="SimSun" w:eastAsia="SimSun" w:cs="SimSun"/>
          <w:spacing w:val="1"/>
        </w:rPr>
        <w:t>。</w:t>
      </w:r>
      <w:r>
        <w:rPr>
          <w:spacing w:val="1"/>
        </w:rPr>
        <w:t>靶向</w:t>
      </w:r>
      <w:r>
        <w:rPr>
          <w:rFonts w:ascii="Arial" w:hAnsi="Arial" w:eastAsia="Arial" w:cs="Arial"/>
        </w:rPr>
        <w:t>CXCR</w:t>
      </w:r>
      <w:r>
        <w:rPr>
          <w:rFonts w:ascii="Arial" w:hAnsi="Arial" w:eastAsia="Arial" w:cs="Arial"/>
          <w:spacing w:val="1"/>
        </w:rPr>
        <w:t>2</w:t>
      </w:r>
      <w:r>
        <w:rPr>
          <w:spacing w:val="1"/>
        </w:rPr>
        <w:t>拮抗剂、</w:t>
      </w:r>
      <w:r>
        <w:rPr>
          <w:rFonts w:ascii="Arial" w:hAnsi="Arial" w:eastAsia="Arial" w:cs="Arial"/>
        </w:rPr>
        <w:t>PAD</w:t>
      </w:r>
      <w:r>
        <w:rPr>
          <w:rFonts w:ascii="Arial" w:hAnsi="Arial" w:eastAsia="Arial" w:cs="Arial"/>
          <w:spacing w:val="1"/>
        </w:rPr>
        <w:t>4</w:t>
      </w:r>
      <w:r>
        <w:rPr>
          <w:rFonts w:ascii="Arial" w:hAnsi="Arial" w:eastAsia="Arial" w:cs="Arial"/>
          <w:spacing w:val="-24"/>
        </w:rPr>
        <w:t xml:space="preserve"> </w:t>
      </w:r>
      <w:r>
        <w:rPr>
          <w:spacing w:val="1"/>
        </w:rPr>
        <w:t>抑制剂(阻断</w:t>
      </w:r>
      <w:r>
        <w:rPr/>
        <w:t xml:space="preserve"> </w:t>
      </w:r>
      <w:r>
        <w:rPr>
          <w:rFonts w:ascii="Arial" w:hAnsi="Arial" w:eastAsia="Arial" w:cs="Arial"/>
        </w:rPr>
        <w:t>NETs</w:t>
      </w:r>
      <w:r>
        <w:rPr>
          <w:spacing w:val="8"/>
        </w:rPr>
        <w:t>形成)或</w:t>
      </w:r>
      <w:r>
        <w:rPr>
          <w:rFonts w:ascii="Arial" w:hAnsi="Arial" w:eastAsia="Arial" w:cs="Arial"/>
          <w:spacing w:val="8"/>
        </w:rPr>
        <w:t>S1P</w:t>
      </w:r>
      <w:r>
        <w:rPr>
          <w:spacing w:val="8"/>
        </w:rPr>
        <w:t>受体调节剂在动物模型中可将梗死体积降低约</w:t>
      </w:r>
      <w:r>
        <w:rPr>
          <w:spacing w:val="7"/>
        </w:rPr>
        <w:t>30-50%。</w:t>
      </w:r>
    </w:p>
    <w:p>
      <w:pPr>
        <w:pStyle w:val="BodyText"/>
        <w:ind w:right="4"/>
        <w:spacing w:before="202" w:line="321" w:lineRule="auto"/>
        <w:rPr/>
      </w:pPr>
      <w:r>
        <w:rPr>
          <w:spacing w:val="-2"/>
        </w:rPr>
        <w:t>未来方向包括：(1)开发时相特异性干预策略——急性期抑制</w:t>
      </w:r>
      <w:r>
        <w:rPr>
          <w:rFonts w:ascii="SimSun" w:hAnsi="SimSun" w:eastAsia="SimSun" w:cs="SimSun"/>
          <w:spacing w:val="-2"/>
        </w:rPr>
        <w:t>N1/NETs,</w:t>
      </w:r>
      <w:r>
        <w:rPr>
          <w:rFonts w:ascii="SimSun" w:hAnsi="SimSun" w:eastAsia="SimSun" w:cs="SimSun"/>
          <w:spacing w:val="102"/>
        </w:rPr>
        <w:t xml:space="preserve"> </w:t>
      </w:r>
      <w:r>
        <w:rPr>
          <w:spacing w:val="-2"/>
        </w:rPr>
        <w:t>慢性期促进</w:t>
      </w:r>
      <w:r>
        <w:rPr>
          <w:rFonts w:ascii="SimSun" w:hAnsi="SimSun" w:eastAsia="SimSun" w:cs="SimSun"/>
          <w:spacing w:val="-2"/>
        </w:rPr>
        <w:t>N2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-2"/>
        </w:rPr>
        <w:t>极</w:t>
      </w:r>
      <w:r>
        <w:rPr>
          <w:spacing w:val="-3"/>
        </w:rPr>
        <w:t>化；(2)</w:t>
      </w:r>
      <w:r>
        <w:rPr/>
        <w:t xml:space="preserve">  </w:t>
      </w:r>
      <w:r>
        <w:rPr>
          <w:spacing w:val="1"/>
        </w:rPr>
        <w:t>整合单细胞空间组学精确定位有害亚群；(3)探索中性粒细胞与免疫代谢重编程、表观遗传调控的</w:t>
      </w:r>
      <w:r>
        <w:rPr>
          <w:spacing w:val="5"/>
        </w:rPr>
        <w:t xml:space="preserve"> </w:t>
      </w:r>
      <w:r>
        <w:rPr>
          <w:spacing w:val="-1"/>
        </w:rPr>
        <w:t>交叉；(4)开展靶向中性粒细胞的纳米递送系统临床转化研究。</w:t>
      </w:r>
    </w:p>
    <w:p>
      <w:pPr>
        <w:pStyle w:val="BodyText"/>
        <w:ind w:left="4"/>
        <w:spacing w:before="335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9"/>
        </w:rPr>
        <w:t>机制示意图描述(概念框架)</w:t>
      </w:r>
    </w:p>
    <w:p>
      <w:pPr>
        <w:pStyle w:val="BodyText"/>
        <w:ind w:right="30" w:firstLine="170"/>
        <w:spacing w:before="207" w:line="323" w:lineRule="auto"/>
        <w:rPr>
          <w:rFonts w:ascii="SimSun" w:hAnsi="SimSun" w:eastAsia="SimSun" w:cs="SimSun"/>
        </w:rPr>
      </w:pPr>
      <w:r>
        <w:rPr>
          <w:spacing w:val="1"/>
        </w:rPr>
        <w:t>(文本描述高度复杂示意图):核心为脑缺血中心区→外周血中</w:t>
      </w:r>
      <w:r>
        <w:rPr/>
        <w:t>性粒细胞募集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(CXCR2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/>
        <w:t>轴)</w:t>
      </w:r>
      <w:r>
        <w:rPr>
          <w:spacing w:val="-87"/>
        </w:rPr>
        <w:t xml:space="preserve"> </w:t>
      </w:r>
      <w:r>
        <w:rPr/>
        <w:t>→</w:t>
      </w:r>
      <w:r>
        <w:rPr>
          <w:spacing w:val="-90"/>
        </w:rPr>
        <w:t xml:space="preserve"> </w:t>
      </w:r>
      <w:r>
        <w:rPr/>
        <w:t>急性</w:t>
      </w:r>
      <w:r>
        <w:rPr/>
        <w:t xml:space="preserve"> </w:t>
      </w:r>
      <w:r>
        <w:rPr>
          <w:spacing w:val="-1"/>
        </w:rPr>
        <w:t>期</w:t>
      </w:r>
      <w:r>
        <w:rPr>
          <w:rFonts w:ascii="SimSun" w:hAnsi="SimSun" w:eastAsia="SimSun" w:cs="SimSun"/>
          <w:spacing w:val="-1"/>
        </w:rPr>
        <w:t>NETs/MMP-9</w:t>
      </w:r>
      <w:r>
        <w:rPr>
          <w:rFonts w:ascii="SimSun" w:hAnsi="SimSun" w:eastAsia="SimSun" w:cs="SimSun"/>
          <w:spacing w:val="50"/>
        </w:rPr>
        <w:t xml:space="preserve">  </w:t>
      </w:r>
      <w:r>
        <w:rPr>
          <w:spacing w:val="-1"/>
        </w:rPr>
        <w:t>释放破坏</w:t>
      </w:r>
      <w:r>
        <w:rPr>
          <w:rFonts w:ascii="SimSun" w:hAnsi="SimSun" w:eastAsia="SimSun" w:cs="SimSun"/>
          <w:spacing w:val="-1"/>
        </w:rPr>
        <w:t>BBB(ICAM-1/VE-cadherin)→    </w:t>
      </w:r>
      <w:r>
        <w:rPr>
          <w:spacing w:val="-1"/>
        </w:rPr>
        <w:t>激活小胶质/星形胶质</w:t>
      </w:r>
      <w:r>
        <w:rPr>
          <w:spacing w:val="-1"/>
        </w:rPr>
        <w:t xml:space="preserve"> </w:t>
      </w:r>
      <w:r>
        <w:rPr>
          <w:rFonts w:ascii="SimSun" w:hAnsi="SimSun" w:eastAsia="SimSun" w:cs="SimSun"/>
          <w:spacing w:val="-1"/>
        </w:rPr>
        <w:t>(NLRP3/NF-</w:t>
      </w:r>
    </w:p>
    <w:p>
      <w:pPr>
        <w:pStyle w:val="BodyText"/>
        <w:spacing w:before="1" w:line="216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</w:rPr>
        <w:t>KB/Pl3K/Akt)→</w:t>
      </w:r>
      <w:r>
        <w:rPr>
          <w:rFonts w:ascii="SimSun" w:hAnsi="SimSun" w:eastAsia="SimSun" w:cs="SimSun"/>
          <w:spacing w:val="-55"/>
        </w:rPr>
        <w:t xml:space="preserve"> </w:t>
      </w:r>
      <w:r>
        <w:rPr/>
        <w:t>炎症放大环路→慢性期</w:t>
      </w:r>
      <w:r>
        <w:rPr>
          <w:rFonts w:ascii="SimSun" w:hAnsi="SimSun" w:eastAsia="SimSun" w:cs="SimSun"/>
        </w:rPr>
        <w:t>N2</w:t>
      </w:r>
      <w:r>
        <w:rPr>
          <w:rFonts w:ascii="SimSun" w:hAnsi="SimSun" w:eastAsia="SimSun" w:cs="SimSun"/>
          <w:spacing w:val="-38"/>
        </w:rPr>
        <w:t xml:space="preserve"> </w:t>
      </w:r>
      <w:r>
        <w:rPr/>
        <w:t>转换</w:t>
      </w:r>
      <w:r>
        <w:rPr/>
        <w:t xml:space="preserve"> </w:t>
      </w:r>
      <w:r>
        <w:rPr>
          <w:rFonts w:ascii="SimSun" w:hAnsi="SimSun" w:eastAsia="SimSun" w:cs="SimSun"/>
        </w:rPr>
        <w:t>(STAT6</w:t>
      </w:r>
      <w:r>
        <w:rPr>
          <w:rFonts w:ascii="SimSun" w:hAnsi="SimSun" w:eastAsia="SimSun" w:cs="SimSun"/>
          <w:spacing w:val="-1"/>
        </w:rPr>
        <w:t>/Arg1)→</w:t>
      </w:r>
      <w:r>
        <w:rPr>
          <w:rFonts w:ascii="SimSun" w:hAnsi="SimSun" w:eastAsia="SimSun" w:cs="SimSun"/>
          <w:spacing w:val="92"/>
        </w:rPr>
        <w:t xml:space="preserve"> </w:t>
      </w:r>
      <w:r>
        <w:rPr>
          <w:spacing w:val="-1"/>
        </w:rPr>
        <w:t>吞噬碎片+血管新生</w:t>
      </w:r>
      <w:r>
        <w:rPr>
          <w:spacing w:val="-30"/>
        </w:rPr>
        <w:t xml:space="preserve"> </w:t>
      </w:r>
      <w:r>
        <w:rPr>
          <w:rFonts w:ascii="SimSun" w:hAnsi="SimSun" w:eastAsia="SimSun" w:cs="SimSun"/>
          <w:spacing w:val="-1"/>
        </w:rPr>
        <w:t>(VEGF)</w:t>
      </w:r>
    </w:p>
    <w:p>
      <w:pPr>
        <w:pStyle w:val="BodyText"/>
        <w:ind w:right="210"/>
        <w:spacing w:before="133" w:line="318" w:lineRule="auto"/>
        <w:rPr/>
      </w:pPr>
      <w:r>
        <w:rPr>
          <w:spacing w:val="10"/>
        </w:rPr>
        <w:t>→修复结局。左侧标注促损伤路径(红色),右侧标注保护路径(绿色),多箭头交叉体现异质性</w:t>
      </w:r>
      <w:r>
        <w:rPr>
          <w:spacing w:val="13"/>
        </w:rPr>
        <w:t xml:space="preserve"> </w:t>
      </w:r>
      <w:r>
        <w:rPr>
          <w:spacing w:val="-3"/>
        </w:rPr>
        <w:t>与双向调控。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6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7"/>
        </w:rPr>
        <w:t>结论</w:t>
      </w:r>
    </w:p>
    <w:p>
      <w:pPr>
        <w:spacing w:line="226" w:lineRule="auto"/>
        <w:sectPr>
          <w:pgSz w:w="12240" w:h="15840"/>
          <w:pgMar w:top="1094" w:right="1014" w:bottom="0" w:left="970" w:header="0" w:footer="0" w:gutter="0"/>
        </w:sectPr>
        <w:rPr>
          <w:sz w:val="30"/>
          <w:szCs w:val="30"/>
        </w:rPr>
      </w:pPr>
    </w:p>
    <w:p>
      <w:pPr>
        <w:pStyle w:val="BodyText"/>
        <w:spacing w:before="49" w:line="321" w:lineRule="auto"/>
        <w:jc w:val="both"/>
        <w:rPr/>
      </w:pPr>
      <w:r>
        <w:rPr/>
        <w:t>中性粒细胞在脑缺血中的作用呈现鲜明的时间与表型依赖性，其从急性破坏向慢性修复的动态转</w:t>
      </w:r>
      <w:r>
        <w:rPr>
          <w:spacing w:val="13"/>
        </w:rPr>
        <w:t xml:space="preserve"> </w:t>
      </w:r>
      <w:r>
        <w:rPr/>
        <w:t>换受多种信号通路与细胞网络精密调控。深入解析这一异质性网络，将为开发精准时相免疫干预</w:t>
      </w:r>
      <w:r>
        <w:rPr>
          <w:spacing w:val="11"/>
        </w:rPr>
        <w:t xml:space="preserve"> </w:t>
      </w:r>
      <w:r>
        <w:rPr>
          <w:spacing w:val="-2"/>
        </w:rPr>
        <w:t>策略提供理论基础，有望显著改善脑缺血患者的长期预后。</w:t>
      </w:r>
    </w:p>
    <w:p>
      <w:pPr>
        <w:pStyle w:val="BodyText"/>
        <w:spacing w:before="147" w:line="213" w:lineRule="auto"/>
        <w:rPr/>
      </w:pPr>
      <w:r>
        <w:rPr>
          <w:spacing w:val="10"/>
        </w:rPr>
        <w:t>参考文献(部分列举，实际可扩展至100+)</w:t>
      </w:r>
    </w:p>
    <w:p>
      <w:pPr>
        <w:ind w:left="379"/>
        <w:spacing w:before="226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4"/>
        </w:rPr>
        <w:t>·Jickling</w:t>
      </w:r>
      <w:r>
        <w:rPr>
          <w:rFonts w:ascii="Arial" w:hAnsi="Arial" w:eastAsia="Arial" w:cs="Arial"/>
          <w:sz w:val="24"/>
          <w:szCs w:val="24"/>
          <w:spacing w:val="24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GC,et</w:t>
      </w:r>
      <w:r>
        <w:rPr>
          <w:rFonts w:ascii="Arial" w:hAnsi="Arial" w:eastAsia="Arial" w:cs="Arial"/>
          <w:sz w:val="24"/>
          <w:szCs w:val="24"/>
          <w:spacing w:val="22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al.JCereb</w:t>
      </w:r>
      <w:r>
        <w:rPr>
          <w:rFonts w:ascii="Arial" w:hAnsi="Arial" w:eastAsia="Arial" w:cs="Arial"/>
          <w:sz w:val="24"/>
          <w:szCs w:val="24"/>
          <w:spacing w:val="27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Blood</w:t>
      </w:r>
      <w:r>
        <w:rPr>
          <w:rFonts w:ascii="Arial" w:hAnsi="Arial" w:eastAsia="Arial" w:cs="Arial"/>
          <w:sz w:val="24"/>
          <w:szCs w:val="24"/>
          <w:spacing w:val="27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Flow</w:t>
      </w:r>
      <w:r>
        <w:rPr>
          <w:rFonts w:ascii="Arial" w:hAnsi="Arial" w:eastAsia="Arial" w:cs="Arial"/>
          <w:sz w:val="24"/>
          <w:szCs w:val="24"/>
          <w:spacing w:val="26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Metab.2015.</w:t>
      </w:r>
    </w:p>
    <w:p>
      <w:pPr>
        <w:ind w:left="379"/>
        <w:spacing w:before="212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·Kang</w:t>
      </w:r>
      <w:r>
        <w:rPr>
          <w:rFonts w:ascii="Arial" w:hAnsi="Arial" w:eastAsia="Arial" w:cs="Arial"/>
          <w:sz w:val="24"/>
          <w:szCs w:val="24"/>
          <w:spacing w:val="12"/>
          <w:position w:val="4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L,et   al.Nat</w:t>
      </w:r>
      <w:r>
        <w:rPr>
          <w:rFonts w:ascii="Arial" w:hAnsi="Arial" w:eastAsia="Arial" w:cs="Arial"/>
          <w:sz w:val="24"/>
          <w:szCs w:val="24"/>
          <w:spacing w:val="9"/>
          <w:position w:val="4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Commun.2020.</w:t>
      </w:r>
    </w:p>
    <w:p>
      <w:pPr>
        <w:ind w:left="379"/>
        <w:spacing w:before="229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3"/>
        </w:rPr>
        <w:t>·Denorme</w:t>
      </w:r>
      <w:r>
        <w:rPr>
          <w:rFonts w:ascii="Arial" w:hAnsi="Arial" w:eastAsia="Arial" w:cs="Arial"/>
          <w:sz w:val="24"/>
          <w:szCs w:val="24"/>
          <w:spacing w:val="26"/>
          <w:position w:val="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F,et</w:t>
      </w:r>
      <w:r>
        <w:rPr>
          <w:rFonts w:ascii="Arial" w:hAnsi="Arial" w:eastAsia="Arial" w:cs="Arial"/>
          <w:sz w:val="24"/>
          <w:szCs w:val="24"/>
          <w:spacing w:val="21"/>
          <w:position w:val="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al.J</w:t>
      </w:r>
      <w:r>
        <w:rPr>
          <w:rFonts w:ascii="Arial" w:hAnsi="Arial" w:eastAsia="Arial" w:cs="Arial"/>
          <w:sz w:val="24"/>
          <w:szCs w:val="24"/>
          <w:spacing w:val="22"/>
          <w:w w:val="101"/>
          <w:position w:val="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Clin</w:t>
      </w:r>
      <w:r>
        <w:rPr>
          <w:rFonts w:ascii="Arial" w:hAnsi="Arial" w:eastAsia="Arial" w:cs="Arial"/>
          <w:sz w:val="24"/>
          <w:szCs w:val="24"/>
          <w:spacing w:val="27"/>
          <w:w w:val="101"/>
          <w:position w:val="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Inve</w:t>
      </w:r>
      <w:r>
        <w:rPr>
          <w:rFonts w:ascii="Arial" w:hAnsi="Arial" w:eastAsia="Arial" w:cs="Arial"/>
          <w:sz w:val="24"/>
          <w:szCs w:val="24"/>
          <w:spacing w:val="-3"/>
          <w:position w:val="3"/>
        </w:rPr>
        <w:t>st.2022.</w:t>
      </w:r>
    </w:p>
    <w:p>
      <w:pPr>
        <w:ind w:left="379"/>
        <w:spacing w:before="21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3"/>
        </w:rPr>
        <w:t>·Xie</w:t>
      </w:r>
      <w:r>
        <w:rPr>
          <w:rFonts w:ascii="Arial" w:hAnsi="Arial" w:eastAsia="Arial" w:cs="Arial"/>
          <w:sz w:val="24"/>
          <w:szCs w:val="24"/>
          <w:spacing w:val="15"/>
          <w:position w:val="3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M,et</w:t>
      </w:r>
      <w:r>
        <w:rPr>
          <w:rFonts w:ascii="Arial" w:hAnsi="Arial" w:eastAsia="Arial" w:cs="Arial"/>
          <w:sz w:val="24"/>
          <w:szCs w:val="24"/>
          <w:spacing w:val="12"/>
          <w:position w:val="3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al.Front</w:t>
      </w:r>
      <w:r>
        <w:rPr>
          <w:rFonts w:ascii="Arial" w:hAnsi="Arial" w:eastAsia="Arial" w:cs="Arial"/>
          <w:sz w:val="24"/>
          <w:szCs w:val="24"/>
          <w:spacing w:val="17"/>
          <w:w w:val="101"/>
          <w:position w:val="3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Immunol.2023.</w:t>
      </w:r>
    </w:p>
    <w:p>
      <w:pPr>
        <w:ind w:left="379"/>
        <w:spacing w:before="22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3"/>
        </w:rPr>
        <w:t>·Jin   H,et   al.Adv</w:t>
      </w:r>
      <w:r>
        <w:rPr>
          <w:rFonts w:ascii="Arial" w:hAnsi="Arial" w:eastAsia="Arial" w:cs="Arial"/>
          <w:sz w:val="24"/>
          <w:szCs w:val="24"/>
          <w:spacing w:val="2"/>
          <w:position w:val="3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Sci.2025.</w:t>
      </w:r>
    </w:p>
    <w:p>
      <w:pPr>
        <w:ind w:left="379"/>
        <w:spacing w:before="19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3"/>
        </w:rPr>
        <w:t>·He   W,et</w:t>
      </w:r>
      <w:r>
        <w:rPr>
          <w:rFonts w:ascii="Arial" w:hAnsi="Arial" w:eastAsia="Arial" w:cs="Arial"/>
          <w:sz w:val="24"/>
          <w:szCs w:val="24"/>
          <w:spacing w:val="5"/>
          <w:position w:val="3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al.Front</w:t>
      </w:r>
      <w:r>
        <w:rPr>
          <w:rFonts w:ascii="Arial" w:hAnsi="Arial" w:eastAsia="Arial" w:cs="Arial"/>
          <w:sz w:val="24"/>
          <w:szCs w:val="24"/>
          <w:spacing w:val="9"/>
          <w:position w:val="3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Neurol.2025.</w:t>
      </w:r>
    </w:p>
    <w:p>
      <w:pPr>
        <w:pStyle w:val="BodyText"/>
        <w:ind w:left="679"/>
        <w:spacing w:before="146" w:line="222" w:lineRule="auto"/>
        <w:rPr/>
      </w:pPr>
      <w:r>
        <w:rPr>
          <w:spacing w:val="-1"/>
        </w:rPr>
        <w:t>(其余略)</w:t>
      </w:r>
    </w:p>
    <w:p>
      <w:pPr>
        <w:pStyle w:val="BodyText"/>
        <w:ind w:left="3"/>
        <w:spacing w:before="296" w:line="221" w:lineRule="auto"/>
        <w:rPr/>
      </w:pPr>
      <w:r>
        <w:rPr>
          <w:b/>
          <w:bCs/>
          <w:spacing w:val="6"/>
        </w:rPr>
        <w:t>报告完</w:t>
      </w:r>
    </w:p>
    <w:sectPr>
      <w:pgSz w:w="12240" w:h="15840"/>
      <w:pgMar w:top="1178" w:right="1175" w:bottom="0" w:left="97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2026-03-15T23:56:33Z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2026-03-15T23:56:34</vt:filetime>
  </property>
  <property fmtid="{D5CDD505-2E9C-101B-9397-08002B2CF9AE}" pid="4" name="UsrData">
    <vt:lpwstr>69b6d6ae5b4fbf001fccdd46wl</vt:lpwstr>
  </property>
</Properties>
</file>