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
        <w:spacing w:before="48" w:line="221" w:lineRule="auto"/>
        <w:rPr/>
      </w:pPr>
      <w:r>
        <w:rPr>
          <w:b/>
          <w:bCs/>
          <w:spacing w:val="-3"/>
        </w:rPr>
        <w:t>中性粒细胞在脑缺血急性期与慢性期的功能演变及亚群交互网络研究进展报告</w:t>
      </w:r>
    </w:p>
    <w:p>
      <w:pPr>
        <w:pStyle w:val="BodyText"/>
        <w:spacing w:before="256" w:line="221" w:lineRule="auto"/>
        <w:rPr/>
      </w:pPr>
      <w:r>
        <w:rPr>
          <w:spacing w:val="12"/>
        </w:rPr>
        <w:t>报告编制日期：2026年2月</w:t>
      </w:r>
    </w:p>
    <w:p>
      <w:pPr>
        <w:pStyle w:val="BodyText"/>
        <w:ind w:right="170"/>
        <w:spacing w:before="152" w:line="310" w:lineRule="auto"/>
        <w:rPr/>
      </w:pPr>
      <w:r>
        <w:rPr>
          <w:spacing w:val="9"/>
        </w:rPr>
        <w:t>编制依据：整合2020-2025年间主要文献(包括单细胞转录组、空间转录组、功能实验及临床</w:t>
      </w:r>
      <w:r>
        <w:rPr>
          <w:spacing w:val="16"/>
        </w:rPr>
        <w:t xml:space="preserve"> </w:t>
      </w:r>
      <w:r>
        <w:rPr>
          <w:spacing w:val="9"/>
        </w:rPr>
        <w:t>相关研究)</w:t>
      </w:r>
    </w:p>
    <w:p>
      <w:pPr>
        <w:spacing w:line="262" w:lineRule="auto"/>
        <w:rPr>
          <w:rFonts w:ascii="Arial"/>
          <w:sz w:val="21"/>
        </w:rPr>
      </w:pPr>
      <w:r/>
    </w:p>
    <w:p>
      <w:pPr>
        <w:pStyle w:val="BodyText"/>
        <w:ind w:left="4"/>
        <w:spacing w:before="98" w:line="221" w:lineRule="auto"/>
        <w:outlineLvl w:val="2"/>
        <w:rPr>
          <w:sz w:val="30"/>
          <w:szCs w:val="30"/>
        </w:rPr>
      </w:pPr>
      <w:r>
        <w:rPr>
          <w:sz w:val="30"/>
          <w:szCs w:val="30"/>
          <w:b/>
          <w:bCs/>
          <w:spacing w:val="-2"/>
        </w:rPr>
        <w:t>一、引言：中性粒细胞在脑缺血损伤级联中的</w:t>
      </w:r>
      <w:r>
        <w:rPr>
          <w:sz w:val="30"/>
          <w:szCs w:val="30"/>
          <w:b/>
          <w:bCs/>
          <w:spacing w:val="-3"/>
        </w:rPr>
        <w:t>核心地位</w:t>
      </w:r>
    </w:p>
    <w:p>
      <w:pPr>
        <w:pStyle w:val="BodyText"/>
        <w:spacing w:before="214" w:line="317" w:lineRule="auto"/>
        <w:jc w:val="both"/>
        <w:rPr/>
      </w:pPr>
      <w:r>
        <w:rPr>
          <w:spacing w:val="5"/>
        </w:rPr>
        <w:t>脑缺血(尤其是缺血性卒中)后，中性粒细胞</w:t>
      </w:r>
      <w:r>
        <w:rPr>
          <w:spacing w:val="5"/>
        </w:rPr>
        <w:t xml:space="preserve"> </w:t>
      </w:r>
      <w:r>
        <w:rPr>
          <w:rFonts w:ascii="SimSun" w:hAnsi="SimSun" w:eastAsia="SimSun" w:cs="SimSun"/>
          <w:spacing w:val="5"/>
        </w:rPr>
        <w:t>(</w:t>
      </w:r>
      <w:r>
        <w:rPr>
          <w:rFonts w:ascii="SimSun" w:hAnsi="SimSun" w:eastAsia="SimSun" w:cs="SimSun"/>
        </w:rPr>
        <w:t>neutrophils</w:t>
      </w:r>
      <w:r>
        <w:rPr>
          <w:rFonts w:ascii="SimSun" w:hAnsi="SimSun" w:eastAsia="SimSun" w:cs="SimSun"/>
          <w:spacing w:val="5"/>
        </w:rPr>
        <w:t>) </w:t>
      </w:r>
      <w:r>
        <w:rPr>
          <w:spacing w:val="5"/>
        </w:rPr>
        <w:t>是最早大规模从外周募集进入脑实</w:t>
      </w:r>
      <w:r>
        <w:rPr>
          <w:spacing w:val="9"/>
        </w:rPr>
        <w:t xml:space="preserve"> </w:t>
      </w:r>
      <w:r>
        <w:rPr>
          <w:spacing w:val="7"/>
        </w:rPr>
        <w:t>质的免疫细胞，通常在缺血后数小时内即可检测到显著浸润</w:t>
      </w:r>
      <w:r>
        <w:rPr>
          <w:spacing w:val="6"/>
        </w:rPr>
        <w:t>(峰值多出现在24-72</w:t>
      </w:r>
      <w:r>
        <w:rPr>
          <w:rFonts w:ascii="Times New Roman" w:hAnsi="Times New Roman" w:eastAsia="Times New Roman" w:cs="Times New Roman"/>
          <w:spacing w:val="6"/>
        </w:rPr>
        <w:t>h)</w:t>
      </w:r>
      <w:r>
        <w:rPr>
          <w:rFonts w:ascii="Times New Roman" w:hAnsi="Times New Roman" w:eastAsia="Times New Roman" w:cs="Times New Roman"/>
          <w:spacing w:val="-27"/>
        </w:rPr>
        <w:t xml:space="preserve"> </w:t>
      </w:r>
      <w:r>
        <w:rPr>
          <w:rFonts w:ascii="SimSun" w:hAnsi="SimSun" w:eastAsia="SimSun" w:cs="SimSun"/>
          <w:spacing w:val="6"/>
        </w:rPr>
        <w:t>。</w:t>
      </w:r>
      <w:r>
        <w:rPr>
          <w:rFonts w:ascii="SimSun" w:hAnsi="SimSun" w:eastAsia="SimSun" w:cs="SimSun"/>
          <w:spacing w:val="-68"/>
        </w:rPr>
        <w:t xml:space="preserve"> </w:t>
      </w:r>
      <w:r>
        <w:rPr>
          <w:spacing w:val="6"/>
        </w:rPr>
        <w:t>早期观点</w:t>
      </w:r>
      <w:r>
        <w:rPr/>
        <w:t xml:space="preserve"> </w:t>
      </w:r>
      <w:r>
        <w:rPr>
          <w:spacing w:val="4"/>
        </w:rPr>
        <w:t>认为其主要发挥破坏作用(释放</w:t>
      </w:r>
      <w:r>
        <w:rPr>
          <w:rFonts w:ascii="SimSun" w:hAnsi="SimSun" w:eastAsia="SimSun" w:cs="SimSun"/>
        </w:rPr>
        <w:t>NETs</w:t>
      </w:r>
      <w:r>
        <w:rPr>
          <w:rFonts w:ascii="SimSun" w:hAnsi="SimSun" w:eastAsia="SimSun" w:cs="SimSun"/>
          <w:spacing w:val="4"/>
        </w:rPr>
        <w:t>、</w:t>
      </w:r>
      <w:r>
        <w:rPr>
          <w:rFonts w:ascii="SimSun" w:hAnsi="SimSun" w:eastAsia="SimSun" w:cs="SimSun"/>
          <w:spacing w:val="-38"/>
        </w:rPr>
        <w:t xml:space="preserve"> </w:t>
      </w:r>
      <w:r>
        <w:rPr>
          <w:spacing w:val="4"/>
        </w:rPr>
        <w:t>蛋白酶、</w:t>
      </w:r>
      <w:r>
        <w:rPr>
          <w:rFonts w:ascii="SimSun" w:hAnsi="SimSun" w:eastAsia="SimSun" w:cs="SimSun"/>
        </w:rPr>
        <w:t>ROS</w:t>
      </w:r>
      <w:r>
        <w:rPr>
          <w:rFonts w:ascii="SimSun" w:hAnsi="SimSun" w:eastAsia="SimSun" w:cs="SimSun"/>
          <w:spacing w:val="4"/>
        </w:rPr>
        <w:t>、 </w:t>
      </w:r>
      <w:r>
        <w:rPr>
          <w:spacing w:val="4"/>
        </w:rPr>
        <w:t>促炎因子，加重</w:t>
      </w:r>
      <w:r>
        <w:rPr>
          <w:rFonts w:ascii="SimSun" w:hAnsi="SimSun" w:eastAsia="SimSun" w:cs="SimSun"/>
        </w:rPr>
        <w:t>BBB</w:t>
      </w:r>
      <w:r>
        <w:rPr>
          <w:rFonts w:ascii="SimSun" w:hAnsi="SimSun" w:eastAsia="SimSun" w:cs="SimSun"/>
          <w:spacing w:val="4"/>
        </w:rPr>
        <w:t xml:space="preserve"> </w:t>
      </w:r>
      <w:r>
        <w:rPr>
          <w:spacing w:val="4"/>
        </w:rPr>
        <w:t>破坏、脑水肿</w:t>
      </w:r>
      <w:r>
        <w:rPr>
          <w:spacing w:val="3"/>
        </w:rPr>
        <w:t>、神经</w:t>
      </w:r>
      <w:r>
        <w:rPr/>
        <w:t xml:space="preserve"> </w:t>
      </w:r>
      <w:r>
        <w:rPr>
          <w:spacing w:val="3"/>
        </w:rPr>
        <w:t>元死亡),但近5年研究揭示其高度异质性</w:t>
      </w:r>
      <w:r>
        <w:rPr>
          <w:spacing w:val="3"/>
        </w:rPr>
        <w:t xml:space="preserve"> </w:t>
      </w:r>
      <w:r>
        <w:rPr>
          <w:rFonts w:ascii="SimSun" w:hAnsi="SimSun" w:eastAsia="SimSun" w:cs="SimSun"/>
          <w:spacing w:val="3"/>
        </w:rPr>
        <w:t>(</w:t>
      </w:r>
      <w:r>
        <w:rPr>
          <w:rFonts w:ascii="SimSun" w:hAnsi="SimSun" w:eastAsia="SimSun" w:cs="SimSun"/>
        </w:rPr>
        <w:t>heterogeneity</w:t>
      </w:r>
      <w:r>
        <w:rPr>
          <w:rFonts w:ascii="SimSun" w:hAnsi="SimSun" w:eastAsia="SimSun" w:cs="SimSun"/>
          <w:spacing w:val="3"/>
        </w:rPr>
        <w:t>),</w:t>
      </w:r>
      <w:r>
        <w:rPr>
          <w:rFonts w:ascii="SimSun" w:hAnsi="SimSun" w:eastAsia="SimSun" w:cs="SimSun"/>
          <w:spacing w:val="42"/>
        </w:rPr>
        <w:t xml:space="preserve"> </w:t>
      </w:r>
      <w:r>
        <w:rPr>
          <w:spacing w:val="3"/>
        </w:rPr>
        <w:t>在时间轴上呈现明显的</w:t>
      </w:r>
      <w:r>
        <w:rPr>
          <w:spacing w:val="2"/>
        </w:rPr>
        <w:t>动态极化与</w:t>
      </w:r>
      <w:r>
        <w:rPr/>
        <w:t xml:space="preserve"> </w:t>
      </w:r>
      <w:r>
        <w:rPr>
          <w:spacing w:val="-2"/>
        </w:rPr>
        <w:t>功能转换。</w:t>
      </w:r>
    </w:p>
    <w:p>
      <w:pPr>
        <w:pStyle w:val="BodyText"/>
        <w:spacing w:before="168" w:line="222" w:lineRule="auto"/>
        <w:rPr/>
      </w:pPr>
      <w:r>
        <w:rPr>
          <w:spacing w:val="17"/>
        </w:rPr>
        <w:t>关键共识(基于2023-2025年多篇综述):</w:t>
      </w:r>
    </w:p>
    <w:p>
      <w:pPr>
        <w:pStyle w:val="BodyText"/>
        <w:ind w:left="379"/>
        <w:spacing w:before="281" w:line="221" w:lineRule="auto"/>
        <w:rPr/>
      </w:pPr>
      <w:r>
        <w:rPr>
          <w:spacing w:val="9"/>
        </w:rPr>
        <w:t>·</w:t>
      </w:r>
      <w:r>
        <w:rPr>
          <w:spacing w:val="-78"/>
        </w:rPr>
        <w:t xml:space="preserve"> </w:t>
      </w:r>
      <w:r>
        <w:rPr>
          <w:spacing w:val="9"/>
        </w:rPr>
        <w:t>急性期(0-3/7天):以促炎损伤为主</w:t>
      </w:r>
    </w:p>
    <w:p>
      <w:pPr>
        <w:pStyle w:val="BodyText"/>
        <w:ind w:left="379"/>
        <w:spacing w:before="222" w:line="213" w:lineRule="auto"/>
        <w:rPr/>
      </w:pPr>
      <w:r>
        <w:rPr>
          <w:spacing w:val="4"/>
        </w:rPr>
        <w:t>·</w:t>
      </w:r>
      <w:r>
        <w:rPr>
          <w:spacing w:val="-95"/>
        </w:rPr>
        <w:t xml:space="preserve"> </w:t>
      </w:r>
      <w:r>
        <w:rPr>
          <w:spacing w:val="4"/>
        </w:rPr>
        <w:t>亚急性至慢性期(7天-数月):部分亚群转向修复/分辨炎症，甚至出现保护性亚群</w:t>
      </w:r>
    </w:p>
    <w:p>
      <w:pPr>
        <w:pStyle w:val="BodyText"/>
        <w:ind w:left="379"/>
        <w:spacing w:before="254" w:line="213" w:lineRule="auto"/>
        <w:rPr/>
      </w:pPr>
      <w:r>
        <w:rPr>
          <w:spacing w:val="-3"/>
        </w:rPr>
        <w:t>·</w:t>
      </w:r>
      <w:r>
        <w:rPr>
          <w:spacing w:val="-101"/>
        </w:rPr>
        <w:t xml:space="preserve"> </w:t>
      </w:r>
      <w:r>
        <w:rPr>
          <w:spacing w:val="-3"/>
        </w:rPr>
        <w:t>经典二分法</w:t>
      </w:r>
      <w:r>
        <w:rPr>
          <w:spacing w:val="-22"/>
        </w:rPr>
        <w:t xml:space="preserve"> </w:t>
      </w:r>
      <w:r>
        <w:rPr>
          <w:rFonts w:ascii="SimSun" w:hAnsi="SimSun" w:eastAsia="SimSun" w:cs="SimSun"/>
          <w:spacing w:val="-3"/>
        </w:rPr>
        <w:t>(N1/N2)  </w:t>
      </w:r>
      <w:r>
        <w:rPr>
          <w:spacing w:val="-3"/>
        </w:rPr>
        <w:t>已被更精细的单细胞聚类所部分取代，但仍具参考价值</w:t>
      </w:r>
    </w:p>
    <w:p>
      <w:pPr>
        <w:spacing w:line="410" w:lineRule="auto"/>
        <w:rPr>
          <w:rFonts w:ascii="Arial"/>
          <w:sz w:val="21"/>
        </w:rPr>
      </w:pPr>
      <w:r/>
    </w:p>
    <w:p>
      <w:pPr>
        <w:pStyle w:val="BodyText"/>
        <w:ind w:left="4"/>
        <w:spacing w:before="98" w:line="221" w:lineRule="auto"/>
        <w:rPr>
          <w:sz w:val="30"/>
          <w:szCs w:val="30"/>
        </w:rPr>
      </w:pPr>
      <w:r>
        <w:rPr>
          <w:sz w:val="30"/>
          <w:szCs w:val="30"/>
          <w:b/>
          <w:bCs/>
          <w:spacing w:val="14"/>
        </w:rPr>
        <w:t>二、急性期(0-7天)中性粒细胞的功能与亚群特征</w:t>
      </w:r>
    </w:p>
    <w:p>
      <w:pPr>
        <w:spacing w:line="221" w:lineRule="auto"/>
        <w:sectPr>
          <w:pgSz w:w="12240" w:h="15840"/>
          <w:pgMar w:top="1145" w:right="1077" w:bottom="0" w:left="970" w:header="0" w:footer="0" w:gutter="0"/>
        </w:sectPr>
        <w:rPr>
          <w:sz w:val="30"/>
          <w:szCs w:val="30"/>
        </w:rPr>
      </w:pPr>
    </w:p>
    <w:p>
      <w:pPr>
        <w:pStyle w:val="BodyText"/>
        <w:ind w:left="345"/>
        <w:spacing w:before="48" w:line="221" w:lineRule="auto"/>
        <w:rPr/>
      </w:pPr>
      <w:r>
        <w:rPr>
          <w:rFonts w:ascii="SimSun" w:hAnsi="SimSun" w:eastAsia="SimSun" w:cs="SimSun"/>
          <w:spacing w:val="-2"/>
        </w:rPr>
        <w:t>1. </w:t>
      </w:r>
      <w:r>
        <w:rPr>
          <w:spacing w:val="-2"/>
        </w:rPr>
        <w:t>募集与浸润动态</w:t>
      </w:r>
    </w:p>
    <w:p>
      <w:pPr>
        <w:pStyle w:val="BodyText"/>
        <w:ind w:left="1025"/>
        <w:spacing w:before="276" w:line="217" w:lineRule="auto"/>
        <w:rPr/>
      </w:pPr>
      <w:r>
        <w:rPr>
          <w:spacing w:val="-1"/>
        </w:rPr>
        <w:t>·</w:t>
      </w:r>
      <w:r>
        <w:rPr>
          <w:spacing w:val="-78"/>
        </w:rPr>
        <w:t xml:space="preserve"> </w:t>
      </w:r>
      <w:r>
        <w:rPr>
          <w:spacing w:val="-1"/>
        </w:rPr>
        <w:t>最早(数分钟-6</w:t>
      </w:r>
      <w:r>
        <w:rPr>
          <w:rFonts w:ascii="SimSun" w:hAnsi="SimSun" w:eastAsia="SimSun" w:cs="SimSun"/>
          <w:spacing w:val="-1"/>
        </w:rPr>
        <w:t>h):</w:t>
      </w:r>
      <w:r>
        <w:rPr>
          <w:rFonts w:ascii="SimSun" w:hAnsi="SimSun" w:eastAsia="SimSun" w:cs="SimSun"/>
          <w:spacing w:val="37"/>
        </w:rPr>
        <w:t xml:space="preserve"> </w:t>
      </w:r>
      <w:r>
        <w:rPr>
          <w:spacing w:val="-1"/>
        </w:rPr>
        <w:t>黏附脑微血管内皮</w:t>
      </w:r>
      <w:r>
        <w:rPr>
          <w:spacing w:val="-1"/>
        </w:rPr>
        <w:t xml:space="preserve"> </w:t>
      </w:r>
      <w:r>
        <w:rPr>
          <w:rFonts w:ascii="SimSun" w:hAnsi="SimSun" w:eastAsia="SimSun" w:cs="SimSun"/>
          <w:spacing w:val="-2"/>
        </w:rPr>
        <w:t>(selectin、integrin</w:t>
      </w:r>
      <w:r>
        <w:rPr>
          <w:spacing w:val="-2"/>
        </w:rPr>
        <w:t>介导)</w:t>
      </w:r>
    </w:p>
    <w:p>
      <w:pPr>
        <w:pStyle w:val="BodyText"/>
        <w:ind w:left="1025"/>
        <w:spacing w:before="233" w:line="221" w:lineRule="auto"/>
        <w:rPr/>
      </w:pPr>
      <w:r>
        <w:rPr>
          <w:spacing w:val="1"/>
        </w:rPr>
        <w:t>·</w:t>
      </w:r>
      <w:r>
        <w:rPr>
          <w:spacing w:val="-87"/>
        </w:rPr>
        <w:t xml:space="preserve"> </w:t>
      </w:r>
      <w:r>
        <w:rPr>
          <w:spacing w:val="1"/>
        </w:rPr>
        <w:t>峰值浸润：24-72</w:t>
      </w:r>
      <w:r>
        <w:rPr>
          <w:rFonts w:ascii="Times New Roman" w:hAnsi="Times New Roman" w:eastAsia="Times New Roman" w:cs="Times New Roman"/>
          <w:spacing w:val="1"/>
        </w:rPr>
        <w:t>h</w:t>
      </w:r>
      <w:r>
        <w:rPr>
          <w:rFonts w:ascii="Times New Roman" w:hAnsi="Times New Roman" w:eastAsia="Times New Roman" w:cs="Times New Roman"/>
          <w:spacing w:val="20"/>
          <w:w w:val="101"/>
        </w:rPr>
        <w:t xml:space="preserve">  </w:t>
      </w:r>
      <w:r>
        <w:rPr>
          <w:spacing w:val="1"/>
        </w:rPr>
        <w:t>(多数研究显示</w:t>
      </w:r>
      <w:r>
        <w:rPr>
          <w:rFonts w:ascii="Times New Roman" w:hAnsi="Times New Roman" w:eastAsia="Times New Roman" w:cs="Times New Roman"/>
          <w:spacing w:val="1"/>
        </w:rPr>
        <w:t>D1-D3</w:t>
      </w:r>
      <w:r>
        <w:rPr>
          <w:rFonts w:ascii="Times New Roman" w:hAnsi="Times New Roman" w:eastAsia="Times New Roman" w:cs="Times New Roman"/>
          <w:spacing w:val="18"/>
        </w:rPr>
        <w:t xml:space="preserve"> </w:t>
      </w:r>
      <w:r>
        <w:rPr>
          <w:spacing w:val="1"/>
        </w:rPr>
        <w:t>最高)</w:t>
      </w:r>
    </w:p>
    <w:p>
      <w:pPr>
        <w:pStyle w:val="BodyText"/>
        <w:ind w:left="1184" w:right="807" w:hanging="159"/>
        <w:spacing w:before="237" w:line="264" w:lineRule="auto"/>
        <w:rPr>
          <w:rFonts w:ascii="Arial" w:hAnsi="Arial" w:eastAsia="Arial" w:cs="Arial"/>
        </w:rPr>
      </w:pPr>
      <w:r>
        <w:rPr>
          <w:spacing w:val="-4"/>
        </w:rPr>
        <w:t>·主要亚群：促炎型</w:t>
      </w:r>
      <w:r>
        <w:rPr>
          <w:spacing w:val="-4"/>
        </w:rPr>
        <w:t xml:space="preserve"> </w:t>
      </w:r>
      <w:r>
        <w:rPr>
          <w:rFonts w:ascii="Times New Roman" w:hAnsi="Times New Roman" w:eastAsia="Times New Roman" w:cs="Times New Roman"/>
          <w:spacing w:val="-4"/>
        </w:rPr>
        <w:t>(N1-like),     </w:t>
      </w:r>
      <w:r>
        <w:rPr>
          <w:spacing w:val="-4"/>
        </w:rPr>
        <w:t>高表达</w:t>
      </w:r>
      <w:r>
        <w:rPr>
          <w:rFonts w:ascii="Times New Roman" w:hAnsi="Times New Roman" w:eastAsia="Times New Roman" w:cs="Times New Roman"/>
          <w:spacing w:val="-4"/>
        </w:rPr>
        <w:t>CXCL1/2/8</w:t>
      </w:r>
      <w:r>
        <w:rPr>
          <w:rFonts w:ascii="Times New Roman" w:hAnsi="Times New Roman" w:eastAsia="Times New Roman" w:cs="Times New Roman"/>
          <w:spacing w:val="56"/>
          <w:w w:val="101"/>
        </w:rPr>
        <w:t xml:space="preserve"> </w:t>
      </w:r>
      <w:r>
        <w:rPr>
          <w:spacing w:val="-4"/>
        </w:rPr>
        <w:t>受体</w:t>
      </w:r>
      <w:r>
        <w:rPr>
          <w:spacing w:val="-5"/>
        </w:rPr>
        <w:t>、</w:t>
      </w:r>
      <w:r>
        <w:rPr>
          <w:rFonts w:ascii="Times New Roman" w:hAnsi="Times New Roman" w:eastAsia="Times New Roman" w:cs="Times New Roman"/>
          <w:spacing w:val="-5"/>
        </w:rPr>
        <w:t>MPO</w:t>
      </w:r>
      <w:r>
        <w:rPr>
          <w:rFonts w:ascii="Times New Roman" w:hAnsi="Times New Roman" w:eastAsia="Times New Roman" w:cs="Times New Roman"/>
          <w:spacing w:val="-34"/>
        </w:rPr>
        <w:t xml:space="preserve"> </w:t>
      </w:r>
      <w:r>
        <w:rPr>
          <w:rFonts w:ascii="SimSun" w:hAnsi="SimSun" w:eastAsia="SimSun" w:cs="SimSun"/>
          <w:spacing w:val="-5"/>
        </w:rPr>
        <w:t>、</w:t>
      </w:r>
      <w:r>
        <w:rPr>
          <w:rFonts w:ascii="Times New Roman" w:hAnsi="Times New Roman" w:eastAsia="Times New Roman" w:cs="Times New Roman"/>
          <w:spacing w:val="-5"/>
        </w:rPr>
        <w:t>NE</w:t>
      </w:r>
      <w:r>
        <w:rPr>
          <w:rFonts w:ascii="Times New Roman" w:hAnsi="Times New Roman" w:eastAsia="Times New Roman" w:cs="Times New Roman"/>
          <w:spacing w:val="-34"/>
        </w:rPr>
        <w:t xml:space="preserve"> </w:t>
      </w:r>
      <w:r>
        <w:rPr>
          <w:rFonts w:ascii="SimSun" w:hAnsi="SimSun" w:eastAsia="SimSun" w:cs="SimSun"/>
          <w:spacing w:val="-5"/>
        </w:rPr>
        <w:t>、</w:t>
      </w:r>
      <w:r>
        <w:rPr>
          <w:rFonts w:ascii="Times New Roman" w:hAnsi="Times New Roman" w:eastAsia="Times New Roman" w:cs="Times New Roman"/>
          <w:spacing w:val="-5"/>
        </w:rPr>
        <w:t>MMP-9</w:t>
      </w:r>
      <w:r>
        <w:rPr>
          <w:rFonts w:ascii="SimSun" w:hAnsi="SimSun" w:eastAsia="SimSun" w:cs="SimSun"/>
          <w:spacing w:val="-5"/>
        </w:rPr>
        <w:t>、</w:t>
      </w:r>
      <w:r>
        <w:rPr>
          <w:rFonts w:ascii="SimSun" w:hAnsi="SimSun" w:eastAsia="SimSun" w:cs="SimSun"/>
        </w:rPr>
        <w:t xml:space="preserve"> </w:t>
      </w:r>
      <w:r>
        <w:rPr>
          <w:rFonts w:ascii="Arial" w:hAnsi="Arial" w:eastAsia="Arial" w:cs="Arial"/>
          <w:spacing w:val="-2"/>
        </w:rPr>
        <w:t>NETosis</w:t>
      </w:r>
      <w:r>
        <w:rPr>
          <w:spacing w:val="-2"/>
        </w:rPr>
        <w:t>相关基因</w:t>
      </w:r>
      <w:r>
        <w:rPr>
          <w:spacing w:val="-2"/>
        </w:rPr>
        <w:t xml:space="preserve"> </w:t>
      </w:r>
      <w:r>
        <w:rPr>
          <w:rFonts w:ascii="Arial" w:hAnsi="Arial" w:eastAsia="Arial" w:cs="Arial"/>
          <w:spacing w:val="-2"/>
        </w:rPr>
        <w:t>(PAD4</w:t>
      </w:r>
      <w:r>
        <w:rPr>
          <w:rFonts w:ascii="SimSun" w:hAnsi="SimSun" w:eastAsia="SimSun" w:cs="SimSun"/>
          <w:spacing w:val="-2"/>
        </w:rPr>
        <w:t>、</w:t>
      </w:r>
      <w:r>
        <w:rPr>
          <w:rFonts w:ascii="Arial" w:hAnsi="Arial" w:eastAsia="Arial" w:cs="Arial"/>
          <w:spacing w:val="-2"/>
        </w:rPr>
        <w:t>CitH3)</w:t>
      </w:r>
    </w:p>
    <w:p>
      <w:pPr>
        <w:spacing w:line="257" w:lineRule="auto"/>
        <w:rPr>
          <w:rFonts w:ascii="Arial"/>
          <w:sz w:val="21"/>
        </w:rPr>
      </w:pPr>
      <w:r/>
    </w:p>
    <w:p>
      <w:pPr>
        <w:pStyle w:val="BodyText"/>
        <w:ind w:left="348"/>
        <w:spacing w:before="79" w:line="222" w:lineRule="auto"/>
        <w:rPr/>
      </w:pPr>
      <w:r>
        <w:rPr>
          <w:rFonts w:ascii="SimSun" w:hAnsi="SimSun" w:eastAsia="SimSun" w:cs="SimSun"/>
          <w:b/>
          <w:bCs/>
          <w:spacing w:val="-6"/>
        </w:rPr>
        <w:t>2.</w:t>
      </w:r>
      <w:r>
        <w:rPr>
          <w:rFonts w:ascii="SimSun" w:hAnsi="SimSun" w:eastAsia="SimSun" w:cs="SimSun"/>
          <w:spacing w:val="-25"/>
        </w:rPr>
        <w:t xml:space="preserve"> </w:t>
      </w:r>
      <w:r>
        <w:rPr>
          <w:b/>
          <w:bCs/>
          <w:spacing w:val="-6"/>
        </w:rPr>
        <w:t>主要损伤机制</w:t>
      </w:r>
    </w:p>
    <w:p>
      <w:pPr>
        <w:pStyle w:val="BodyText"/>
        <w:ind w:left="1025"/>
        <w:spacing w:before="265" w:line="222" w:lineRule="auto"/>
        <w:rPr>
          <w:rFonts w:ascii="SimSun" w:hAnsi="SimSun" w:eastAsia="SimSun" w:cs="SimSun"/>
        </w:rPr>
      </w:pPr>
      <w:r>
        <w:rPr>
          <w:spacing w:val="-4"/>
        </w:rPr>
        <w:t>·释放</w:t>
      </w:r>
      <w:r>
        <w:rPr>
          <w:rFonts w:ascii="SimSun" w:hAnsi="SimSun" w:eastAsia="SimSun" w:cs="SimSun"/>
          <w:spacing w:val="-4"/>
        </w:rPr>
        <w:t>NETs→ </w:t>
      </w:r>
      <w:r>
        <w:rPr>
          <w:spacing w:val="-4"/>
        </w:rPr>
        <w:t>促进血栓形成、微循环阻塞</w:t>
      </w:r>
      <w:r>
        <w:rPr>
          <w:spacing w:val="-4"/>
        </w:rPr>
        <w:t xml:space="preserve"> </w:t>
      </w:r>
      <w:r>
        <w:rPr>
          <w:rFonts w:ascii="SimSun" w:hAnsi="SimSun" w:eastAsia="SimSun" w:cs="SimSun"/>
          <w:spacing w:val="-4"/>
        </w:rPr>
        <w:t>(no-reflow)</w:t>
      </w:r>
    </w:p>
    <w:p>
      <w:pPr>
        <w:pStyle w:val="BodyText"/>
        <w:ind w:left="1025"/>
        <w:spacing w:before="202" w:line="327" w:lineRule="exact"/>
        <w:rPr/>
      </w:pPr>
      <w:r>
        <w:rPr>
          <w:spacing w:val="-2"/>
          <w:position w:val="2"/>
        </w:rPr>
        <w:t>·蛋白酶</w:t>
      </w:r>
      <w:r>
        <w:rPr>
          <w:spacing w:val="-2"/>
          <w:position w:val="2"/>
        </w:rPr>
        <w:t xml:space="preserve"> </w:t>
      </w:r>
      <w:r>
        <w:rPr>
          <w:rFonts w:ascii="Arial" w:hAnsi="Arial" w:eastAsia="Arial" w:cs="Arial"/>
          <w:spacing w:val="-2"/>
          <w:position w:val="2"/>
        </w:rPr>
        <w:t>(NE</w:t>
      </w:r>
      <w:r>
        <w:rPr>
          <w:rFonts w:ascii="SimSun" w:hAnsi="SimSun" w:eastAsia="SimSun" w:cs="SimSun"/>
          <w:spacing w:val="-2"/>
          <w:position w:val="2"/>
        </w:rPr>
        <w:t>、</w:t>
      </w:r>
      <w:r>
        <w:rPr>
          <w:rFonts w:ascii="Arial" w:hAnsi="Arial" w:eastAsia="Arial" w:cs="Arial"/>
          <w:spacing w:val="-2"/>
          <w:position w:val="2"/>
        </w:rPr>
        <w:t>cathepsin   G)  </w:t>
      </w:r>
      <w:r>
        <w:rPr>
          <w:spacing w:val="-2"/>
          <w:position w:val="2"/>
        </w:rPr>
        <w:t>与</w:t>
      </w:r>
      <w:r>
        <w:rPr>
          <w:rFonts w:ascii="Arial" w:hAnsi="Arial" w:eastAsia="Arial" w:cs="Arial"/>
          <w:spacing w:val="-2"/>
          <w:position w:val="2"/>
        </w:rPr>
        <w:t>MMPs</w:t>
      </w:r>
      <w:r>
        <w:rPr>
          <w:rFonts w:ascii="Arial" w:hAnsi="Arial" w:eastAsia="Arial" w:cs="Arial"/>
          <w:spacing w:val="-14"/>
          <w:position w:val="2"/>
        </w:rPr>
        <w:t xml:space="preserve"> </w:t>
      </w:r>
      <w:r>
        <w:rPr>
          <w:spacing w:val="-2"/>
          <w:position w:val="2"/>
        </w:rPr>
        <w:t>破坏</w:t>
      </w:r>
      <w:r>
        <w:rPr>
          <w:rFonts w:ascii="Arial" w:hAnsi="Arial" w:eastAsia="Arial" w:cs="Arial"/>
          <w:spacing w:val="-2"/>
          <w:position w:val="2"/>
        </w:rPr>
        <w:t>BBB</w:t>
      </w:r>
      <w:r>
        <w:rPr>
          <w:spacing w:val="-2"/>
          <w:position w:val="2"/>
        </w:rPr>
        <w:t>紧密连接</w:t>
      </w:r>
      <w:r>
        <w:rPr>
          <w:spacing w:val="-2"/>
          <w:position w:val="2"/>
        </w:rPr>
        <w:t xml:space="preserve"> </w:t>
      </w:r>
      <w:r>
        <w:rPr>
          <w:rFonts w:ascii="Arial" w:hAnsi="Arial" w:eastAsia="Arial" w:cs="Arial"/>
          <w:spacing w:val="-2"/>
          <w:position w:val="2"/>
        </w:rPr>
        <w:t>(occludin</w:t>
      </w:r>
      <w:r>
        <w:rPr>
          <w:rFonts w:ascii="SimSun" w:hAnsi="SimSun" w:eastAsia="SimSun" w:cs="SimSun"/>
          <w:spacing w:val="-2"/>
          <w:position w:val="2"/>
        </w:rPr>
        <w:t>、</w:t>
      </w:r>
      <w:r>
        <w:rPr>
          <w:rFonts w:ascii="Arial" w:hAnsi="Arial" w:eastAsia="Arial" w:cs="Arial"/>
          <w:spacing w:val="-2"/>
          <w:position w:val="2"/>
        </w:rPr>
        <w:t>ZO-1  </w:t>
      </w:r>
      <w:r>
        <w:rPr>
          <w:spacing w:val="-2"/>
          <w:position w:val="2"/>
        </w:rPr>
        <w:t>降解)</w:t>
      </w:r>
    </w:p>
    <w:p>
      <w:pPr>
        <w:pStyle w:val="BodyText"/>
        <w:ind w:left="1025"/>
        <w:spacing w:before="260" w:line="220" w:lineRule="auto"/>
        <w:rPr/>
      </w:pPr>
      <w:r>
        <w:rPr>
          <w:rFonts w:ascii="SimSun" w:hAnsi="SimSun" w:eastAsia="SimSun" w:cs="SimSun"/>
          <w:spacing w:val="-2"/>
        </w:rPr>
        <w:t>·ROS </w:t>
      </w:r>
      <w:r>
        <w:rPr>
          <w:spacing w:val="-2"/>
        </w:rPr>
        <w:t>爆发→氧化应激放大神经元凋亡</w:t>
      </w:r>
    </w:p>
    <w:p>
      <w:pPr>
        <w:pStyle w:val="BodyText"/>
        <w:ind w:left="348" w:right="1031" w:firstLine="676"/>
        <w:spacing w:before="267" w:line="331" w:lineRule="auto"/>
        <w:rPr/>
      </w:pPr>
      <w:r>
        <w:rPr>
          <w:spacing w:val="-3"/>
        </w:rPr>
        <w:t>·</w:t>
      </w:r>
      <w:r>
        <w:rPr>
          <w:spacing w:val="-101"/>
        </w:rPr>
        <w:t xml:space="preserve"> </w:t>
      </w:r>
      <w:r>
        <w:rPr>
          <w:spacing w:val="-3"/>
        </w:rPr>
        <w:t>与微胶细胞</w:t>
      </w:r>
      <w:r>
        <w:rPr>
          <w:spacing w:val="-3"/>
        </w:rPr>
        <w:t xml:space="preserve"> </w:t>
      </w:r>
      <w:r>
        <w:rPr>
          <w:rFonts w:ascii="SimSun" w:hAnsi="SimSun" w:eastAsia="SimSun" w:cs="SimSun"/>
          <w:spacing w:val="-3"/>
        </w:rPr>
        <w:t>(microglia) </w:t>
      </w:r>
      <w:r>
        <w:rPr>
          <w:spacing w:val="-3"/>
        </w:rPr>
        <w:t>协同放大炎症</w:t>
      </w:r>
      <w:r>
        <w:rPr>
          <w:spacing w:val="-3"/>
        </w:rPr>
        <w:t xml:space="preserve"> </w:t>
      </w:r>
      <w:r>
        <w:rPr>
          <w:rFonts w:ascii="SimSun" w:hAnsi="SimSun" w:eastAsia="SimSun" w:cs="SimSun"/>
          <w:spacing w:val="-3"/>
        </w:rPr>
        <w:t>(IL-1β、TNF-α、CXCL1/2</w:t>
      </w:r>
      <w:r>
        <w:rPr>
          <w:spacing w:val="-3"/>
        </w:rPr>
        <w:t>正</w:t>
      </w:r>
      <w:r>
        <w:rPr>
          <w:spacing w:val="-4"/>
        </w:rPr>
        <w:t>反馈)</w:t>
      </w:r>
      <w:r>
        <w:rPr/>
        <w:t xml:space="preserve"> </w:t>
      </w:r>
      <w:r>
        <w:rPr>
          <w:b/>
          <w:bCs/>
          <w:spacing w:val="21"/>
        </w:rPr>
        <w:t>3.2023-2025年新证据</w:t>
      </w:r>
    </w:p>
    <w:p>
      <w:pPr>
        <w:pStyle w:val="BodyText"/>
        <w:ind w:left="1025"/>
        <w:spacing w:before="267" w:line="221" w:lineRule="auto"/>
        <w:rPr/>
      </w:pPr>
      <w:r>
        <w:rPr>
          <w:spacing w:val="-2"/>
        </w:rPr>
        <w:t>·</w:t>
      </w:r>
      <w:r>
        <w:rPr>
          <w:spacing w:val="-101"/>
        </w:rPr>
        <w:t xml:space="preserve"> </w:t>
      </w:r>
      <w:r>
        <w:rPr>
          <w:spacing w:val="-2"/>
        </w:rPr>
        <w:t>单细胞转录组显示急性期脑内中性粒细胞至少</w:t>
      </w:r>
      <w:r>
        <w:rPr>
          <w:spacing w:val="-3"/>
        </w:rPr>
        <w:t>可分为3-5个主要簇：</w:t>
      </w:r>
    </w:p>
    <w:p>
      <w:pPr>
        <w:pStyle w:val="BodyText"/>
        <w:ind w:left="1525"/>
        <w:spacing w:before="237" w:line="212" w:lineRule="auto"/>
        <w:rPr/>
      </w:pPr>
      <w:r>
        <w:rPr>
          <w:spacing w:val="-1"/>
        </w:rPr>
        <w:t>·簇1/4:骨髓来源、发育相关</w:t>
      </w:r>
      <w:r>
        <w:rPr>
          <w:spacing w:val="-1"/>
        </w:rPr>
        <w:t xml:space="preserve"> </w:t>
      </w:r>
      <w:r>
        <w:rPr>
          <w:rFonts w:ascii="Times New Roman" w:hAnsi="Times New Roman" w:eastAsia="Times New Roman" w:cs="Times New Roman"/>
          <w:spacing w:val="-1"/>
        </w:rPr>
        <w:t>(Retnla</w:t>
      </w:r>
      <w:r>
        <w:rPr>
          <w:rFonts w:ascii="Times New Roman" w:hAnsi="Times New Roman" w:eastAsia="Times New Roman" w:cs="Times New Roman"/>
          <w:spacing w:val="-32"/>
        </w:rPr>
        <w:t xml:space="preserve"> </w:t>
      </w:r>
      <w:r>
        <w:rPr>
          <w:rFonts w:ascii="SimSun" w:hAnsi="SimSun" w:eastAsia="SimSun" w:cs="SimSun"/>
          <w:spacing w:val="-1"/>
        </w:rPr>
        <w:t>、</w:t>
      </w:r>
      <w:r>
        <w:rPr>
          <w:rFonts w:ascii="Times New Roman" w:hAnsi="Times New Roman" w:eastAsia="Times New Roman" w:cs="Times New Roman"/>
          <w:spacing w:val="-1"/>
        </w:rPr>
        <w:t>Mmp8</w:t>
      </w:r>
      <w:r>
        <w:rPr>
          <w:rFonts w:ascii="Times New Roman" w:hAnsi="Times New Roman" w:eastAsia="Times New Roman" w:cs="Times New Roman"/>
          <w:spacing w:val="-34"/>
        </w:rPr>
        <w:t xml:space="preserve"> </w:t>
      </w:r>
      <w:r>
        <w:rPr>
          <w:rFonts w:ascii="SimSun" w:hAnsi="SimSun" w:eastAsia="SimSun" w:cs="SimSun"/>
          <w:spacing w:val="-1"/>
        </w:rPr>
        <w:t>、</w:t>
      </w:r>
      <w:r>
        <w:rPr>
          <w:rFonts w:ascii="Times New Roman" w:hAnsi="Times New Roman" w:eastAsia="Times New Roman" w:cs="Times New Roman"/>
          <w:spacing w:val="-1"/>
        </w:rPr>
        <w:t>Camp</w:t>
      </w:r>
      <w:r>
        <w:rPr>
          <w:rFonts w:ascii="Times New Roman" w:hAnsi="Times New Roman" w:eastAsia="Times New Roman" w:cs="Times New Roman"/>
          <w:spacing w:val="-34"/>
        </w:rPr>
        <w:t xml:space="preserve"> </w:t>
      </w:r>
      <w:r>
        <w:rPr>
          <w:rFonts w:ascii="SimSun" w:hAnsi="SimSun" w:eastAsia="SimSun" w:cs="SimSun"/>
          <w:spacing w:val="-1"/>
        </w:rPr>
        <w:t>、</w:t>
      </w:r>
      <w:r>
        <w:rPr>
          <w:rFonts w:ascii="Times New Roman" w:hAnsi="Times New Roman" w:eastAsia="Times New Roman" w:cs="Times New Roman"/>
          <w:spacing w:val="-1"/>
        </w:rPr>
        <w:t>Ltf)——      </w:t>
      </w:r>
      <w:r>
        <w:rPr>
          <w:spacing w:val="-1"/>
        </w:rPr>
        <w:t>较少浸润</w:t>
      </w:r>
    </w:p>
    <w:p>
      <w:pPr>
        <w:pStyle w:val="BodyText"/>
        <w:ind w:left="1525"/>
        <w:spacing w:before="223" w:line="327" w:lineRule="exact"/>
        <w:rPr/>
      </w:pPr>
      <w:r>
        <w:rPr>
          <w:spacing w:val="-2"/>
          <w:position w:val="2"/>
        </w:rPr>
        <w:t>·</w:t>
      </w:r>
      <w:r>
        <w:rPr>
          <w:spacing w:val="-73"/>
          <w:position w:val="2"/>
        </w:rPr>
        <w:t xml:space="preserve"> </w:t>
      </w:r>
      <w:r>
        <w:rPr>
          <w:spacing w:val="-2"/>
          <w:position w:val="2"/>
        </w:rPr>
        <w:t>簇2:</w:t>
      </w:r>
      <w:r>
        <w:rPr>
          <w:spacing w:val="-52"/>
          <w:position w:val="2"/>
        </w:rPr>
        <w:t xml:space="preserve"> </w:t>
      </w:r>
      <w:r>
        <w:rPr>
          <w:rFonts w:ascii="Arial" w:hAnsi="Arial" w:eastAsia="Arial" w:cs="Arial"/>
          <w:spacing w:val="-2"/>
          <w:position w:val="2"/>
        </w:rPr>
        <w:t>I</w:t>
      </w:r>
      <w:r>
        <w:rPr>
          <w:spacing w:val="-2"/>
          <w:position w:val="2"/>
        </w:rPr>
        <w:t>型干扰素反应</w:t>
      </w:r>
      <w:r>
        <w:rPr>
          <w:spacing w:val="-2"/>
          <w:position w:val="2"/>
        </w:rPr>
        <w:t xml:space="preserve"> </w:t>
      </w:r>
      <w:r>
        <w:rPr>
          <w:rFonts w:ascii="Arial" w:hAnsi="Arial" w:eastAsia="Arial" w:cs="Arial"/>
          <w:spacing w:val="-2"/>
          <w:position w:val="2"/>
        </w:rPr>
        <w:t>(Isg15</w:t>
      </w:r>
      <w:r>
        <w:rPr>
          <w:rFonts w:ascii="SimSun" w:hAnsi="SimSun" w:eastAsia="SimSun" w:cs="SimSun"/>
          <w:spacing w:val="-2"/>
          <w:position w:val="2"/>
        </w:rPr>
        <w:t>、</w:t>
      </w:r>
      <w:r>
        <w:rPr>
          <w:rFonts w:ascii="Arial" w:hAnsi="Arial" w:eastAsia="Arial" w:cs="Arial"/>
          <w:spacing w:val="-2"/>
          <w:position w:val="2"/>
        </w:rPr>
        <w:t>Ifit</w:t>
      </w:r>
      <w:r>
        <w:rPr>
          <w:rFonts w:ascii="Arial" w:hAnsi="Arial" w:eastAsia="Arial" w:cs="Arial"/>
          <w:spacing w:val="29"/>
          <w:position w:val="2"/>
        </w:rPr>
        <w:t xml:space="preserve"> </w:t>
      </w:r>
      <w:r>
        <w:rPr>
          <w:spacing w:val="-2"/>
          <w:position w:val="2"/>
        </w:rPr>
        <w:t>家族)</w:t>
      </w:r>
    </w:p>
    <w:p>
      <w:pPr>
        <w:pStyle w:val="BodyText"/>
        <w:ind w:left="1525"/>
        <w:spacing w:before="280" w:line="221" w:lineRule="auto"/>
        <w:rPr/>
      </w:pPr>
      <w:r>
        <w:rPr/>
        <w:t>·</w:t>
      </w:r>
      <w:r>
        <w:rPr>
          <w:spacing w:val="-99"/>
        </w:rPr>
        <w:t xml:space="preserve"> </w:t>
      </w:r>
      <w:r>
        <w:rPr/>
        <w:t>簇3:高表达趋化因子/细胞因子</w:t>
      </w:r>
      <w:r>
        <w:rPr>
          <w:spacing w:val="-32"/>
        </w:rPr>
        <w:t xml:space="preserve"> </w:t>
      </w:r>
      <w:r>
        <w:rPr>
          <w:rFonts w:ascii="SimSun" w:hAnsi="SimSun" w:eastAsia="SimSun" w:cs="SimSun"/>
        </w:rPr>
        <w:t>(Ccl3、Ccl</w:t>
      </w:r>
      <w:r>
        <w:rPr>
          <w:rFonts w:ascii="SimSun" w:hAnsi="SimSun" w:eastAsia="SimSun" w:cs="SimSun"/>
          <w:spacing w:val="-1"/>
        </w:rPr>
        <w:t>4、Csf1)——</w:t>
      </w:r>
      <w:r>
        <w:rPr>
          <w:rFonts w:ascii="SimSun" w:hAnsi="SimSun" w:eastAsia="SimSun" w:cs="SimSun"/>
          <w:spacing w:val="81"/>
        </w:rPr>
        <w:t xml:space="preserve"> </w:t>
      </w:r>
      <w:r>
        <w:rPr>
          <w:spacing w:val="-1"/>
        </w:rPr>
        <w:t>最强的促炎簇</w:t>
      </w:r>
    </w:p>
    <w:p>
      <w:pPr>
        <w:pStyle w:val="BodyText"/>
        <w:ind w:left="1025"/>
        <w:spacing w:before="306" w:line="217" w:lineRule="auto"/>
        <w:rPr/>
      </w:pPr>
      <w:r>
        <w:rPr>
          <w:spacing w:val="-1"/>
        </w:rPr>
        <w:t>·</w:t>
      </w:r>
      <w:r>
        <w:rPr>
          <w:spacing w:val="-99"/>
        </w:rPr>
        <w:t xml:space="preserve"> </w:t>
      </w:r>
      <w:r>
        <w:rPr>
          <w:spacing w:val="-1"/>
        </w:rPr>
        <w:t>临床相关：外周血中衰老型</w:t>
      </w:r>
      <w:r>
        <w:rPr>
          <w:spacing w:val="-1"/>
        </w:rPr>
        <w:t xml:space="preserve"> </w:t>
      </w:r>
      <w:r>
        <w:rPr>
          <w:rFonts w:ascii="SimSun" w:hAnsi="SimSun" w:eastAsia="SimSun" w:cs="SimSun"/>
          <w:spacing w:val="-1"/>
        </w:rPr>
        <w:t>(CXCR4^bright^/CD62L^dim^)     </w:t>
      </w:r>
      <w:r>
        <w:rPr>
          <w:spacing w:val="-1"/>
        </w:rPr>
        <w:t>和逆向迁移型</w:t>
      </w:r>
    </w:p>
    <w:p>
      <w:pPr>
        <w:pStyle w:val="BodyText"/>
        <w:ind w:left="1175" w:firstLine="150"/>
        <w:spacing w:before="114" w:line="271" w:lineRule="auto"/>
        <w:rPr/>
      </w:pPr>
      <w:r>
        <w:rPr>
          <w:rFonts w:ascii="SimSun" w:hAnsi="SimSun" w:eastAsia="SimSun" w:cs="SimSun"/>
        </w:rPr>
        <w:t>(CD54^high^/CXCR1^low^)     </w:t>
      </w:r>
      <w:r>
        <w:rPr/>
        <w:t>中性粒细胞比例升高，与卒中严重度及不良预</w:t>
      </w:r>
      <w:r>
        <w:rPr>
          <w:spacing w:val="-1"/>
        </w:rPr>
        <w:t>后正相</w:t>
      </w:r>
      <w:r>
        <w:rPr/>
        <w:t xml:space="preserve"> </w:t>
      </w:r>
      <w:r>
        <w:rPr>
          <w:spacing w:val="-13"/>
        </w:rPr>
        <w:t>关。</w:t>
      </w:r>
    </w:p>
    <w:p>
      <w:pPr>
        <w:spacing w:line="386" w:lineRule="auto"/>
        <w:rPr>
          <w:rFonts w:ascii="Arial"/>
          <w:sz w:val="21"/>
        </w:rPr>
      </w:pPr>
      <w:r/>
    </w:p>
    <w:p>
      <w:pPr>
        <w:pStyle w:val="BodyText"/>
        <w:spacing w:before="102" w:line="213" w:lineRule="auto"/>
        <w:outlineLvl w:val="2"/>
        <w:rPr>
          <w:sz w:val="31"/>
          <w:szCs w:val="31"/>
        </w:rPr>
      </w:pPr>
      <w:r>
        <w:rPr>
          <w:sz w:val="31"/>
          <w:szCs w:val="31"/>
          <w:b/>
          <w:bCs/>
          <w:spacing w:val="4"/>
        </w:rPr>
        <w:t>三、慢性期(&gt;7天，通常7-28天及更长)中性粒细胞的功能转变</w:t>
      </w:r>
    </w:p>
    <w:p>
      <w:pPr>
        <w:spacing w:line="213" w:lineRule="auto"/>
        <w:sectPr>
          <w:pgSz w:w="12240" w:h="15840"/>
          <w:pgMar w:top="1259" w:right="1051" w:bottom="0" w:left="984" w:header="0" w:footer="0" w:gutter="0"/>
        </w:sectPr>
        <w:rPr>
          <w:sz w:val="31"/>
          <w:szCs w:val="31"/>
        </w:rPr>
      </w:pPr>
    </w:p>
    <w:p>
      <w:pPr>
        <w:pStyle w:val="BodyText"/>
        <w:ind w:left="363"/>
        <w:spacing w:before="48" w:line="222" w:lineRule="auto"/>
        <w:rPr/>
      </w:pPr>
      <w:r>
        <w:rPr>
          <w:rFonts w:ascii="SimSun" w:hAnsi="SimSun" w:eastAsia="SimSun" w:cs="SimSun"/>
          <w:b/>
          <w:bCs/>
          <w:spacing w:val="-7"/>
        </w:rPr>
        <w:t>1.</w:t>
      </w:r>
      <w:r>
        <w:rPr>
          <w:rFonts w:ascii="SimSun" w:hAnsi="SimSun" w:eastAsia="SimSun" w:cs="SimSun"/>
          <w:spacing w:val="-20"/>
        </w:rPr>
        <w:t xml:space="preserve"> </w:t>
      </w:r>
      <w:r>
        <w:rPr>
          <w:b/>
          <w:bCs/>
          <w:spacing w:val="-7"/>
        </w:rPr>
        <w:t>数量与表型动态</w:t>
      </w:r>
    </w:p>
    <w:p>
      <w:pPr>
        <w:pStyle w:val="BodyText"/>
        <w:ind w:left="1198" w:hanging="169"/>
        <w:spacing w:before="243" w:line="277" w:lineRule="auto"/>
        <w:rPr/>
      </w:pPr>
      <w:r>
        <w:rPr>
          <w:spacing w:val="5"/>
        </w:rPr>
        <w:t>·总量在</w:t>
      </w:r>
      <w:r>
        <w:rPr>
          <w:rFonts w:ascii="SimSun" w:hAnsi="SimSun" w:eastAsia="SimSun" w:cs="SimSun"/>
          <w:spacing w:val="5"/>
        </w:rPr>
        <w:t>D7</w:t>
      </w:r>
      <w:r>
        <w:rPr>
          <w:rFonts w:ascii="SimSun" w:hAnsi="SimSun" w:eastAsia="SimSun" w:cs="SimSun"/>
          <w:spacing w:val="-35"/>
        </w:rPr>
        <w:t xml:space="preserve"> </w:t>
      </w:r>
      <w:r>
        <w:rPr>
          <w:spacing w:val="5"/>
        </w:rPr>
        <w:t>后显著下降，但部分研究(2023</w:t>
      </w:r>
      <w:r>
        <w:rPr>
          <w:spacing w:val="5"/>
        </w:rPr>
        <w:t xml:space="preserve"> </w:t>
      </w:r>
      <w:r>
        <w:rPr>
          <w:rFonts w:ascii="SimSun" w:hAnsi="SimSun" w:eastAsia="SimSun" w:cs="SimSun"/>
        </w:rPr>
        <w:t>AHA</w:t>
      </w:r>
      <w:r>
        <w:rPr>
          <w:rFonts w:ascii="SimSun" w:hAnsi="SimSun" w:eastAsia="SimSun" w:cs="SimSun"/>
          <w:spacing w:val="41"/>
        </w:rPr>
        <w:t xml:space="preserve"> </w:t>
      </w:r>
      <w:r>
        <w:rPr>
          <w:spacing w:val="5"/>
        </w:rPr>
        <w:t>摘要)显示</w:t>
      </w:r>
      <w:r>
        <w:rPr>
          <w:rFonts w:ascii="SimSun" w:hAnsi="SimSun" w:eastAsia="SimSun" w:cs="SimSun"/>
          <w:spacing w:val="5"/>
        </w:rPr>
        <w:t>D14</w:t>
      </w:r>
      <w:r>
        <w:rPr>
          <w:rFonts w:ascii="SimSun" w:hAnsi="SimSun" w:eastAsia="SimSun" w:cs="SimSun"/>
          <w:spacing w:val="-55"/>
        </w:rPr>
        <w:t xml:space="preserve"> </w:t>
      </w:r>
      <w:r>
        <w:rPr>
          <w:spacing w:val="5"/>
        </w:rPr>
        <w:t>脑</w:t>
      </w:r>
      <w:r>
        <w:rPr>
          <w:spacing w:val="4"/>
        </w:rPr>
        <w:t>内中性粒细胞数量</w:t>
      </w:r>
      <w:r>
        <w:rPr/>
        <w:t xml:space="preserve"> </w:t>
      </w:r>
      <w:r>
        <w:rPr>
          <w:spacing w:val="3"/>
        </w:rPr>
        <w:t>反而是</w:t>
      </w:r>
      <w:r>
        <w:rPr>
          <w:rFonts w:ascii="Arial" w:hAnsi="Arial" w:eastAsia="Arial" w:cs="Arial"/>
          <w:spacing w:val="3"/>
        </w:rPr>
        <w:t>D2</w:t>
      </w:r>
      <w:r>
        <w:rPr>
          <w:spacing w:val="3"/>
        </w:rPr>
        <w:t>的5倍左右</w:t>
      </w:r>
    </w:p>
    <w:p>
      <w:pPr>
        <w:pStyle w:val="BodyText"/>
        <w:ind w:left="1029"/>
        <w:spacing w:before="240" w:line="221" w:lineRule="auto"/>
        <w:rPr/>
      </w:pPr>
      <w:r>
        <w:rPr>
          <w:spacing w:val="-8"/>
        </w:rPr>
        <w:t>·</w:t>
      </w:r>
      <w:r>
        <w:rPr>
          <w:spacing w:val="-101"/>
        </w:rPr>
        <w:t xml:space="preserve"> </w:t>
      </w:r>
      <w:r>
        <w:rPr>
          <w:spacing w:val="-8"/>
        </w:rPr>
        <w:t>关键发现：晚期出现保护性亚群</w:t>
      </w:r>
    </w:p>
    <w:p>
      <w:pPr>
        <w:pStyle w:val="BodyText"/>
        <w:ind w:left="1559"/>
        <w:spacing w:before="282" w:line="221" w:lineRule="auto"/>
        <w:rPr/>
      </w:pPr>
      <w:r>
        <w:rPr>
          <w:spacing w:val="4"/>
        </w:rPr>
        <w:t>·</w:t>
      </w:r>
      <w:r>
        <w:rPr>
          <w:spacing w:val="-78"/>
        </w:rPr>
        <w:t xml:space="preserve"> </w:t>
      </w:r>
      <w:r>
        <w:rPr>
          <w:spacing w:val="4"/>
        </w:rPr>
        <w:t>部分簇(尤其是簇2/3后演化)表达抗炎/修复基因</w:t>
      </w:r>
    </w:p>
    <w:p>
      <w:pPr>
        <w:pStyle w:val="BodyText"/>
        <w:ind w:left="1559"/>
        <w:spacing w:before="256" w:line="217" w:lineRule="auto"/>
        <w:rPr/>
      </w:pPr>
      <w:r>
        <w:rPr>
          <w:rFonts w:ascii="SimSun" w:hAnsi="SimSun" w:eastAsia="SimSun" w:cs="SimSun"/>
          <w:spacing w:val="-3"/>
        </w:rPr>
        <w:t>·N2-like</w:t>
      </w:r>
      <w:r>
        <w:rPr>
          <w:spacing w:val="-3"/>
        </w:rPr>
        <w:t>比例在</w:t>
      </w:r>
      <w:r>
        <w:rPr>
          <w:rFonts w:ascii="SimSun" w:hAnsi="SimSun" w:eastAsia="SimSun" w:cs="SimSun"/>
          <w:spacing w:val="-3"/>
        </w:rPr>
        <w:t>D7</w:t>
      </w:r>
      <w:r>
        <w:rPr>
          <w:rFonts w:ascii="SimSun" w:hAnsi="SimSun" w:eastAsia="SimSun" w:cs="SimSun"/>
          <w:spacing w:val="-45"/>
        </w:rPr>
        <w:t xml:space="preserve"> </w:t>
      </w:r>
      <w:r>
        <w:rPr>
          <w:spacing w:val="-3"/>
        </w:rPr>
        <w:t>达到峰值</w:t>
      </w:r>
      <w:r>
        <w:rPr>
          <w:spacing w:val="-3"/>
        </w:rPr>
        <w:t xml:space="preserve"> </w:t>
      </w:r>
      <w:r>
        <w:rPr>
          <w:rFonts w:ascii="SimSun" w:hAnsi="SimSun" w:eastAsia="SimSun" w:cs="SimSun"/>
          <w:spacing w:val="-3"/>
        </w:rPr>
        <w:t>(Ym1、</w:t>
      </w:r>
      <w:r>
        <w:rPr>
          <w:rFonts w:ascii="SimSun" w:hAnsi="SimSun" w:eastAsia="SimSun" w:cs="SimSun"/>
          <w:spacing w:val="-4"/>
        </w:rPr>
        <w:t>CD206、Arg1   </w:t>
      </w:r>
      <w:r>
        <w:rPr>
          <w:spacing w:val="-4"/>
        </w:rPr>
        <w:t>等)</w:t>
      </w:r>
    </w:p>
    <w:p>
      <w:pPr>
        <w:pStyle w:val="BodyText"/>
        <w:ind w:left="1559"/>
        <w:spacing w:before="234" w:line="221" w:lineRule="auto"/>
        <w:rPr/>
      </w:pPr>
      <w:r>
        <w:rPr>
          <w:spacing w:val="4"/>
        </w:rPr>
        <w:t>·2023年报道一种新型晚期保护性亚群(晚期特异性高表达修复相关转录因</w:t>
      </w:r>
      <w:r>
        <w:rPr>
          <w:spacing w:val="3"/>
        </w:rPr>
        <w:t>子)</w:t>
      </w:r>
    </w:p>
    <w:p>
      <w:pPr>
        <w:pStyle w:val="BodyText"/>
        <w:ind w:left="363"/>
        <w:spacing w:before="300" w:line="222" w:lineRule="auto"/>
        <w:rPr/>
      </w:pPr>
      <w:r>
        <w:rPr>
          <w:rFonts w:ascii="SimSun" w:hAnsi="SimSun" w:eastAsia="SimSun" w:cs="SimSun"/>
          <w:b/>
          <w:bCs/>
          <w:spacing w:val="-5"/>
        </w:rPr>
        <w:t>2.</w:t>
      </w:r>
      <w:r>
        <w:rPr>
          <w:rFonts w:ascii="SimSun" w:hAnsi="SimSun" w:eastAsia="SimSun" w:cs="SimSun"/>
          <w:spacing w:val="-36"/>
        </w:rPr>
        <w:t xml:space="preserve"> </w:t>
      </w:r>
      <w:r>
        <w:rPr>
          <w:b/>
          <w:bCs/>
          <w:spacing w:val="-5"/>
        </w:rPr>
        <w:t>保护性功能证据</w:t>
      </w:r>
    </w:p>
    <w:p>
      <w:pPr>
        <w:pStyle w:val="BodyText"/>
        <w:ind w:left="1029"/>
        <w:spacing w:before="255" w:line="222" w:lineRule="auto"/>
        <w:rPr/>
      </w:pPr>
      <w:r>
        <w:rPr>
          <w:spacing w:val="2"/>
        </w:rPr>
        <w:t>·</w:t>
      </w:r>
      <w:r>
        <w:rPr>
          <w:spacing w:val="-85"/>
        </w:rPr>
        <w:t xml:space="preserve"> </w:t>
      </w:r>
      <w:r>
        <w:rPr>
          <w:spacing w:val="2"/>
        </w:rPr>
        <w:t>晚期</w:t>
      </w:r>
      <w:r>
        <w:rPr>
          <w:spacing w:val="2"/>
        </w:rPr>
        <w:t xml:space="preserve"> </w:t>
      </w:r>
      <w:r>
        <w:rPr>
          <w:rFonts w:ascii="SimSun" w:hAnsi="SimSun" w:eastAsia="SimSun" w:cs="SimSun"/>
          <w:spacing w:val="2"/>
        </w:rPr>
        <w:t>(D7 </w:t>
      </w:r>
      <w:r>
        <w:rPr>
          <w:spacing w:val="2"/>
        </w:rPr>
        <w:t>开始)耗竭中性粒细胞→脑组织丢失增加18.7%</w:t>
      </w:r>
      <w:r>
        <w:rPr>
          <w:spacing w:val="-58"/>
        </w:rPr>
        <w:t xml:space="preserve"> </w:t>
      </w:r>
      <w:r>
        <w:rPr>
          <w:rFonts w:ascii="SimSun" w:hAnsi="SimSun" w:eastAsia="SimSun" w:cs="SimSun"/>
        </w:rPr>
        <w:t>vs</w:t>
      </w:r>
      <w:r>
        <w:rPr>
          <w:rFonts w:ascii="SimSun" w:hAnsi="SimSun" w:eastAsia="SimSun" w:cs="SimSun"/>
          <w:spacing w:val="-41"/>
        </w:rPr>
        <w:t xml:space="preserve"> </w:t>
      </w:r>
      <w:r>
        <w:rPr>
          <w:spacing w:val="2"/>
        </w:rPr>
        <w:t>对照组</w:t>
      </w:r>
    </w:p>
    <w:p>
      <w:pPr>
        <w:pStyle w:val="BodyText"/>
        <w:ind w:left="1029"/>
        <w:spacing w:before="260" w:line="221" w:lineRule="auto"/>
        <w:rPr/>
      </w:pPr>
      <w:r>
        <w:rPr>
          <w:spacing w:val="4"/>
        </w:rPr>
        <w:t>·</w:t>
      </w:r>
      <w:r>
        <w:rPr>
          <w:spacing w:val="-86"/>
        </w:rPr>
        <w:t xml:space="preserve"> </w:t>
      </w:r>
      <w:r>
        <w:rPr>
          <w:spacing w:val="4"/>
        </w:rPr>
        <w:t>运动功能(开放场实验中步行距离、刻板行为)显著恶化</w:t>
      </w:r>
    </w:p>
    <w:p>
      <w:pPr>
        <w:pStyle w:val="BodyText"/>
        <w:ind w:left="1178" w:right="6" w:hanging="149"/>
        <w:spacing w:before="264" w:line="268" w:lineRule="auto"/>
        <w:rPr/>
      </w:pPr>
      <w:r>
        <w:rPr>
          <w:spacing w:val="-3"/>
        </w:rPr>
        <w:t>·机制推测：促进巨噬细胞吞噬清除坏死组织、血管新生、分泌神经营养因子、抑制过</w:t>
      </w:r>
      <w:r>
        <w:rPr>
          <w:spacing w:val="11"/>
        </w:rPr>
        <w:t xml:space="preserve"> </w:t>
      </w:r>
      <w:r>
        <w:rPr>
          <w:spacing w:val="-2"/>
        </w:rPr>
        <w:t>度瘢痕形成</w:t>
      </w:r>
    </w:p>
    <w:p>
      <w:pPr>
        <w:pStyle w:val="BodyText"/>
        <w:ind w:left="363"/>
        <w:spacing w:before="311" w:line="222" w:lineRule="auto"/>
        <w:rPr/>
      </w:pPr>
      <w:r>
        <w:rPr>
          <w:rFonts w:ascii="SimSun" w:hAnsi="SimSun" w:eastAsia="SimSun" w:cs="SimSun"/>
          <w:b/>
          <w:bCs/>
          <w:spacing w:val="-5"/>
        </w:rPr>
        <w:t>3.</w:t>
      </w:r>
      <w:r>
        <w:rPr>
          <w:rFonts w:ascii="SimSun" w:hAnsi="SimSun" w:eastAsia="SimSun" w:cs="SimSun"/>
          <w:spacing w:val="-46"/>
        </w:rPr>
        <w:t xml:space="preserve"> </w:t>
      </w:r>
      <w:r>
        <w:rPr>
          <w:b/>
          <w:bCs/>
          <w:spacing w:val="-5"/>
        </w:rPr>
        <w:t>极化时间窗总结</w:t>
      </w:r>
    </w:p>
    <w:p>
      <w:pPr>
        <w:pStyle w:val="BodyText"/>
        <w:ind w:left="1029"/>
        <w:spacing w:before="231" w:line="328" w:lineRule="exact"/>
        <w:rPr>
          <w:rFonts w:ascii="Arial" w:hAnsi="Arial" w:eastAsia="Arial" w:cs="Arial"/>
        </w:rPr>
      </w:pPr>
      <w:r>
        <w:rPr>
          <w:rFonts w:ascii="Arial" w:hAnsi="Arial" w:eastAsia="Arial" w:cs="Arial"/>
          <w:spacing w:val="-4"/>
          <w:position w:val="1"/>
        </w:rPr>
        <w:t>·N1-like</w:t>
      </w:r>
      <w:r>
        <w:rPr>
          <w:rFonts w:ascii="Arial" w:hAnsi="Arial" w:eastAsia="Arial" w:cs="Arial"/>
          <w:spacing w:val="68"/>
          <w:position w:val="1"/>
        </w:rPr>
        <w:t xml:space="preserve"> </w:t>
      </w:r>
      <w:r>
        <w:rPr>
          <w:spacing w:val="-4"/>
          <w:position w:val="1"/>
        </w:rPr>
        <w:t>主导：</w:t>
      </w:r>
      <w:r>
        <w:rPr>
          <w:rFonts w:ascii="Arial" w:hAnsi="Arial" w:eastAsia="Arial" w:cs="Arial"/>
          <w:spacing w:val="-4"/>
          <w:position w:val="1"/>
        </w:rPr>
        <w:t>DO-D3/5</w:t>
      </w:r>
    </w:p>
    <w:p>
      <w:pPr>
        <w:pStyle w:val="BodyText"/>
        <w:ind w:left="1029"/>
        <w:spacing w:before="184" w:line="328" w:lineRule="exact"/>
        <w:rPr>
          <w:rFonts w:ascii="Arial" w:hAnsi="Arial" w:eastAsia="Arial" w:cs="Arial"/>
        </w:rPr>
      </w:pPr>
      <w:r>
        <w:rPr>
          <w:rFonts w:ascii="Arial" w:hAnsi="Arial" w:eastAsia="Arial" w:cs="Arial"/>
          <w:spacing w:val="-4"/>
          <w:position w:val="1"/>
        </w:rPr>
        <w:t>·N2-like</w:t>
      </w:r>
      <w:r>
        <w:rPr>
          <w:rFonts w:ascii="Arial" w:hAnsi="Arial" w:eastAsia="Arial" w:cs="Arial"/>
          <w:spacing w:val="28"/>
          <w:position w:val="1"/>
        </w:rPr>
        <w:t xml:space="preserve">  </w:t>
      </w:r>
      <w:r>
        <w:rPr>
          <w:spacing w:val="-4"/>
          <w:position w:val="1"/>
        </w:rPr>
        <w:t>比例上升：</w:t>
      </w:r>
      <w:r>
        <w:rPr>
          <w:rFonts w:ascii="Arial" w:hAnsi="Arial" w:eastAsia="Arial" w:cs="Arial"/>
          <w:spacing w:val="-4"/>
          <w:position w:val="1"/>
        </w:rPr>
        <w:t>D5-D14</w:t>
      </w:r>
    </w:p>
    <w:p>
      <w:pPr>
        <w:pStyle w:val="BodyText"/>
        <w:ind w:left="1029"/>
        <w:spacing w:before="252" w:line="221" w:lineRule="auto"/>
        <w:rPr/>
      </w:pPr>
      <w:r>
        <w:rPr>
          <w:spacing w:val="-4"/>
        </w:rPr>
        <w:t>·慢性期保护亚群：</w:t>
      </w:r>
      <w:r>
        <w:rPr>
          <w:rFonts w:ascii="SimSun" w:hAnsi="SimSun" w:eastAsia="SimSun" w:cs="SimSun"/>
          <w:spacing w:val="-4"/>
        </w:rPr>
        <w:t>D14+</w:t>
      </w:r>
      <w:r>
        <w:rPr>
          <w:rFonts w:ascii="SimSun" w:hAnsi="SimSun" w:eastAsia="SimSun" w:cs="SimSun"/>
          <w:spacing w:val="112"/>
        </w:rPr>
        <w:t xml:space="preserve"> </w:t>
      </w:r>
      <w:r>
        <w:rPr>
          <w:spacing w:val="-4"/>
        </w:rPr>
        <w:t>(可能与分辨炎症、组织重塑相关)</w:t>
      </w:r>
    </w:p>
    <w:p>
      <w:pPr>
        <w:spacing w:line="354" w:lineRule="auto"/>
        <w:rPr>
          <w:rFonts w:ascii="Arial"/>
          <w:sz w:val="21"/>
        </w:rPr>
      </w:pPr>
      <w:r/>
    </w:p>
    <w:p>
      <w:pPr>
        <w:pStyle w:val="BodyText"/>
        <w:ind w:left="19"/>
        <w:spacing w:before="98" w:line="221" w:lineRule="auto"/>
        <w:rPr>
          <w:sz w:val="30"/>
          <w:szCs w:val="30"/>
        </w:rPr>
      </w:pPr>
      <w:r>
        <w:rPr>
          <w:sz w:val="30"/>
          <w:szCs w:val="30"/>
        </w:rPr>
        <w:t>四、中性粒细胞亚群与其他细胞类型的交互网络及临床结局导向</w:t>
      </w:r>
    </w:p>
    <w:p>
      <w:pPr>
        <w:pStyle w:val="BodyText"/>
        <w:spacing w:before="269" w:line="221" w:lineRule="auto"/>
        <w:rPr/>
      </w:pPr>
      <w:r>
        <w:rPr>
          <w:spacing w:val="10"/>
        </w:rPr>
        <w:t>表1</w:t>
      </w:r>
      <w:r>
        <w:rPr>
          <w:spacing w:val="71"/>
        </w:rPr>
        <w:t xml:space="preserve"> </w:t>
      </w:r>
      <w:r>
        <w:rPr>
          <w:spacing w:val="10"/>
        </w:rPr>
        <w:t>中性粒细胞主要亚群与关键细胞交互及结局关联(基于2021-2025</w:t>
      </w:r>
      <w:r>
        <w:rPr>
          <w:spacing w:val="9"/>
        </w:rPr>
        <w:t>年文献整合)</w:t>
      </w:r>
    </w:p>
    <w:p>
      <w:pPr>
        <w:spacing w:line="221" w:lineRule="auto"/>
        <w:sectPr>
          <w:pgSz w:w="12240" w:h="15840"/>
          <w:pgMar w:top="1236" w:right="1205" w:bottom="0" w:left="980" w:header="0" w:footer="0" w:gutter="0"/>
        </w:sectPr>
        <w:rPr/>
      </w:pPr>
    </w:p>
    <w:tbl>
      <w:tblPr>
        <w:tblStyle w:val="TableNormal"/>
        <w:tblW w:w="10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0"/>
        <w:gridCol w:w="1271"/>
        <w:gridCol w:w="1732"/>
        <w:gridCol w:w="2872"/>
        <w:gridCol w:w="1710"/>
        <w:gridCol w:w="1544"/>
      </w:tblGrid>
      <w:tr>
        <w:trPr>
          <w:trHeight w:val="1210" w:hRule="atLeast"/>
        </w:trPr>
        <w:tc>
          <w:tcPr>
            <w:tcW w:w="1080" w:type="dxa"/>
            <w:vAlign w:val="top"/>
            <w:vMerge w:val="restart"/>
            <w:tcBorders>
              <w:right w:val="nil"/>
              <w:bottom w:val="nil"/>
            </w:tcBorders>
          </w:tcPr>
          <w:p>
            <w:pPr>
              <w:pStyle w:val="TableText"/>
              <w:ind w:left="138" w:right="305"/>
              <w:spacing w:before="261" w:line="256" w:lineRule="auto"/>
              <w:jc w:val="both"/>
              <w:rPr/>
            </w:pPr>
            <w:r>
              <w:rPr>
                <w:b/>
                <w:bCs/>
                <w:spacing w:val="-2"/>
              </w:rPr>
              <w:t>中性粒</w:t>
            </w:r>
            <w:r>
              <w:rPr/>
              <w:t xml:space="preserve"> </w:t>
            </w:r>
            <w:r>
              <w:rPr>
                <w:b/>
                <w:bCs/>
                <w:spacing w:val="-6"/>
              </w:rPr>
              <w:t>细胞亚</w:t>
            </w:r>
            <w:r>
              <w:rPr>
                <w:spacing w:val="1"/>
              </w:rPr>
              <w:t xml:space="preserve"> </w:t>
            </w:r>
            <w:r>
              <w:rPr>
                <w:b/>
                <w:bCs/>
                <w:spacing w:val="-3"/>
              </w:rPr>
              <w:t>群</w:t>
            </w:r>
          </w:p>
          <w:p>
            <w:pPr>
              <w:pStyle w:val="TableText"/>
              <w:ind w:left="105" w:right="236"/>
              <w:spacing w:before="289" w:line="214" w:lineRule="auto"/>
              <w:rPr/>
            </w:pPr>
            <w:r>
              <w:rPr>
                <w:spacing w:val="-1"/>
              </w:rPr>
              <w:t>N1-like</w:t>
            </w:r>
            <w:r>
              <w:rPr>
                <w:spacing w:val="4"/>
              </w:rPr>
              <w:t xml:space="preserve"> </w:t>
            </w:r>
            <w:r>
              <w:rPr>
                <w:spacing w:val="-2"/>
              </w:rPr>
              <w:t>/促炎簇</w:t>
            </w:r>
          </w:p>
          <w:p>
            <w:pPr>
              <w:pStyle w:val="TableText"/>
              <w:ind w:left="105" w:right="158" w:firstLine="170"/>
              <w:spacing w:before="11" w:line="259" w:lineRule="auto"/>
              <w:rPr/>
            </w:pPr>
            <w:r>
              <w:rPr>
                <w:spacing w:val="2"/>
              </w:rPr>
              <w:t>(簇3主 </w:t>
            </w:r>
            <w:r>
              <w:rPr>
                <w:spacing w:val="-6"/>
              </w:rPr>
              <w:t>导 )</w:t>
            </w:r>
          </w:p>
        </w:tc>
        <w:tc>
          <w:tcPr>
            <w:tcW w:w="1271" w:type="dxa"/>
            <w:vAlign w:val="top"/>
            <w:vMerge w:val="restart"/>
            <w:tcBorders>
              <w:left w:val="nil"/>
              <w:right w:val="nil"/>
              <w:bottom w:val="nil"/>
            </w:tcBorders>
          </w:tcPr>
          <w:p>
            <w:pPr>
              <w:spacing w:line="420" w:lineRule="auto"/>
              <w:rPr>
                <w:rFonts w:ascii="Arial"/>
                <w:sz w:val="21"/>
              </w:rPr>
            </w:pPr>
            <w:r/>
          </w:p>
          <w:p>
            <w:pPr>
              <w:pStyle w:val="TableText"/>
              <w:ind w:left="302"/>
              <w:spacing w:before="68" w:line="220" w:lineRule="auto"/>
              <w:rPr/>
            </w:pPr>
            <w:r>
              <w:rPr>
                <w:b/>
                <w:bCs/>
                <w:spacing w:val="-1"/>
              </w:rPr>
              <w:t>时间窗</w:t>
            </w:r>
          </w:p>
          <w:p>
            <w:pPr>
              <w:spacing w:line="286" w:lineRule="auto"/>
              <w:rPr>
                <w:rFonts w:ascii="Arial"/>
                <w:sz w:val="21"/>
              </w:rPr>
            </w:pPr>
            <w:r/>
          </w:p>
          <w:p>
            <w:pPr>
              <w:spacing w:line="286" w:lineRule="auto"/>
              <w:rPr>
                <w:rFonts w:ascii="Arial"/>
                <w:sz w:val="21"/>
              </w:rPr>
            </w:pPr>
            <w:r/>
          </w:p>
          <w:p>
            <w:pPr>
              <w:pStyle w:val="TableText"/>
              <w:ind w:left="164" w:right="273" w:hanging="15"/>
              <w:spacing w:before="68" w:line="251" w:lineRule="auto"/>
              <w:rPr/>
            </w:pPr>
            <w:r>
              <w:rPr>
                <w:spacing w:val="1"/>
              </w:rPr>
              <w:t>急性(D0-</w:t>
            </w:r>
            <w:r>
              <w:rPr/>
              <w:t xml:space="preserve"> </w:t>
            </w:r>
            <w:r>
              <w:rPr>
                <w:spacing w:val="-1"/>
              </w:rPr>
              <w:t>D5)</w:t>
            </w:r>
          </w:p>
        </w:tc>
        <w:tc>
          <w:tcPr>
            <w:tcW w:w="1732" w:type="dxa"/>
            <w:vAlign w:val="top"/>
            <w:vMerge w:val="restart"/>
            <w:tcBorders>
              <w:left w:val="nil"/>
              <w:right w:val="nil"/>
              <w:bottom w:val="nil"/>
            </w:tcBorders>
          </w:tcPr>
          <w:p>
            <w:pPr>
              <w:spacing w:line="360" w:lineRule="auto"/>
              <w:rPr>
                <w:rFonts w:ascii="Arial"/>
                <w:sz w:val="21"/>
              </w:rPr>
            </w:pPr>
            <w:r/>
          </w:p>
          <w:p>
            <w:pPr>
              <w:pStyle w:val="TableText"/>
              <w:ind w:left="271" w:right="177"/>
              <w:spacing w:before="68" w:line="239" w:lineRule="auto"/>
              <w:rPr/>
            </w:pPr>
            <w:r>
              <w:rPr>
                <w:b/>
                <w:bCs/>
                <w:spacing w:val="1"/>
              </w:rPr>
              <w:t>主要交互细胞</w:t>
            </w:r>
            <w:r>
              <w:rPr>
                <w:spacing w:val="1"/>
              </w:rPr>
              <w:t xml:space="preserve"> </w:t>
            </w:r>
            <w:r>
              <w:rPr>
                <w:b/>
                <w:bCs/>
                <w:spacing w:val="-5"/>
              </w:rPr>
              <w:t>类型</w:t>
            </w:r>
          </w:p>
          <w:p>
            <w:pPr>
              <w:spacing w:line="319" w:lineRule="auto"/>
              <w:rPr>
                <w:rFonts w:ascii="Arial"/>
                <w:sz w:val="21"/>
              </w:rPr>
            </w:pPr>
            <w:r/>
          </w:p>
          <w:p>
            <w:pPr>
              <w:pStyle w:val="TableText"/>
              <w:ind w:left="268"/>
              <w:spacing w:before="68" w:line="219" w:lineRule="auto"/>
              <w:rPr/>
            </w:pPr>
            <w:r>
              <w:rPr>
                <w:spacing w:val="-2"/>
              </w:rPr>
              <w:t>微胶细胞</w:t>
            </w:r>
          </w:p>
          <w:p>
            <w:pPr>
              <w:pStyle w:val="TableText"/>
              <w:ind w:left="408"/>
              <w:spacing w:before="54" w:line="222" w:lineRule="auto"/>
              <w:rPr/>
            </w:pPr>
            <w:r>
              <w:rPr>
                <w:spacing w:val="-6"/>
              </w:rPr>
              <w:t>(M1-like)</w:t>
            </w:r>
          </w:p>
        </w:tc>
        <w:tc>
          <w:tcPr>
            <w:tcW w:w="4582" w:type="dxa"/>
            <w:vAlign w:val="top"/>
            <w:gridSpan w:val="2"/>
            <w:tcBorders>
              <w:left w:val="nil"/>
              <w:bottom w:val="nil"/>
              <w:right w:val="nil"/>
            </w:tcBorders>
          </w:tcPr>
          <w:p>
            <w:pPr>
              <w:spacing w:line="419" w:lineRule="auto"/>
              <w:rPr>
                <w:rFonts w:ascii="Arial"/>
                <w:sz w:val="21"/>
              </w:rPr>
            </w:pPr>
            <w:r/>
          </w:p>
          <w:p>
            <w:pPr>
              <w:pStyle w:val="TableText"/>
              <w:ind w:left="190"/>
              <w:spacing w:before="68" w:line="219" w:lineRule="auto"/>
              <w:rPr/>
            </w:pPr>
            <w:r>
              <w:rPr>
                <w:b/>
                <w:bCs/>
                <w:spacing w:val="-3"/>
              </w:rPr>
              <w:t>交互机制简述</w:t>
            </w:r>
            <w:r>
              <w:rPr>
                <w:spacing w:val="4"/>
              </w:rPr>
              <w:t xml:space="preserve">             </w:t>
            </w:r>
            <w:r>
              <w:rPr>
                <w:b/>
                <w:bCs/>
                <w:spacing w:val="-3"/>
              </w:rPr>
              <w:t>倾向临床结局</w:t>
            </w:r>
          </w:p>
        </w:tc>
        <w:tc>
          <w:tcPr>
            <w:tcW w:w="1544" w:type="dxa"/>
            <w:vAlign w:val="top"/>
            <w:tcBorders>
              <w:left w:val="nil"/>
              <w:bottom w:val="nil"/>
            </w:tcBorders>
          </w:tcPr>
          <w:p>
            <w:pPr>
              <w:pStyle w:val="TableText"/>
              <w:ind w:left="228"/>
              <w:spacing w:before="260" w:line="219" w:lineRule="auto"/>
              <w:rPr/>
            </w:pPr>
            <w:r>
              <w:rPr>
                <w:b/>
                <w:bCs/>
                <w:spacing w:val="-4"/>
              </w:rPr>
              <w:t>证据强度</w:t>
            </w:r>
          </w:p>
          <w:p>
            <w:pPr>
              <w:pStyle w:val="TableText"/>
              <w:ind w:left="228" w:right="248" w:firstLine="119"/>
              <w:spacing w:before="40" w:line="256" w:lineRule="auto"/>
              <w:rPr/>
            </w:pPr>
            <w:r>
              <w:rPr>
                <w:b/>
                <w:bCs/>
                <w:spacing w:val="-3"/>
              </w:rPr>
              <w:t>(2025年视</w:t>
            </w:r>
            <w:r>
              <w:rPr>
                <w:spacing w:val="1"/>
              </w:rPr>
              <w:t xml:space="preserve"> </w:t>
            </w:r>
            <w:r>
              <w:rPr>
                <w:b/>
                <w:bCs/>
                <w:spacing w:val="15"/>
              </w:rPr>
              <w:t>角)</w:t>
            </w:r>
          </w:p>
        </w:tc>
      </w:tr>
      <w:tr>
        <w:trPr>
          <w:trHeight w:val="1312" w:hRule="atLeast"/>
        </w:trPr>
        <w:tc>
          <w:tcPr>
            <w:tcW w:w="1080" w:type="dxa"/>
            <w:vAlign w:val="top"/>
            <w:vMerge w:val="continue"/>
            <w:tcBorders>
              <w:right w:val="nil"/>
              <w:top w:val="nil"/>
            </w:tcBorders>
          </w:tcPr>
          <w:p>
            <w:pPr>
              <w:rPr>
                <w:rFonts w:ascii="Arial"/>
                <w:sz w:val="21"/>
              </w:rPr>
            </w:pPr>
            <w:r/>
          </w:p>
        </w:tc>
        <w:tc>
          <w:tcPr>
            <w:tcW w:w="1271" w:type="dxa"/>
            <w:vAlign w:val="top"/>
            <w:vMerge w:val="continue"/>
            <w:tcBorders>
              <w:left w:val="nil"/>
              <w:right w:val="nil"/>
              <w:top w:val="nil"/>
            </w:tcBorders>
          </w:tcPr>
          <w:p>
            <w:pPr>
              <w:rPr>
                <w:rFonts w:ascii="Arial"/>
                <w:sz w:val="21"/>
              </w:rPr>
            </w:pPr>
            <w:r/>
          </w:p>
        </w:tc>
        <w:tc>
          <w:tcPr>
            <w:tcW w:w="1732" w:type="dxa"/>
            <w:vAlign w:val="top"/>
            <w:vMerge w:val="continue"/>
            <w:tcBorders>
              <w:left w:val="nil"/>
              <w:right w:val="nil"/>
              <w:top w:val="nil"/>
            </w:tcBorders>
          </w:tcPr>
          <w:p>
            <w:pPr>
              <w:rPr>
                <w:rFonts w:ascii="Arial"/>
                <w:sz w:val="21"/>
              </w:rPr>
            </w:pPr>
            <w:r/>
          </w:p>
        </w:tc>
        <w:tc>
          <w:tcPr>
            <w:tcW w:w="2872" w:type="dxa"/>
            <w:vAlign w:val="top"/>
            <w:tcBorders>
              <w:left w:val="nil"/>
              <w:right w:val="nil"/>
              <w:top w:val="nil"/>
            </w:tcBorders>
          </w:tcPr>
          <w:p>
            <w:pPr>
              <w:pStyle w:val="TableText"/>
              <w:ind w:left="177" w:right="60"/>
              <w:spacing w:before="173" w:line="248" w:lineRule="auto"/>
              <w:jc w:val="both"/>
              <w:rPr/>
            </w:pPr>
            <w:r>
              <w:rPr>
                <w:spacing w:val="6"/>
              </w:rPr>
              <w:t>释放</w:t>
            </w:r>
            <w:r>
              <w:rPr/>
              <w:t>IL</w:t>
            </w:r>
            <w:r>
              <w:rPr>
                <w:spacing w:val="6"/>
              </w:rPr>
              <w:t>-1β/</w:t>
            </w:r>
            <w:r>
              <w:rPr/>
              <w:t>TNF</w:t>
            </w:r>
            <w:r>
              <w:rPr>
                <w:spacing w:val="6"/>
              </w:rPr>
              <w:t>-</w:t>
            </w:r>
            <w:r>
              <w:rPr>
                <w:spacing w:val="-40"/>
              </w:rPr>
              <w:t xml:space="preserve"> </w:t>
            </w:r>
            <w:r>
              <w:rPr>
                <w:spacing w:val="6"/>
              </w:rPr>
              <w:t>α/</w:t>
            </w:r>
            <w:r>
              <w:rPr/>
              <w:t>CXCL</w:t>
            </w:r>
            <w:r>
              <w:rPr>
                <w:spacing w:val="6"/>
              </w:rPr>
              <w:t>1</w:t>
            </w:r>
            <w:r>
              <w:rPr/>
              <w:t xml:space="preserve">  </w:t>
            </w:r>
            <w:r>
              <w:rPr>
                <w:spacing w:val="9"/>
              </w:rPr>
              <w:t>→激活微胶细胞促炎极化；</w:t>
            </w:r>
            <w:r>
              <w:rPr>
                <w:spacing w:val="5"/>
              </w:rPr>
              <w:t xml:space="preserve"> </w:t>
            </w:r>
            <w:r>
              <w:rPr>
                <w:spacing w:val="26"/>
              </w:rPr>
              <w:t>微胶细胞反过来促进</w:t>
            </w:r>
            <w:r>
              <w:rPr/>
              <w:t>NETs  </w:t>
            </w:r>
            <w:r>
              <w:rPr>
                <w:spacing w:val="4"/>
              </w:rPr>
              <w:t>形成</w:t>
            </w:r>
          </w:p>
        </w:tc>
        <w:tc>
          <w:tcPr>
            <w:tcW w:w="1710" w:type="dxa"/>
            <w:vAlign w:val="top"/>
            <w:tcBorders>
              <w:left w:val="nil"/>
              <w:right w:val="nil"/>
              <w:top w:val="nil"/>
            </w:tcBorders>
          </w:tcPr>
          <w:p>
            <w:pPr>
              <w:pStyle w:val="TableText"/>
              <w:ind w:left="154"/>
              <w:spacing w:before="162" w:line="266" w:lineRule="auto"/>
              <w:rPr/>
            </w:pPr>
            <w:r>
              <w:rPr>
                <w:spacing w:val="12"/>
              </w:rPr>
              <w:t>加重梗死体积、</w:t>
            </w:r>
            <w:r>
              <w:rPr/>
              <w:t xml:space="preserve"> </w:t>
            </w:r>
            <w:r>
              <w:rPr>
                <w:spacing w:val="-3"/>
              </w:rPr>
              <w:t>BBB破坏、脑水</w:t>
            </w:r>
            <w:r>
              <w:rPr/>
              <w:t xml:space="preserve">   </w:t>
            </w:r>
            <w:r>
              <w:rPr>
                <w:spacing w:val="34"/>
              </w:rPr>
              <w:t>肿、不良预后</w:t>
            </w:r>
          </w:p>
        </w:tc>
        <w:tc>
          <w:tcPr>
            <w:tcW w:w="1544" w:type="dxa"/>
            <w:vAlign w:val="top"/>
            <w:tcBorders>
              <w:left w:val="nil"/>
              <w:top w:val="nil"/>
            </w:tcBorders>
          </w:tcPr>
          <w:p>
            <w:pPr>
              <w:spacing w:line="243" w:lineRule="auto"/>
              <w:rPr>
                <w:rFonts w:ascii="Arial"/>
                <w:sz w:val="21"/>
              </w:rPr>
            </w:pPr>
            <w:r/>
          </w:p>
          <w:p>
            <w:pPr>
              <w:spacing w:line="243" w:lineRule="auto"/>
              <w:rPr>
                <w:rFonts w:ascii="Arial"/>
                <w:sz w:val="21"/>
              </w:rPr>
            </w:pPr>
            <w:r/>
          </w:p>
          <w:p>
            <w:pPr>
              <w:pStyle w:val="TableText"/>
              <w:ind w:left="77"/>
              <w:spacing w:before="69" w:line="227" w:lineRule="auto"/>
              <w:rPr/>
            </w:pPr>
            <w:r>
              <w:rPr>
                <w:b/>
                <w:bCs/>
                <w:spacing w:val="-5"/>
              </w:rPr>
              <w:t>★★★★★</w:t>
            </w:r>
          </w:p>
        </w:tc>
      </w:tr>
      <w:tr>
        <w:trPr>
          <w:trHeight w:val="1368" w:hRule="atLeast"/>
        </w:trPr>
        <w:tc>
          <w:tcPr>
            <w:tcW w:w="2351" w:type="dxa"/>
            <w:vAlign w:val="top"/>
            <w:gridSpan w:val="2"/>
            <w:tcBorders>
              <w:right w:val="nil"/>
            </w:tcBorders>
          </w:tcPr>
          <w:p>
            <w:pPr>
              <w:spacing w:line="255" w:lineRule="auto"/>
              <w:rPr>
                <w:rFonts w:ascii="Arial"/>
                <w:sz w:val="21"/>
              </w:rPr>
            </w:pPr>
            <w:r/>
          </w:p>
          <w:p>
            <w:pPr>
              <w:spacing w:line="256" w:lineRule="auto"/>
              <w:rPr>
                <w:rFonts w:ascii="Arial"/>
                <w:sz w:val="21"/>
              </w:rPr>
            </w:pPr>
            <w:r/>
          </w:p>
          <w:p>
            <w:pPr>
              <w:pStyle w:val="TableText"/>
              <w:ind w:left="144"/>
              <w:spacing w:before="68" w:line="238" w:lineRule="auto"/>
              <w:rPr/>
            </w:pPr>
            <w:r>
              <w:rPr>
                <w:spacing w:val="1"/>
              </w:rPr>
              <w:t>N1-</w:t>
            </w:r>
            <w:r>
              <w:rPr/>
              <w:t>like</w:t>
            </w:r>
            <w:r>
              <w:rPr>
                <w:spacing w:val="19"/>
              </w:rPr>
              <w:t xml:space="preserve">    </w:t>
            </w:r>
            <w:r>
              <w:rPr>
                <w:spacing w:val="1"/>
                <w:position w:val="1"/>
              </w:rPr>
              <w:t>急性</w:t>
            </w:r>
          </w:p>
        </w:tc>
        <w:tc>
          <w:tcPr>
            <w:tcW w:w="1732" w:type="dxa"/>
            <w:vAlign w:val="top"/>
            <w:tcBorders>
              <w:left w:val="nil"/>
              <w:right w:val="nil"/>
            </w:tcBorders>
          </w:tcPr>
          <w:p>
            <w:pPr>
              <w:pStyle w:val="TableText"/>
              <w:ind w:left="258" w:right="79"/>
              <w:spacing w:before="252" w:line="249" w:lineRule="auto"/>
              <w:rPr/>
            </w:pPr>
            <w:r>
              <w:rPr>
                <w:spacing w:val="4"/>
              </w:rPr>
              <w:t>内皮细胞/周细</w:t>
            </w:r>
            <w:r>
              <w:rPr/>
              <w:t xml:space="preserve"> </w:t>
            </w:r>
            <w:r>
              <w:rPr/>
              <w:t>胞</w:t>
            </w:r>
          </w:p>
        </w:tc>
        <w:tc>
          <w:tcPr>
            <w:tcW w:w="2872" w:type="dxa"/>
            <w:vAlign w:val="top"/>
            <w:tcBorders>
              <w:left w:val="nil"/>
              <w:right w:val="nil"/>
            </w:tcBorders>
          </w:tcPr>
          <w:p>
            <w:pPr>
              <w:pStyle w:val="TableText"/>
              <w:ind w:left="166" w:right="356"/>
              <w:spacing w:before="251" w:line="252" w:lineRule="auto"/>
              <w:jc w:val="both"/>
              <w:rPr/>
            </w:pPr>
            <w:r>
              <w:rPr>
                <w:spacing w:val="34"/>
              </w:rPr>
              <w:t>黏附+释放</w:t>
            </w:r>
            <w:r>
              <w:rPr/>
              <w:t>MMP</w:t>
            </w:r>
            <w:r>
              <w:rPr>
                <w:spacing w:val="34"/>
              </w:rPr>
              <w:t>-9/</w:t>
            </w:r>
            <w:r>
              <w:rPr/>
              <w:t>NE</w:t>
            </w:r>
            <w:r>
              <w:rPr>
                <w:spacing w:val="-60"/>
              </w:rPr>
              <w:t xml:space="preserve"> </w:t>
            </w:r>
            <w:r>
              <w:rPr>
                <w:spacing w:val="34"/>
              </w:rPr>
              <w:t>→</w:t>
            </w:r>
            <w:r>
              <w:rPr/>
              <w:t xml:space="preserve"> </w:t>
            </w:r>
            <w:r>
              <w:rPr>
                <w:spacing w:val="4"/>
              </w:rPr>
              <w:t>紧密连接降解；</w:t>
            </w:r>
            <w:r>
              <w:rPr/>
              <w:t>NETs</w:t>
            </w:r>
            <w:r>
              <w:rPr>
                <w:spacing w:val="4"/>
              </w:rPr>
              <w:t>促进</w:t>
            </w:r>
            <w:r>
              <w:rPr>
                <w:spacing w:val="1"/>
              </w:rPr>
              <w:t xml:space="preserve"> </w:t>
            </w:r>
            <w:r>
              <w:rPr>
                <w:spacing w:val="-2"/>
              </w:rPr>
              <w:t>微血栓</w:t>
            </w:r>
          </w:p>
        </w:tc>
        <w:tc>
          <w:tcPr>
            <w:tcW w:w="1710" w:type="dxa"/>
            <w:vAlign w:val="top"/>
            <w:tcBorders>
              <w:left w:val="nil"/>
              <w:right w:val="nil"/>
            </w:tcBorders>
          </w:tcPr>
          <w:p>
            <w:pPr>
              <w:pStyle w:val="TableText"/>
              <w:ind w:left="154"/>
              <w:spacing w:before="251" w:line="219" w:lineRule="auto"/>
              <w:rPr/>
            </w:pPr>
            <w:r>
              <w:rPr>
                <w:spacing w:val="-2"/>
              </w:rPr>
              <w:t>微循环失败</w:t>
            </w:r>
          </w:p>
          <w:p>
            <w:pPr>
              <w:pStyle w:val="TableText"/>
              <w:ind w:left="154"/>
              <w:spacing w:before="44" w:line="222" w:lineRule="auto"/>
              <w:rPr/>
            </w:pPr>
            <w:r>
              <w:rPr>
                <w:spacing w:val="-12"/>
              </w:rPr>
              <w:t>(no-</w:t>
            </w:r>
          </w:p>
          <w:p>
            <w:pPr>
              <w:pStyle w:val="TableText"/>
              <w:ind w:left="154" w:right="166"/>
              <w:spacing w:before="23" w:line="236" w:lineRule="auto"/>
              <w:rPr/>
            </w:pPr>
            <w:r>
              <w:rPr/>
              <w:t>reflow</w:t>
            </w:r>
            <w:r>
              <w:rPr>
                <w:spacing w:val="5"/>
              </w:rPr>
              <w:t>)、梗死</w:t>
            </w:r>
            <w:r>
              <w:rPr>
                <w:spacing w:val="2"/>
              </w:rPr>
              <w:t xml:space="preserve"> </w:t>
            </w:r>
            <w:r>
              <w:rPr>
                <w:spacing w:val="-3"/>
              </w:rPr>
              <w:t>扩大</w:t>
            </w:r>
          </w:p>
        </w:tc>
        <w:tc>
          <w:tcPr>
            <w:tcW w:w="1544" w:type="dxa"/>
            <w:vAlign w:val="top"/>
            <w:tcBorders>
              <w:left w:val="nil"/>
            </w:tcBorders>
          </w:tcPr>
          <w:p>
            <w:pPr>
              <w:spacing w:line="258" w:lineRule="auto"/>
              <w:rPr>
                <w:rFonts w:ascii="Arial"/>
                <w:sz w:val="21"/>
              </w:rPr>
            </w:pPr>
            <w:r/>
          </w:p>
          <w:p>
            <w:pPr>
              <w:spacing w:line="259" w:lineRule="auto"/>
              <w:rPr>
                <w:rFonts w:ascii="Arial"/>
                <w:sz w:val="21"/>
              </w:rPr>
            </w:pPr>
            <w:r/>
          </w:p>
          <w:p>
            <w:pPr>
              <w:pStyle w:val="TableText"/>
              <w:ind w:left="74"/>
              <w:spacing w:before="68" w:line="227" w:lineRule="auto"/>
              <w:rPr/>
            </w:pPr>
            <w:r>
              <w:rPr>
                <w:spacing w:val="-2"/>
              </w:rPr>
              <w:t>★★★★☆</w:t>
            </w:r>
          </w:p>
        </w:tc>
      </w:tr>
      <w:tr>
        <w:trPr>
          <w:trHeight w:val="809" w:hRule="atLeast"/>
        </w:trPr>
        <w:tc>
          <w:tcPr>
            <w:tcW w:w="2351" w:type="dxa"/>
            <w:vAlign w:val="top"/>
            <w:gridSpan w:val="2"/>
            <w:tcBorders>
              <w:right w:val="nil"/>
            </w:tcBorders>
          </w:tcPr>
          <w:p>
            <w:pPr>
              <w:pStyle w:val="TableText"/>
              <w:ind w:left="1224" w:right="166" w:hanging="1080"/>
              <w:spacing w:before="274" w:line="213" w:lineRule="auto"/>
              <w:rPr/>
            </w:pPr>
            <w:r>
              <w:rPr>
                <w:spacing w:val="1"/>
                <w:position w:val="-2"/>
              </w:rPr>
              <w:t>N1-</w:t>
            </w:r>
            <w:r>
              <w:rPr>
                <w:position w:val="-2"/>
              </w:rPr>
              <w:t>like</w:t>
            </w:r>
            <w:r>
              <w:rPr>
                <w:spacing w:val="10"/>
                <w:position w:val="-2"/>
              </w:rPr>
              <w:t xml:space="preserve">   </w:t>
            </w:r>
            <w:r>
              <w:rPr>
                <w:spacing w:val="1"/>
                <w:position w:val="2"/>
              </w:rPr>
              <w:t>急性-亚急</w:t>
            </w:r>
            <w:r>
              <w:rPr>
                <w:position w:val="2"/>
              </w:rPr>
              <w:t xml:space="preserve"> </w:t>
            </w:r>
            <w:r>
              <w:rPr/>
              <w:t>性</w:t>
            </w:r>
          </w:p>
        </w:tc>
        <w:tc>
          <w:tcPr>
            <w:tcW w:w="4604" w:type="dxa"/>
            <w:vAlign w:val="top"/>
            <w:gridSpan w:val="2"/>
            <w:tcBorders>
              <w:left w:val="nil"/>
              <w:right w:val="nil"/>
            </w:tcBorders>
          </w:tcPr>
          <w:p>
            <w:pPr>
              <w:pStyle w:val="TableText"/>
              <w:ind w:left="289"/>
              <w:spacing w:before="282" w:line="229" w:lineRule="auto"/>
              <w:rPr/>
            </w:pPr>
            <w:r>
              <w:rPr>
                <w:spacing w:val="1"/>
                <w:position w:val="-1"/>
              </w:rPr>
              <w:t>星形胶质细胞</w:t>
            </w:r>
            <w:r>
              <w:rPr>
                <w:spacing w:val="23"/>
                <w:position w:val="-1"/>
              </w:rPr>
              <w:t xml:space="preserve">   </w:t>
            </w:r>
            <w:r>
              <w:rPr>
                <w:spacing w:val="1"/>
              </w:rPr>
              <w:t>促炎因子诱导A1型极化→</w:t>
            </w:r>
          </w:p>
          <w:p>
            <w:pPr>
              <w:pStyle w:val="TableText"/>
              <w:ind w:left="1919"/>
              <w:spacing w:before="19" w:line="199" w:lineRule="auto"/>
              <w:rPr/>
            </w:pPr>
            <w:r>
              <w:rPr>
                <w:spacing w:val="2"/>
              </w:rPr>
              <w:t>进一步分泌炎症介质</w:t>
            </w:r>
          </w:p>
        </w:tc>
        <w:tc>
          <w:tcPr>
            <w:tcW w:w="1710" w:type="dxa"/>
            <w:vAlign w:val="top"/>
            <w:tcBorders>
              <w:left w:val="nil"/>
              <w:right w:val="nil"/>
            </w:tcBorders>
          </w:tcPr>
          <w:p>
            <w:pPr>
              <w:pStyle w:val="TableText"/>
              <w:ind w:left="144" w:right="105"/>
              <w:spacing w:before="273" w:line="231" w:lineRule="auto"/>
              <w:rPr/>
            </w:pPr>
            <w:r>
              <w:rPr>
                <w:spacing w:val="-2"/>
              </w:rPr>
              <w:t>持续炎症、神经</w:t>
            </w:r>
            <w:r>
              <w:rPr>
                <w:spacing w:val="2"/>
              </w:rPr>
              <w:t xml:space="preserve"> </w:t>
            </w:r>
            <w:r>
              <w:rPr>
                <w:spacing w:val="5"/>
              </w:rPr>
              <w:t>元继发死亡</w:t>
            </w:r>
          </w:p>
        </w:tc>
        <w:tc>
          <w:tcPr>
            <w:tcW w:w="1544" w:type="dxa"/>
            <w:vAlign w:val="top"/>
            <w:tcBorders>
              <w:left w:val="nil"/>
            </w:tcBorders>
          </w:tcPr>
          <w:p>
            <w:pPr>
              <w:spacing w:line="241" w:lineRule="auto"/>
              <w:rPr>
                <w:rFonts w:ascii="Arial"/>
                <w:sz w:val="21"/>
              </w:rPr>
            </w:pPr>
            <w:r/>
          </w:p>
          <w:p>
            <w:pPr>
              <w:pStyle w:val="TableText"/>
              <w:ind w:left="191"/>
              <w:spacing w:before="68" w:line="227" w:lineRule="auto"/>
              <w:rPr/>
            </w:pPr>
            <w:r>
              <w:rPr>
                <w:spacing w:val="-2"/>
              </w:rPr>
              <w:t>★★★☆☆</w:t>
            </w:r>
          </w:p>
        </w:tc>
      </w:tr>
      <w:tr>
        <w:trPr>
          <w:trHeight w:val="1119" w:hRule="atLeast"/>
        </w:trPr>
        <w:tc>
          <w:tcPr>
            <w:tcW w:w="1080" w:type="dxa"/>
            <w:vAlign w:val="top"/>
            <w:tcBorders>
              <w:right w:val="nil"/>
            </w:tcBorders>
          </w:tcPr>
          <w:p>
            <w:pPr>
              <w:spacing w:line="265" w:lineRule="auto"/>
              <w:rPr>
                <w:rFonts w:ascii="Arial"/>
                <w:sz w:val="21"/>
              </w:rPr>
            </w:pPr>
            <w:r/>
          </w:p>
          <w:p>
            <w:pPr>
              <w:pStyle w:val="TableText"/>
              <w:ind w:left="135" w:right="181"/>
              <w:spacing w:before="68" w:line="206" w:lineRule="auto"/>
              <w:rPr/>
            </w:pPr>
            <w:r>
              <w:rPr>
                <w:spacing w:val="-1"/>
              </w:rPr>
              <w:t>N2-like</w:t>
            </w:r>
            <w:r>
              <w:rPr>
                <w:spacing w:val="4"/>
              </w:rPr>
              <w:t xml:space="preserve"> </w:t>
            </w:r>
            <w:r>
              <w:rPr>
                <w:spacing w:val="5"/>
              </w:rPr>
              <w:t>/修复簇</w:t>
            </w:r>
          </w:p>
        </w:tc>
        <w:tc>
          <w:tcPr>
            <w:tcW w:w="1271" w:type="dxa"/>
            <w:vAlign w:val="top"/>
            <w:tcBorders>
              <w:left w:val="nil"/>
              <w:right w:val="nil"/>
            </w:tcBorders>
          </w:tcPr>
          <w:p>
            <w:pPr>
              <w:pStyle w:val="TableText"/>
              <w:ind w:left="169" w:right="480"/>
              <w:spacing w:before="286" w:line="241" w:lineRule="auto"/>
              <w:tabs>
                <w:tab w:val="left" w:pos="308"/>
              </w:tabs>
              <w:rPr/>
            </w:pPr>
            <w:r>
              <w:rPr>
                <w:spacing w:val="-4"/>
              </w:rPr>
              <w:t>亚急性</w:t>
            </w:r>
            <w:r>
              <w:rPr>
                <w:spacing w:val="1"/>
              </w:rPr>
              <w:t xml:space="preserve"> </w:t>
            </w:r>
            <w:r>
              <w:rPr/>
              <w:tab/>
            </w:r>
            <w:r>
              <w:rPr>
                <w:spacing w:val="-12"/>
              </w:rPr>
              <w:t>(D5-</w:t>
            </w:r>
            <w:r>
              <w:rPr>
                <w:spacing w:val="1"/>
              </w:rPr>
              <w:t xml:space="preserve">  </w:t>
            </w:r>
            <w:r>
              <w:rPr>
                <w:spacing w:val="-1"/>
              </w:rPr>
              <w:t>D14)</w:t>
            </w:r>
          </w:p>
        </w:tc>
        <w:tc>
          <w:tcPr>
            <w:tcW w:w="1732" w:type="dxa"/>
            <w:vAlign w:val="top"/>
            <w:tcBorders>
              <w:left w:val="nil"/>
              <w:right w:val="nil"/>
            </w:tcBorders>
          </w:tcPr>
          <w:p>
            <w:pPr>
              <w:pStyle w:val="TableText"/>
              <w:ind w:left="268" w:right="70"/>
              <w:spacing w:before="294"/>
              <w:rPr/>
            </w:pPr>
            <w:r>
              <w:rPr>
                <w:spacing w:val="3"/>
              </w:rPr>
              <w:t>巨噬细胞/单核</w:t>
            </w:r>
            <w:r>
              <w:rPr>
                <w:spacing w:val="5"/>
              </w:rPr>
              <w:t xml:space="preserve"> </w:t>
            </w:r>
            <w:r>
              <w:rPr>
                <w:spacing w:val="-3"/>
              </w:rPr>
              <w:t>细胞</w:t>
            </w:r>
          </w:p>
        </w:tc>
        <w:tc>
          <w:tcPr>
            <w:tcW w:w="2872" w:type="dxa"/>
            <w:vAlign w:val="top"/>
            <w:tcBorders>
              <w:left w:val="nil"/>
              <w:right w:val="nil"/>
            </w:tcBorders>
          </w:tcPr>
          <w:p>
            <w:pPr>
              <w:pStyle w:val="TableText"/>
              <w:ind w:left="147"/>
              <w:spacing w:before="304" w:line="219" w:lineRule="auto"/>
              <w:rPr/>
            </w:pPr>
            <w:r>
              <w:rPr>
                <w:spacing w:val="-2"/>
              </w:rPr>
              <w:t>被吞噬清除</w:t>
            </w:r>
          </w:p>
          <w:p>
            <w:pPr>
              <w:pStyle w:val="TableText"/>
              <w:ind w:left="306"/>
              <w:spacing w:before="25" w:line="215" w:lineRule="auto"/>
              <w:rPr/>
            </w:pPr>
            <w:r>
              <w:rPr>
                <w:spacing w:val="1"/>
              </w:rPr>
              <w:t>(</w:t>
            </w:r>
            <w:r>
              <w:rPr/>
              <w:t>efferocytosis</w:t>
            </w:r>
            <w:r>
              <w:rPr>
                <w:spacing w:val="1"/>
              </w:rPr>
              <w:t>加速);分</w:t>
            </w:r>
          </w:p>
          <w:p>
            <w:pPr>
              <w:pStyle w:val="TableText"/>
              <w:ind w:left="147"/>
              <w:spacing w:before="50" w:line="206" w:lineRule="auto"/>
              <w:rPr/>
            </w:pPr>
            <w:r>
              <w:rPr>
                <w:spacing w:val="5"/>
              </w:rPr>
              <w:t>泌</w:t>
            </w:r>
            <w:r>
              <w:rPr/>
              <w:t>TGF</w:t>
            </w:r>
            <w:r>
              <w:rPr>
                <w:spacing w:val="5"/>
              </w:rPr>
              <w:t>-β/</w:t>
            </w:r>
            <w:r>
              <w:rPr/>
              <w:t>IL</w:t>
            </w:r>
            <w:r>
              <w:rPr>
                <w:spacing w:val="5"/>
              </w:rPr>
              <w:t>-10抑制炎症</w:t>
            </w:r>
          </w:p>
        </w:tc>
        <w:tc>
          <w:tcPr>
            <w:tcW w:w="1710" w:type="dxa"/>
            <w:vAlign w:val="top"/>
            <w:tcBorders>
              <w:left w:val="nil"/>
              <w:right w:val="nil"/>
            </w:tcBorders>
          </w:tcPr>
          <w:p>
            <w:pPr>
              <w:spacing w:line="243" w:lineRule="auto"/>
              <w:rPr>
                <w:rFonts w:ascii="Arial"/>
                <w:sz w:val="21"/>
              </w:rPr>
            </w:pPr>
            <w:r/>
          </w:p>
          <w:p>
            <w:pPr>
              <w:pStyle w:val="TableText"/>
              <w:ind w:left="154" w:right="23"/>
              <w:spacing w:before="68" w:line="231" w:lineRule="auto"/>
              <w:rPr/>
            </w:pPr>
            <w:r>
              <w:rPr>
                <w:spacing w:val="8"/>
              </w:rPr>
              <w:t>炎症分辨、组织</w:t>
            </w:r>
            <w:r>
              <w:rPr>
                <w:spacing w:val="4"/>
              </w:rPr>
              <w:t xml:space="preserve"> </w:t>
            </w:r>
            <w:r>
              <w:rPr>
                <w:spacing w:val="8"/>
              </w:rPr>
              <w:t>修复、功能恢复</w:t>
            </w:r>
          </w:p>
        </w:tc>
        <w:tc>
          <w:tcPr>
            <w:tcW w:w="1544" w:type="dxa"/>
            <w:vAlign w:val="top"/>
            <w:tcBorders>
              <w:left w:val="nil"/>
            </w:tcBorders>
          </w:tcPr>
          <w:p>
            <w:pPr>
              <w:spacing w:line="401" w:lineRule="auto"/>
              <w:rPr>
                <w:rFonts w:ascii="Arial"/>
                <w:sz w:val="21"/>
              </w:rPr>
            </w:pPr>
            <w:r/>
          </w:p>
          <w:p>
            <w:pPr>
              <w:pStyle w:val="TableText"/>
              <w:ind w:left="74"/>
              <w:spacing w:before="68" w:line="227" w:lineRule="auto"/>
              <w:rPr/>
            </w:pPr>
            <w:r>
              <w:rPr>
                <w:spacing w:val="-2"/>
              </w:rPr>
              <w:t>★★★★☆</w:t>
            </w:r>
          </w:p>
        </w:tc>
      </w:tr>
      <w:tr>
        <w:trPr>
          <w:trHeight w:val="1089" w:hRule="atLeast"/>
        </w:trPr>
        <w:tc>
          <w:tcPr>
            <w:tcW w:w="1080" w:type="dxa"/>
            <w:vAlign w:val="top"/>
            <w:tcBorders>
              <w:right w:val="nil"/>
            </w:tcBorders>
          </w:tcPr>
          <w:p>
            <w:pPr>
              <w:pStyle w:val="TableText"/>
              <w:ind w:left="135"/>
              <w:spacing w:before="276" w:line="220" w:lineRule="auto"/>
              <w:rPr/>
            </w:pPr>
            <w:r>
              <w:rPr>
                <w:spacing w:val="2"/>
              </w:rPr>
              <w:t>晚期保</w:t>
            </w:r>
          </w:p>
          <w:p>
            <w:pPr>
              <w:pStyle w:val="TableText"/>
              <w:ind w:left="135"/>
              <w:spacing w:before="29" w:line="219" w:lineRule="auto"/>
              <w:rPr/>
            </w:pPr>
            <w:r>
              <w:rPr>
                <w:spacing w:val="-3"/>
              </w:rPr>
              <w:t>护亚群</w:t>
            </w:r>
          </w:p>
        </w:tc>
        <w:tc>
          <w:tcPr>
            <w:tcW w:w="1271" w:type="dxa"/>
            <w:vAlign w:val="top"/>
            <w:tcBorders>
              <w:left w:val="nil"/>
              <w:right w:val="nil"/>
            </w:tcBorders>
          </w:tcPr>
          <w:p>
            <w:pPr>
              <w:pStyle w:val="TableText"/>
              <w:ind w:left="169"/>
              <w:spacing w:before="276" w:line="220" w:lineRule="auto"/>
              <w:rPr/>
            </w:pPr>
            <w:r>
              <w:rPr>
                <w:spacing w:val="-3"/>
              </w:rPr>
              <w:t>慢性</w:t>
            </w:r>
          </w:p>
          <w:p>
            <w:pPr>
              <w:pStyle w:val="TableText"/>
              <w:ind w:left="290"/>
              <w:spacing w:before="32" w:line="222" w:lineRule="auto"/>
              <w:rPr/>
            </w:pPr>
            <w:r>
              <w:rPr>
                <w:spacing w:val="-7"/>
              </w:rPr>
              <w:t>(D14+)</w:t>
            </w:r>
          </w:p>
        </w:tc>
        <w:tc>
          <w:tcPr>
            <w:tcW w:w="1732" w:type="dxa"/>
            <w:vAlign w:val="top"/>
            <w:tcBorders>
              <w:left w:val="nil"/>
              <w:right w:val="nil"/>
            </w:tcBorders>
          </w:tcPr>
          <w:p>
            <w:pPr>
              <w:pStyle w:val="TableText"/>
              <w:ind w:left="258"/>
              <w:spacing w:before="275" w:line="219" w:lineRule="auto"/>
              <w:rPr/>
            </w:pPr>
            <w:r>
              <w:rPr>
                <w:spacing w:val="-2"/>
              </w:rPr>
              <w:t>微胶细胞</w:t>
            </w:r>
          </w:p>
          <w:p>
            <w:pPr>
              <w:pStyle w:val="TableText"/>
              <w:ind w:left="408"/>
              <w:spacing w:before="44" w:line="222" w:lineRule="auto"/>
              <w:rPr/>
            </w:pPr>
            <w:r>
              <w:rPr>
                <w:spacing w:val="-6"/>
              </w:rPr>
              <w:t>(M2-like)</w:t>
            </w:r>
          </w:p>
        </w:tc>
        <w:tc>
          <w:tcPr>
            <w:tcW w:w="2872" w:type="dxa"/>
            <w:vAlign w:val="top"/>
            <w:tcBorders>
              <w:left w:val="nil"/>
              <w:right w:val="nil"/>
            </w:tcBorders>
          </w:tcPr>
          <w:p>
            <w:pPr>
              <w:pStyle w:val="TableText"/>
              <w:ind w:left="187" w:right="59"/>
              <w:spacing w:before="274" w:line="259" w:lineRule="auto"/>
              <w:rPr/>
            </w:pPr>
            <w:r>
              <w:rPr>
                <w:spacing w:val="8"/>
              </w:rPr>
              <w:t>协同促进吞噬、血管新生、 </w:t>
            </w:r>
            <w:r>
              <w:rPr>
                <w:spacing w:val="-1"/>
              </w:rPr>
              <w:t>髓鞘再生相关因子表达</w:t>
            </w:r>
          </w:p>
        </w:tc>
        <w:tc>
          <w:tcPr>
            <w:tcW w:w="1710" w:type="dxa"/>
            <w:vAlign w:val="top"/>
            <w:tcBorders>
              <w:left w:val="nil"/>
              <w:right w:val="nil"/>
            </w:tcBorders>
          </w:tcPr>
          <w:p>
            <w:pPr>
              <w:pStyle w:val="TableText"/>
              <w:ind w:left="154" w:right="31"/>
              <w:spacing w:before="307" w:line="226" w:lineRule="auto"/>
              <w:jc w:val="both"/>
              <w:rPr/>
            </w:pPr>
            <w:r>
              <w:rPr>
                <w:spacing w:val="7"/>
              </w:rPr>
              <w:t>减少继发性组织</w:t>
            </w:r>
            <w:r>
              <w:rPr>
                <w:spacing w:val="1"/>
              </w:rPr>
              <w:t xml:space="preserve"> </w:t>
            </w:r>
            <w:r>
              <w:rPr>
                <w:spacing w:val="7"/>
              </w:rPr>
              <w:t>丢失、改善长期</w:t>
            </w:r>
            <w:r>
              <w:rPr>
                <w:spacing w:val="3"/>
              </w:rPr>
              <w:t xml:space="preserve"> </w:t>
            </w:r>
            <w:r>
              <w:rPr>
                <w:spacing w:val="5"/>
              </w:rPr>
              <w:t>行为</w:t>
            </w:r>
          </w:p>
        </w:tc>
        <w:tc>
          <w:tcPr>
            <w:tcW w:w="1544" w:type="dxa"/>
            <w:vAlign w:val="top"/>
            <w:tcBorders>
              <w:left w:val="nil"/>
            </w:tcBorders>
          </w:tcPr>
          <w:p>
            <w:pPr>
              <w:spacing w:line="243" w:lineRule="auto"/>
              <w:rPr>
                <w:rFonts w:ascii="Arial"/>
                <w:sz w:val="21"/>
              </w:rPr>
            </w:pPr>
            <w:r/>
          </w:p>
          <w:p>
            <w:pPr>
              <w:pStyle w:val="TableText"/>
              <w:ind w:left="174"/>
              <w:spacing w:before="68" w:line="227" w:lineRule="auto"/>
              <w:rPr/>
            </w:pPr>
            <w:r>
              <w:rPr>
                <w:spacing w:val="-2"/>
              </w:rPr>
              <w:t>★★★★☆</w:t>
            </w:r>
          </w:p>
          <w:p>
            <w:pPr>
              <w:pStyle w:val="TableText"/>
              <w:ind w:left="325"/>
              <w:spacing w:before="4" w:line="219" w:lineRule="auto"/>
              <w:rPr/>
            </w:pPr>
            <w:r>
              <w:rPr>
                <w:spacing w:val="7"/>
              </w:rPr>
              <w:t>(新兴证据)</w:t>
            </w:r>
          </w:p>
        </w:tc>
      </w:tr>
      <w:tr>
        <w:trPr>
          <w:trHeight w:val="839" w:hRule="atLeast"/>
        </w:trPr>
        <w:tc>
          <w:tcPr>
            <w:tcW w:w="2351" w:type="dxa"/>
            <w:vAlign w:val="top"/>
            <w:gridSpan w:val="2"/>
            <w:tcBorders>
              <w:right w:val="nil"/>
            </w:tcBorders>
          </w:tcPr>
          <w:p>
            <w:pPr>
              <w:pStyle w:val="TableText"/>
              <w:ind w:left="1244" w:right="165" w:hanging="1100"/>
              <w:spacing w:before="297" w:line="216" w:lineRule="auto"/>
              <w:rPr/>
            </w:pPr>
            <w:r>
              <w:rPr>
                <w:spacing w:val="-1"/>
                <w:position w:val="-2"/>
              </w:rPr>
              <w:t>N2-like</w:t>
            </w:r>
            <w:r>
              <w:rPr>
                <w:spacing w:val="17"/>
                <w:position w:val="-2"/>
              </w:rPr>
              <w:t xml:space="preserve">   </w:t>
            </w:r>
            <w:r>
              <w:rPr>
                <w:spacing w:val="-1"/>
                <w:position w:val="2"/>
              </w:rPr>
              <w:t>亚急性-慢</w:t>
            </w:r>
            <w:r>
              <w:rPr>
                <w:position w:val="2"/>
              </w:rPr>
              <w:t xml:space="preserve"> </w:t>
            </w:r>
            <w:r>
              <w:rPr/>
              <w:t>性</w:t>
            </w:r>
          </w:p>
        </w:tc>
        <w:tc>
          <w:tcPr>
            <w:tcW w:w="1732" w:type="dxa"/>
            <w:vAlign w:val="top"/>
            <w:tcBorders>
              <w:left w:val="nil"/>
              <w:right w:val="nil"/>
            </w:tcBorders>
          </w:tcPr>
          <w:p>
            <w:pPr>
              <w:pStyle w:val="TableText"/>
              <w:ind w:left="408" w:right="317" w:hanging="140"/>
              <w:spacing w:before="297" w:line="230" w:lineRule="auto"/>
              <w:rPr/>
            </w:pPr>
            <w:r>
              <w:rPr>
                <w:spacing w:val="-2"/>
              </w:rPr>
              <w:t>调节性T细胞</w:t>
            </w:r>
            <w:r>
              <w:rPr>
                <w:spacing w:val="1"/>
              </w:rPr>
              <w:t xml:space="preserve"> </w:t>
            </w:r>
            <w:r>
              <w:rPr>
                <w:spacing w:val="-8"/>
              </w:rPr>
              <w:t>(Treg)</w:t>
            </w:r>
          </w:p>
        </w:tc>
        <w:tc>
          <w:tcPr>
            <w:tcW w:w="2872" w:type="dxa"/>
            <w:vAlign w:val="top"/>
            <w:tcBorders>
              <w:left w:val="nil"/>
              <w:right w:val="nil"/>
            </w:tcBorders>
          </w:tcPr>
          <w:p>
            <w:pPr>
              <w:pStyle w:val="TableText"/>
              <w:ind w:left="187" w:right="383"/>
              <w:spacing w:before="296" w:line="234" w:lineRule="auto"/>
              <w:rPr/>
            </w:pPr>
            <w:r>
              <w:rPr>
                <w:spacing w:val="-1"/>
              </w:rPr>
              <w:t>相互促进抗炎微环境(IL-</w:t>
            </w:r>
            <w:r>
              <w:rPr>
                <w:spacing w:val="3"/>
              </w:rPr>
              <w:t xml:space="preserve"> </w:t>
            </w:r>
            <w:r>
              <w:rPr>
                <w:spacing w:val="5"/>
              </w:rPr>
              <w:t>10、</w:t>
            </w:r>
            <w:r>
              <w:rPr/>
              <w:t>TGF</w:t>
            </w:r>
            <w:r>
              <w:rPr>
                <w:spacing w:val="5"/>
              </w:rPr>
              <w:t>-β正反馈)</w:t>
            </w:r>
          </w:p>
        </w:tc>
        <w:tc>
          <w:tcPr>
            <w:tcW w:w="3254" w:type="dxa"/>
            <w:vAlign w:val="top"/>
            <w:gridSpan w:val="2"/>
            <w:tcBorders>
              <w:left w:val="nil"/>
            </w:tcBorders>
          </w:tcPr>
          <w:p>
            <w:pPr>
              <w:spacing w:line="257" w:lineRule="auto"/>
              <w:rPr>
                <w:rFonts w:ascii="Arial"/>
                <w:sz w:val="21"/>
              </w:rPr>
            </w:pPr>
            <w:r/>
          </w:p>
          <w:p>
            <w:pPr>
              <w:pStyle w:val="TableText"/>
              <w:ind w:left="175" w:right="425"/>
              <w:spacing w:before="69" w:line="219" w:lineRule="auto"/>
              <w:rPr/>
            </w:pPr>
            <w:r>
              <w:rPr>
                <w:spacing w:val="1"/>
              </w:rPr>
              <w:t>抑制过度免疫、 ★★★☆☆</w:t>
            </w:r>
            <w:r>
              <w:rPr>
                <w:spacing w:val="9"/>
              </w:rPr>
              <w:t xml:space="preserve"> </w:t>
            </w:r>
            <w:r>
              <w:rPr>
                <w:spacing w:val="3"/>
              </w:rPr>
              <w:t>神经保护</w:t>
            </w:r>
          </w:p>
        </w:tc>
      </w:tr>
      <w:tr>
        <w:trPr>
          <w:trHeight w:val="1113" w:hRule="atLeast"/>
        </w:trPr>
        <w:tc>
          <w:tcPr>
            <w:tcW w:w="1080" w:type="dxa"/>
            <w:vAlign w:val="top"/>
            <w:tcBorders>
              <w:right w:val="nil"/>
            </w:tcBorders>
          </w:tcPr>
          <w:p>
            <w:pPr>
              <w:pStyle w:val="TableText"/>
              <w:ind w:left="135" w:right="200"/>
              <w:spacing w:before="272" w:line="244" w:lineRule="auto"/>
              <w:rPr/>
            </w:pPr>
            <w:r>
              <w:rPr>
                <w:spacing w:val="-3"/>
              </w:rPr>
              <w:t>混合/过</w:t>
            </w:r>
            <w:r>
              <w:rPr/>
              <w:t xml:space="preserve"> </w:t>
            </w:r>
            <w:r>
              <w:rPr>
                <w:spacing w:val="36"/>
              </w:rPr>
              <w:t>渡亚群</w:t>
            </w:r>
          </w:p>
        </w:tc>
        <w:tc>
          <w:tcPr>
            <w:tcW w:w="1271" w:type="dxa"/>
            <w:vAlign w:val="top"/>
            <w:tcBorders>
              <w:left w:val="nil"/>
              <w:right w:val="nil"/>
            </w:tcBorders>
          </w:tcPr>
          <w:p>
            <w:pPr>
              <w:spacing w:line="387" w:lineRule="auto"/>
              <w:rPr>
                <w:rFonts w:ascii="Arial"/>
                <w:sz w:val="21"/>
              </w:rPr>
            </w:pPr>
            <w:r/>
          </w:p>
          <w:p>
            <w:pPr>
              <w:pStyle w:val="TableText"/>
              <w:ind w:left="299"/>
              <w:spacing w:before="68" w:line="220" w:lineRule="auto"/>
              <w:rPr/>
            </w:pPr>
            <w:r>
              <w:rPr>
                <w:spacing w:val="-3"/>
              </w:rPr>
              <w:t>全程</w:t>
            </w:r>
          </w:p>
        </w:tc>
        <w:tc>
          <w:tcPr>
            <w:tcW w:w="1732" w:type="dxa"/>
            <w:vAlign w:val="top"/>
            <w:tcBorders>
              <w:left w:val="nil"/>
              <w:right w:val="nil"/>
            </w:tcBorders>
          </w:tcPr>
          <w:p>
            <w:pPr>
              <w:pStyle w:val="TableText"/>
              <w:ind w:left="268"/>
              <w:spacing w:before="268" w:line="220" w:lineRule="auto"/>
              <w:rPr/>
            </w:pPr>
            <w:r>
              <w:rPr>
                <w:spacing w:val="-2"/>
              </w:rPr>
              <w:t>T细胞</w:t>
            </w:r>
          </w:p>
          <w:p>
            <w:pPr>
              <w:pStyle w:val="TableText"/>
              <w:ind w:left="268" w:right="423" w:firstLine="140"/>
              <w:spacing w:before="42" w:line="238" w:lineRule="auto"/>
              <w:rPr/>
            </w:pPr>
            <w:r>
              <w:rPr>
                <w:spacing w:val="-6"/>
              </w:rPr>
              <w:t>(Th1/Th17</w:t>
            </w:r>
            <w:r>
              <w:rPr>
                <w:spacing w:val="7"/>
              </w:rPr>
              <w:t xml:space="preserve"> </w:t>
            </w:r>
            <w:r>
              <w:rPr>
                <w:spacing w:val="-2"/>
              </w:rPr>
              <w:t>vs</w:t>
            </w:r>
            <w:r>
              <w:rPr>
                <w:spacing w:val="59"/>
              </w:rPr>
              <w:t xml:space="preserve"> </w:t>
            </w:r>
            <w:r>
              <w:rPr>
                <w:spacing w:val="-2"/>
              </w:rPr>
              <w:t>Treg)</w:t>
            </w:r>
          </w:p>
        </w:tc>
        <w:tc>
          <w:tcPr>
            <w:tcW w:w="2872" w:type="dxa"/>
            <w:vAlign w:val="top"/>
            <w:tcBorders>
              <w:left w:val="nil"/>
              <w:right w:val="nil"/>
            </w:tcBorders>
          </w:tcPr>
          <w:p>
            <w:pPr>
              <w:pStyle w:val="TableText"/>
              <w:ind w:left="187" w:right="364"/>
              <w:spacing w:before="263" w:line="246" w:lineRule="auto"/>
              <w:jc w:val="both"/>
              <w:rPr/>
            </w:pPr>
            <w:r>
              <w:rPr>
                <w:spacing w:val="1"/>
              </w:rPr>
              <w:t>早期促</w:t>
            </w:r>
            <w:r>
              <w:rPr/>
              <w:t>Th</w:t>
            </w:r>
            <w:r>
              <w:rPr>
                <w:spacing w:val="1"/>
              </w:rPr>
              <w:t>1/</w:t>
            </w:r>
            <w:r>
              <w:rPr/>
              <w:t>Th</w:t>
            </w:r>
            <w:r>
              <w:rPr>
                <w:spacing w:val="1"/>
              </w:rPr>
              <w:t>17,后期支</w:t>
            </w:r>
            <w:r>
              <w:rPr>
                <w:spacing w:val="2"/>
              </w:rPr>
              <w:t xml:space="preserve">  </w:t>
            </w:r>
            <w:r>
              <w:rPr>
                <w:spacing w:val="1"/>
              </w:rPr>
              <w:t>持</w:t>
            </w:r>
            <w:r>
              <w:rPr/>
              <w:t>Treg</w:t>
            </w:r>
            <w:r>
              <w:rPr>
                <w:spacing w:val="1"/>
              </w:rPr>
              <w:t>;T细胞反过来调节</w:t>
            </w:r>
            <w:r>
              <w:rPr/>
              <w:t xml:space="preserve"> </w:t>
            </w:r>
            <w:r>
              <w:rPr>
                <w:spacing w:val="1"/>
              </w:rPr>
              <w:t>中性粒细胞极化</w:t>
            </w:r>
          </w:p>
        </w:tc>
        <w:tc>
          <w:tcPr>
            <w:tcW w:w="1710" w:type="dxa"/>
            <w:vAlign w:val="top"/>
            <w:tcBorders>
              <w:left w:val="nil"/>
              <w:right w:val="nil"/>
            </w:tcBorders>
          </w:tcPr>
          <w:p>
            <w:pPr>
              <w:pStyle w:val="TableText"/>
              <w:ind w:left="144" w:right="279"/>
              <w:spacing w:before="269" w:line="257" w:lineRule="auto"/>
              <w:rPr/>
            </w:pPr>
            <w:r>
              <w:rPr>
                <w:spacing w:val="3"/>
              </w:rPr>
              <w:t>双向：早期恶</w:t>
            </w:r>
            <w:r>
              <w:rPr>
                <w:spacing w:val="1"/>
              </w:rPr>
              <w:t xml:space="preserve"> </w:t>
            </w:r>
            <w:r>
              <w:rPr>
                <w:spacing w:val="4"/>
              </w:rPr>
              <w:t>化、晚期保护</w:t>
            </w:r>
          </w:p>
        </w:tc>
        <w:tc>
          <w:tcPr>
            <w:tcW w:w="1544" w:type="dxa"/>
            <w:vAlign w:val="top"/>
            <w:tcBorders>
              <w:left w:val="nil"/>
            </w:tcBorders>
          </w:tcPr>
          <w:p>
            <w:pPr>
              <w:spacing w:line="394" w:lineRule="auto"/>
              <w:rPr>
                <w:rFonts w:ascii="Arial"/>
                <w:sz w:val="21"/>
              </w:rPr>
            </w:pPr>
            <w:r/>
          </w:p>
          <w:p>
            <w:pPr>
              <w:pStyle w:val="TableText"/>
              <w:ind w:left="74"/>
              <w:spacing w:before="68" w:line="227" w:lineRule="auto"/>
              <w:rPr/>
            </w:pPr>
            <w:r>
              <w:rPr>
                <w:spacing w:val="-2"/>
              </w:rPr>
              <w:t>★★★☆☆</w:t>
            </w:r>
          </w:p>
        </w:tc>
      </w:tr>
    </w:tbl>
    <w:p>
      <w:pPr>
        <w:pStyle w:val="BodyText"/>
        <w:ind w:left="3"/>
        <w:spacing w:before="310" w:line="222" w:lineRule="auto"/>
        <w:rPr/>
      </w:pPr>
      <w:r>
        <w:rPr>
          <w:b/>
          <w:bCs/>
          <w:spacing w:val="-4"/>
        </w:rPr>
        <w:t>核心交互逻辑链</w:t>
      </w:r>
    </w:p>
    <w:p>
      <w:pPr>
        <w:pStyle w:val="BodyText"/>
        <w:ind w:right="80"/>
        <w:spacing w:before="154" w:line="311" w:lineRule="auto"/>
        <w:rPr/>
      </w:pPr>
      <w:r>
        <w:rPr>
          <w:spacing w:val="9"/>
        </w:rPr>
        <w:t>急性期：中性粒细胞</w:t>
      </w:r>
      <w:r>
        <w:rPr>
          <w:spacing w:val="9"/>
        </w:rPr>
        <w:t xml:space="preserve"> </w:t>
      </w:r>
      <w:r>
        <w:rPr>
          <w:rFonts w:ascii="SimSun" w:hAnsi="SimSun" w:eastAsia="SimSun" w:cs="SimSun"/>
          <w:spacing w:val="9"/>
        </w:rPr>
        <w:t>(N1)→</w:t>
      </w:r>
      <w:r>
        <w:rPr>
          <w:rFonts w:ascii="SimSun" w:hAnsi="SimSun" w:eastAsia="SimSun" w:cs="SimSun"/>
          <w:spacing w:val="52"/>
        </w:rPr>
        <w:t xml:space="preserve"> </w:t>
      </w:r>
      <w:r>
        <w:rPr>
          <w:spacing w:val="9"/>
        </w:rPr>
        <w:t>激活</w:t>
      </w:r>
      <w:r>
        <w:rPr>
          <w:rFonts w:ascii="SimSun" w:hAnsi="SimSun" w:eastAsia="SimSun" w:cs="SimSun"/>
          <w:spacing w:val="9"/>
        </w:rPr>
        <w:t>M1</w:t>
      </w:r>
      <w:r>
        <w:rPr>
          <w:spacing w:val="9"/>
        </w:rPr>
        <w:t>微胶+破坏</w:t>
      </w:r>
      <w:r>
        <w:rPr>
          <w:rFonts w:ascii="SimSun" w:hAnsi="SimSun" w:eastAsia="SimSun" w:cs="SimSun"/>
        </w:rPr>
        <w:t>BBB</w:t>
      </w:r>
      <w:r>
        <w:rPr>
          <w:rFonts w:ascii="SimSun" w:hAnsi="SimSun" w:eastAsia="SimSun" w:cs="SimSun"/>
          <w:spacing w:val="9"/>
        </w:rPr>
        <w:t>→ </w:t>
      </w:r>
      <w:r>
        <w:rPr>
          <w:spacing w:val="9"/>
        </w:rPr>
        <w:t>放大外周免疫细胞浸润→</w:t>
      </w:r>
      <w:r>
        <w:rPr>
          <w:spacing w:val="8"/>
        </w:rPr>
        <w:t>恶性循环→大</w:t>
      </w:r>
      <w:r>
        <w:rPr/>
        <w:t xml:space="preserve"> </w:t>
      </w:r>
      <w:r>
        <w:rPr>
          <w:spacing w:val="-1"/>
        </w:rPr>
        <w:t>梗死、不良早期结局</w:t>
      </w:r>
    </w:p>
    <w:p>
      <w:pPr>
        <w:pStyle w:val="BodyText"/>
        <w:ind w:right="146"/>
        <w:spacing w:before="22" w:line="325" w:lineRule="auto"/>
        <w:rPr/>
      </w:pPr>
      <w:r>
        <w:rPr>
          <w:spacing w:val="5"/>
        </w:rPr>
        <w:t>慢性期：中性粒细胞</w:t>
      </w:r>
      <w:r>
        <w:rPr>
          <w:spacing w:val="5"/>
        </w:rPr>
        <w:t xml:space="preserve"> </w:t>
      </w:r>
      <w:r>
        <w:rPr>
          <w:rFonts w:ascii="SimSun" w:hAnsi="SimSun" w:eastAsia="SimSun" w:cs="SimSun"/>
          <w:spacing w:val="5"/>
        </w:rPr>
        <w:t>(N2/ </w:t>
      </w:r>
      <w:r>
        <w:rPr>
          <w:spacing w:val="5"/>
        </w:rPr>
        <w:t>晚期保护亚群)</w:t>
      </w:r>
      <w:r>
        <w:rPr>
          <w:spacing w:val="-87"/>
        </w:rPr>
        <w:t xml:space="preserve"> </w:t>
      </w:r>
      <w:r>
        <w:rPr>
          <w:spacing w:val="5"/>
        </w:rPr>
        <w:t>→被</w:t>
      </w:r>
      <w:r>
        <w:rPr>
          <w:rFonts w:ascii="SimSun" w:hAnsi="SimSun" w:eastAsia="SimSun" w:cs="SimSun"/>
          <w:spacing w:val="5"/>
        </w:rPr>
        <w:t>M2</w:t>
      </w:r>
      <w:r>
        <w:rPr>
          <w:rFonts w:ascii="SimSun" w:hAnsi="SimSun" w:eastAsia="SimSun" w:cs="SimSun"/>
          <w:spacing w:val="4"/>
        </w:rPr>
        <w:t xml:space="preserve"> </w:t>
      </w:r>
      <w:r>
        <w:rPr>
          <w:spacing w:val="4"/>
        </w:rPr>
        <w:t>巨噬/微胶高效清除+分泌修复因子→炎症消</w:t>
      </w:r>
      <w:r>
        <w:rPr/>
        <w:t xml:space="preserve"> </w:t>
      </w:r>
      <w:r>
        <w:rPr>
          <w:spacing w:val="13"/>
        </w:rPr>
        <w:t>退+组织重塑</w:t>
      </w:r>
      <w:r>
        <w:rPr>
          <w:spacing w:val="-75"/>
        </w:rPr>
        <w:t xml:space="preserve"> </w:t>
      </w:r>
      <w:r>
        <w:rPr>
          <w:spacing w:val="13"/>
        </w:rPr>
        <w:t>→</w:t>
      </w:r>
      <w:r>
        <w:rPr>
          <w:spacing w:val="-85"/>
        </w:rPr>
        <w:t xml:space="preserve"> </w:t>
      </w:r>
      <w:r>
        <w:rPr>
          <w:spacing w:val="13"/>
        </w:rPr>
        <w:t>功能改善</w:t>
      </w:r>
    </w:p>
    <w:p>
      <w:pPr>
        <w:pStyle w:val="BodyText"/>
        <w:ind w:left="4"/>
        <w:spacing w:before="331" w:line="221" w:lineRule="auto"/>
        <w:outlineLvl w:val="2"/>
        <w:rPr>
          <w:sz w:val="31"/>
          <w:szCs w:val="31"/>
        </w:rPr>
      </w:pPr>
      <w:r>
        <w:rPr>
          <w:sz w:val="31"/>
          <w:szCs w:val="31"/>
          <w:b/>
          <w:bCs/>
          <w:spacing w:val="-4"/>
        </w:rPr>
        <w:t>五、未来需要开展的关键工作(优先级排序)</w:t>
      </w:r>
    </w:p>
    <w:p>
      <w:pPr>
        <w:spacing w:line="221" w:lineRule="auto"/>
        <w:sectPr>
          <w:pgSz w:w="12240" w:h="15840"/>
          <w:pgMar w:top="1064" w:right="1024" w:bottom="0" w:left="980" w:header="0" w:footer="0" w:gutter="0"/>
        </w:sectPr>
        <w:rPr>
          <w:sz w:val="31"/>
          <w:szCs w:val="31"/>
        </w:rPr>
      </w:pPr>
    </w:p>
    <w:p>
      <w:pPr>
        <w:pStyle w:val="BodyText"/>
        <w:ind w:left="348"/>
        <w:spacing w:before="48" w:line="221" w:lineRule="auto"/>
        <w:rPr/>
      </w:pPr>
      <w:r>
        <w:rPr>
          <w:rFonts w:ascii="SimSun" w:hAnsi="SimSun" w:eastAsia="SimSun" w:cs="SimSun"/>
          <w:b/>
          <w:bCs/>
          <w:spacing w:val="-5"/>
        </w:rPr>
        <w:t>1.</w:t>
      </w:r>
      <w:r>
        <w:rPr>
          <w:rFonts w:ascii="SimSun" w:hAnsi="SimSun" w:eastAsia="SimSun" w:cs="SimSun"/>
          <w:spacing w:val="-5"/>
        </w:rPr>
        <w:t xml:space="preserve"> </w:t>
      </w:r>
      <w:r>
        <w:rPr>
          <w:b/>
          <w:bCs/>
          <w:spacing w:val="-5"/>
        </w:rPr>
        <w:t>最高优先级：精细的时间-空间分辨单细胞/空间多组学</w:t>
      </w:r>
    </w:p>
    <w:p>
      <w:pPr>
        <w:pStyle w:val="BodyText"/>
        <w:ind w:left="1174" w:right="188" w:hanging="129"/>
        <w:spacing w:before="242" w:line="278" w:lineRule="auto"/>
        <w:rPr/>
      </w:pPr>
      <w:r>
        <w:rPr>
          <w:spacing w:val="1"/>
        </w:rPr>
        <w:t>·开展纵向</w:t>
      </w:r>
      <w:r>
        <w:rPr>
          <w:spacing w:val="1"/>
        </w:rPr>
        <w:t xml:space="preserve"> </w:t>
      </w:r>
      <w:r>
        <w:rPr>
          <w:rFonts w:ascii="Arial" w:hAnsi="Arial" w:eastAsia="Arial" w:cs="Arial"/>
          <w:spacing w:val="1"/>
        </w:rPr>
        <w:t>(D1-D28)</w:t>
      </w:r>
      <w:r>
        <w:rPr>
          <w:rFonts w:ascii="Arial" w:hAnsi="Arial" w:eastAsia="Arial" w:cs="Arial"/>
          <w:spacing w:val="23"/>
        </w:rPr>
        <w:t xml:space="preserve">   </w:t>
      </w:r>
      <w:r>
        <w:rPr>
          <w:spacing w:val="1"/>
        </w:rPr>
        <w:t>脑缺血模型的空间转录组+单细胞蛋白质组，明确各亚群的空</w:t>
      </w:r>
      <w:r>
        <w:rPr/>
        <w:t xml:space="preserve"> </w:t>
      </w:r>
      <w:r>
        <w:rPr/>
        <w:t>间分布规律与微环境依赖性极化机制</w:t>
      </w:r>
    </w:p>
    <w:p>
      <w:pPr>
        <w:pStyle w:val="BodyText"/>
        <w:ind w:left="1045"/>
        <w:spacing w:before="250" w:line="221" w:lineRule="auto"/>
        <w:rPr/>
      </w:pPr>
      <w:r>
        <w:rPr>
          <w:spacing w:val="7"/>
        </w:rPr>
        <w:t>·特别关注</w:t>
      </w:r>
      <w:r>
        <w:rPr>
          <w:rFonts w:ascii="SimSun" w:hAnsi="SimSun" w:eastAsia="SimSun" w:cs="SimSun"/>
          <w:spacing w:val="7"/>
        </w:rPr>
        <w:t>D7-D21 </w:t>
      </w:r>
      <w:r>
        <w:rPr>
          <w:spacing w:val="7"/>
        </w:rPr>
        <w:t>窗口的过渡亚群及保护性簇的起源(骨髓</w:t>
      </w:r>
      <w:r>
        <w:rPr>
          <w:rFonts w:ascii="SimSun" w:hAnsi="SimSun" w:eastAsia="SimSun" w:cs="SimSun"/>
        </w:rPr>
        <w:t>vs</w:t>
      </w:r>
      <w:r>
        <w:rPr>
          <w:rFonts w:ascii="SimSun" w:hAnsi="SimSun" w:eastAsia="SimSun" w:cs="SimSun"/>
          <w:spacing w:val="-29"/>
        </w:rPr>
        <w:t xml:space="preserve"> </w:t>
      </w:r>
      <w:r>
        <w:rPr>
          <w:spacing w:val="7"/>
        </w:rPr>
        <w:t>脑驻留?)</w:t>
      </w:r>
    </w:p>
    <w:p>
      <w:pPr>
        <w:rPr>
          <w:rFonts w:ascii="Arial"/>
          <w:sz w:val="21"/>
        </w:rPr>
      </w:pPr>
      <w:r/>
    </w:p>
    <w:p>
      <w:pPr>
        <w:pStyle w:val="BodyText"/>
        <w:ind w:left="348"/>
        <w:spacing w:before="78" w:line="222" w:lineRule="auto"/>
        <w:rPr/>
      </w:pPr>
      <w:r>
        <w:rPr>
          <w:rFonts w:ascii="SimSun" w:hAnsi="SimSun" w:eastAsia="SimSun" w:cs="SimSun"/>
          <w:b/>
          <w:bCs/>
          <w:spacing w:val="-5"/>
        </w:rPr>
        <w:t>2.</w:t>
      </w:r>
      <w:r>
        <w:rPr>
          <w:rFonts w:ascii="SimSun" w:hAnsi="SimSun" w:eastAsia="SimSun" w:cs="SimSun"/>
          <w:spacing w:val="-30"/>
        </w:rPr>
        <w:t xml:space="preserve"> </w:t>
      </w:r>
      <w:r>
        <w:rPr>
          <w:b/>
          <w:bCs/>
          <w:spacing w:val="-5"/>
        </w:rPr>
        <w:t>靶向干预的时间窗优化</w:t>
      </w:r>
    </w:p>
    <w:p>
      <w:pPr>
        <w:pStyle w:val="BodyText"/>
        <w:ind w:left="1174" w:right="203" w:hanging="129"/>
        <w:spacing w:before="231" w:line="277" w:lineRule="auto"/>
        <w:rPr/>
      </w:pPr>
      <w:r>
        <w:rPr>
          <w:spacing w:val="-2"/>
        </w:rPr>
        <w:t>·系统比较不同时间点中性粒细胞耗竭/极化调控</w:t>
      </w:r>
      <w:r>
        <w:rPr>
          <w:spacing w:val="-38"/>
        </w:rPr>
        <w:t xml:space="preserve"> </w:t>
      </w:r>
      <w:r>
        <w:rPr>
          <w:rFonts w:ascii="SimSun" w:hAnsi="SimSun" w:eastAsia="SimSun" w:cs="SimSun"/>
          <w:spacing w:val="-2"/>
        </w:rPr>
        <w:t>(Sivelest</w:t>
      </w:r>
      <w:r>
        <w:rPr>
          <w:rFonts w:ascii="SimSun" w:hAnsi="SimSun" w:eastAsia="SimSun" w:cs="SimSun"/>
          <w:spacing w:val="-3"/>
        </w:rPr>
        <w:t>at、DNase  l、PPARy</w:t>
      </w:r>
      <w:r>
        <w:rPr>
          <w:spacing w:val="-3"/>
        </w:rPr>
        <w:t>激动</w:t>
      </w:r>
      <w:r>
        <w:rPr/>
        <w:t xml:space="preserve"> </w:t>
      </w:r>
      <w:r>
        <w:rPr>
          <w:spacing w:val="10"/>
        </w:rPr>
        <w:t>剂、</w:t>
      </w:r>
      <w:r>
        <w:rPr>
          <w:rFonts w:ascii="SimSun" w:hAnsi="SimSun" w:eastAsia="SimSun" w:cs="SimSun"/>
        </w:rPr>
        <w:t>CXCR</w:t>
      </w:r>
      <w:r>
        <w:rPr>
          <w:rFonts w:ascii="SimSun" w:hAnsi="SimSun" w:eastAsia="SimSun" w:cs="SimSun"/>
          <w:spacing w:val="10"/>
        </w:rPr>
        <w:t>2</w:t>
      </w:r>
      <w:r>
        <w:rPr>
          <w:rFonts w:ascii="SimSun" w:hAnsi="SimSun" w:eastAsia="SimSun" w:cs="SimSun"/>
          <w:spacing w:val="3"/>
        </w:rPr>
        <w:t xml:space="preserve">  </w:t>
      </w:r>
      <w:r>
        <w:rPr>
          <w:spacing w:val="10"/>
        </w:rPr>
        <w:t>拮抗剂等)的净效应</w:t>
      </w:r>
    </w:p>
    <w:p>
      <w:pPr>
        <w:pStyle w:val="BodyText"/>
        <w:ind w:left="1045"/>
        <w:spacing w:before="273" w:line="221" w:lineRule="auto"/>
        <w:rPr/>
      </w:pPr>
      <w:r>
        <w:rPr>
          <w:spacing w:val="-11"/>
        </w:rPr>
        <w:t>·开发“急性期阻断</w:t>
      </w:r>
      <w:r>
        <w:rPr>
          <w:rFonts w:ascii="SimSun" w:hAnsi="SimSun" w:eastAsia="SimSun" w:cs="SimSun"/>
          <w:spacing w:val="-11"/>
        </w:rPr>
        <w:t>N1+</w:t>
      </w:r>
      <w:r>
        <w:rPr>
          <w:rFonts w:ascii="SimSun" w:hAnsi="SimSun" w:eastAsia="SimSun" w:cs="SimSun"/>
          <w:spacing w:val="51"/>
        </w:rPr>
        <w:t xml:space="preserve"> </w:t>
      </w:r>
      <w:r>
        <w:rPr>
          <w:spacing w:val="-11"/>
        </w:rPr>
        <w:t>晚期保留/增强</w:t>
      </w:r>
      <w:r>
        <w:rPr>
          <w:rFonts w:ascii="SimSun" w:hAnsi="SimSun" w:eastAsia="SimSun" w:cs="SimSun"/>
          <w:spacing w:val="-11"/>
        </w:rPr>
        <w:t>N2”</w:t>
      </w:r>
      <w:r>
        <w:rPr>
          <w:spacing w:val="-12"/>
        </w:rPr>
        <w:t>联合策略</w:t>
      </w:r>
    </w:p>
    <w:p>
      <w:pPr>
        <w:pStyle w:val="BodyText"/>
        <w:ind w:left="348"/>
        <w:spacing w:before="289" w:line="221" w:lineRule="auto"/>
        <w:rPr/>
      </w:pPr>
      <w:r>
        <w:rPr>
          <w:rFonts w:ascii="SimSun" w:hAnsi="SimSun" w:eastAsia="SimSun" w:cs="SimSun"/>
          <w:b/>
          <w:bCs/>
          <w:spacing w:val="-3"/>
        </w:rPr>
        <w:t>3.</w:t>
      </w:r>
      <w:r>
        <w:rPr>
          <w:rFonts w:ascii="SimSun" w:hAnsi="SimSun" w:eastAsia="SimSun" w:cs="SimSun"/>
          <w:spacing w:val="-14"/>
        </w:rPr>
        <w:t xml:space="preserve"> </w:t>
      </w:r>
      <w:r>
        <w:rPr>
          <w:b/>
          <w:bCs/>
          <w:spacing w:val="-3"/>
        </w:rPr>
        <w:t>人类数据验证与生物标志物开发</w:t>
      </w:r>
    </w:p>
    <w:p>
      <w:pPr>
        <w:pStyle w:val="BodyText"/>
        <w:ind w:left="1174" w:hanging="129"/>
        <w:spacing w:before="241" w:line="280" w:lineRule="auto"/>
        <w:rPr/>
      </w:pPr>
      <w:r>
        <w:rPr>
          <w:spacing w:val="1"/>
        </w:rPr>
        <w:t>·大样本纵向队列：外周血+脑脊液中性粒细胞亚群(流式/</w:t>
      </w:r>
      <w:r>
        <w:rPr>
          <w:rFonts w:ascii="Arial" w:hAnsi="Arial" w:eastAsia="Arial" w:cs="Arial"/>
        </w:rPr>
        <w:t>CyTOF</w:t>
      </w:r>
      <w:r>
        <w:rPr>
          <w:rFonts w:ascii="Arial" w:hAnsi="Arial" w:eastAsia="Arial" w:cs="Arial"/>
          <w:spacing w:val="1"/>
        </w:rPr>
        <w:t>)</w:t>
      </w:r>
      <w:r>
        <w:rPr>
          <w:rFonts w:ascii="Arial" w:hAnsi="Arial" w:eastAsia="Arial" w:cs="Arial"/>
          <w:spacing w:val="25"/>
        </w:rPr>
        <w:t xml:space="preserve">  </w:t>
      </w:r>
      <w:r>
        <w:rPr>
          <w:spacing w:val="1"/>
        </w:rPr>
        <w:t>动态与3-12月</w:t>
      </w:r>
      <w:r>
        <w:rPr>
          <w:rFonts w:ascii="Arial" w:hAnsi="Arial" w:eastAsia="Arial" w:cs="Arial"/>
        </w:rPr>
        <w:t>mRS </w:t>
      </w:r>
      <w:r>
        <w:rPr>
          <w:spacing w:val="1"/>
        </w:rPr>
        <w:t>的相关性</w:t>
      </w:r>
    </w:p>
    <w:p>
      <w:pPr>
        <w:pStyle w:val="BodyText"/>
        <w:ind w:left="1045"/>
        <w:spacing w:before="247" w:line="213" w:lineRule="auto"/>
        <w:rPr/>
      </w:pPr>
      <w:r>
        <w:rPr>
          <w:spacing w:val="-2"/>
        </w:rPr>
        <w:t>·筛选可区分</w:t>
      </w:r>
      <w:r>
        <w:rPr>
          <w:rFonts w:ascii="SimSun" w:hAnsi="SimSun" w:eastAsia="SimSun" w:cs="SimSun"/>
          <w:spacing w:val="-2"/>
        </w:rPr>
        <w:t>N1/N2/</w:t>
      </w:r>
      <w:r>
        <w:rPr>
          <w:rFonts w:ascii="SimSun" w:hAnsi="SimSun" w:eastAsia="SimSun" w:cs="SimSun"/>
          <w:spacing w:val="-68"/>
        </w:rPr>
        <w:t xml:space="preserve"> </w:t>
      </w:r>
      <w:r>
        <w:rPr>
          <w:spacing w:val="-2"/>
        </w:rPr>
        <w:t>保护亚群的表面标志物或血清指标，用于患者分层与精</w:t>
      </w:r>
      <w:r>
        <w:rPr>
          <w:spacing w:val="-3"/>
        </w:rPr>
        <w:t>准干预</w:t>
      </w:r>
    </w:p>
    <w:p>
      <w:pPr>
        <w:rPr>
          <w:rFonts w:ascii="Arial"/>
          <w:sz w:val="21"/>
        </w:rPr>
      </w:pPr>
      <w:r/>
    </w:p>
    <w:p>
      <w:pPr>
        <w:pStyle w:val="BodyText"/>
        <w:ind w:left="348"/>
        <w:spacing w:before="78" w:line="221" w:lineRule="auto"/>
        <w:rPr/>
      </w:pPr>
      <w:r>
        <w:rPr>
          <w:rFonts w:ascii="SimSun" w:hAnsi="SimSun" w:eastAsia="SimSun" w:cs="SimSun"/>
          <w:b/>
          <w:bCs/>
          <w:spacing w:val="-4"/>
        </w:rPr>
        <w:t>4.</w:t>
      </w:r>
      <w:r>
        <w:rPr>
          <w:rFonts w:ascii="SimSun" w:hAnsi="SimSun" w:eastAsia="SimSun" w:cs="SimSun"/>
          <w:spacing w:val="-38"/>
        </w:rPr>
        <w:t xml:space="preserve"> </w:t>
      </w:r>
      <w:r>
        <w:rPr>
          <w:b/>
          <w:bCs/>
          <w:spacing w:val="-4"/>
        </w:rPr>
        <w:t>跨细胞类型交互的因果验证</w:t>
      </w:r>
    </w:p>
    <w:p>
      <w:pPr>
        <w:pStyle w:val="BodyText"/>
        <w:ind w:left="1174" w:right="148" w:hanging="129"/>
        <w:spacing w:before="244" w:line="277" w:lineRule="auto"/>
        <w:rPr/>
      </w:pPr>
      <w:r>
        <w:rPr>
          <w:spacing w:val="-2"/>
        </w:rPr>
        <w:t>·条件性敲除/过表达模型</w:t>
      </w:r>
      <w:r>
        <w:rPr>
          <w:spacing w:val="-2"/>
        </w:rPr>
        <w:t xml:space="preserve"> </w:t>
      </w:r>
      <w:r>
        <w:rPr>
          <w:rFonts w:ascii="SimSun" w:hAnsi="SimSun" w:eastAsia="SimSun" w:cs="SimSun"/>
          <w:spacing w:val="-2"/>
        </w:rPr>
        <w:t>(Ly6G-Cre</w:t>
      </w:r>
      <w:r>
        <w:rPr>
          <w:rFonts w:ascii="SimSun" w:hAnsi="SimSun" w:eastAsia="SimSun" w:cs="SimSun"/>
          <w:spacing w:val="107"/>
        </w:rPr>
        <w:t xml:space="preserve"> </w:t>
      </w:r>
      <w:r>
        <w:rPr>
          <w:spacing w:val="-2"/>
        </w:rPr>
        <w:t>系统)研究中性粒细胞-微胶-星形胶质-神经元-</w:t>
      </w:r>
      <w:r>
        <w:rPr/>
        <w:t xml:space="preserve"> </w:t>
      </w:r>
      <w:r>
        <w:rPr/>
        <w:t>内皮五元交互网络</w:t>
      </w:r>
    </w:p>
    <w:p>
      <w:pPr>
        <w:pStyle w:val="BodyText"/>
        <w:ind w:left="1045"/>
        <w:spacing w:before="252" w:line="221" w:lineRule="auto"/>
        <w:rPr/>
      </w:pPr>
      <w:r>
        <w:rPr>
          <w:spacing w:val="-5"/>
        </w:rPr>
        <w:t>·器官芯片或脑类器官模型模拟晚期修复微环境</w:t>
      </w:r>
    </w:p>
    <w:p>
      <w:pPr>
        <w:pStyle w:val="BodyText"/>
        <w:ind w:left="348"/>
        <w:spacing w:before="310" w:line="221" w:lineRule="auto"/>
        <w:rPr/>
      </w:pPr>
      <w:r>
        <w:rPr>
          <w:rFonts w:ascii="SimSun" w:hAnsi="SimSun" w:eastAsia="SimSun" w:cs="SimSun"/>
          <w:b/>
          <w:bCs/>
          <w:spacing w:val="-5"/>
        </w:rPr>
        <w:t>5.</w:t>
      </w:r>
      <w:r>
        <w:rPr>
          <w:rFonts w:ascii="SimSun" w:hAnsi="SimSun" w:eastAsia="SimSun" w:cs="SimSun"/>
          <w:spacing w:val="-23"/>
        </w:rPr>
        <w:t xml:space="preserve"> </w:t>
      </w:r>
      <w:r>
        <w:rPr>
          <w:b/>
          <w:bCs/>
          <w:spacing w:val="-5"/>
        </w:rPr>
        <w:t>老龄化与共病背景下的异质性</w:t>
      </w:r>
    </w:p>
    <w:p>
      <w:pPr>
        <w:pStyle w:val="BodyText"/>
        <w:ind w:left="1174" w:right="331" w:hanging="129"/>
        <w:spacing w:before="239" w:line="285" w:lineRule="auto"/>
        <w:rPr/>
      </w:pPr>
      <w:r>
        <w:rPr/>
        <w:t>·老年卒中模型中中性粒细胞</w:t>
      </w:r>
      <w:r>
        <w:rPr>
          <w:rFonts w:ascii="Times New Roman" w:hAnsi="Times New Roman" w:eastAsia="Times New Roman" w:cs="Times New Roman"/>
        </w:rPr>
        <w:t>“inflammaging”   </w:t>
      </w:r>
      <w:r>
        <w:rPr/>
        <w:t>特征(衰老亚群比例升高、修复能力下</w:t>
      </w:r>
      <w:r>
        <w:rPr>
          <w:spacing w:val="15"/>
        </w:rPr>
        <w:t xml:space="preserve"> </w:t>
      </w:r>
      <w:r>
        <w:rPr>
          <w:spacing w:val="8"/>
        </w:rPr>
        <w:t>降)</w:t>
      </w:r>
    </w:p>
    <w:p>
      <w:pPr>
        <w:pStyle w:val="BodyText"/>
        <w:ind w:left="1045"/>
        <w:spacing w:before="248" w:line="222" w:lineRule="auto"/>
        <w:rPr/>
      </w:pPr>
      <w:r>
        <w:rPr>
          <w:spacing w:val="-5"/>
        </w:rPr>
        <w:t>·糖尿病、高血压等共病如何重塑中性粒细胞极化轨迹</w:t>
      </w:r>
    </w:p>
    <w:p>
      <w:pPr>
        <w:pStyle w:val="BodyText"/>
        <w:ind w:left="348"/>
        <w:spacing w:before="286" w:line="221" w:lineRule="auto"/>
        <w:rPr/>
      </w:pPr>
      <w:r>
        <w:rPr>
          <w:rFonts w:ascii="SimSun" w:hAnsi="SimSun" w:eastAsia="SimSun" w:cs="SimSun"/>
          <w:b/>
          <w:bCs/>
          <w:spacing w:val="-2"/>
        </w:rPr>
        <w:t>6.</w:t>
      </w:r>
      <w:r>
        <w:rPr>
          <w:rFonts w:ascii="SimSun" w:hAnsi="SimSun" w:eastAsia="SimSun" w:cs="SimSun"/>
          <w:spacing w:val="-56"/>
        </w:rPr>
        <w:t xml:space="preserve"> </w:t>
      </w:r>
      <w:r>
        <w:rPr>
          <w:b/>
          <w:bCs/>
          <w:spacing w:val="-2"/>
        </w:rPr>
        <w:t>转化医学：新型干预靶点筛选</w:t>
      </w:r>
    </w:p>
    <w:p>
      <w:pPr>
        <w:pStyle w:val="BodyText"/>
        <w:ind w:left="1045"/>
        <w:spacing w:before="276" w:line="221" w:lineRule="auto"/>
        <w:rPr/>
      </w:pPr>
      <w:r>
        <w:rPr>
          <w:spacing w:val="-5"/>
        </w:rPr>
        <w:t>·高通量筛选促进晚期保护亚群极化的小分子</w:t>
      </w:r>
      <w:r>
        <w:rPr>
          <w:spacing w:val="-6"/>
        </w:rPr>
        <w:t>/生物制剂</w:t>
      </w:r>
    </w:p>
    <w:p>
      <w:pPr>
        <w:pStyle w:val="BodyText"/>
        <w:ind w:left="1045"/>
        <w:spacing w:before="243" w:line="222" w:lineRule="auto"/>
        <w:rPr/>
      </w:pPr>
      <w:r>
        <w:rPr>
          <w:spacing w:val="-1"/>
        </w:rPr>
        <w:t>·探索中性粒细胞工程化</w:t>
      </w:r>
      <w:r>
        <w:rPr>
          <w:spacing w:val="-1"/>
        </w:rPr>
        <w:t xml:space="preserve"> </w:t>
      </w:r>
      <w:r>
        <w:rPr>
          <w:rFonts w:ascii="SimSun" w:hAnsi="SimSun" w:eastAsia="SimSun" w:cs="SimSun"/>
          <w:spacing w:val="-1"/>
        </w:rPr>
        <w:t>(ex vivo</w:t>
      </w:r>
      <w:r>
        <w:rPr>
          <w:spacing w:val="-1"/>
        </w:rPr>
        <w:t>极化后回输)在慢性期康复</w:t>
      </w:r>
      <w:r>
        <w:rPr>
          <w:spacing w:val="-2"/>
        </w:rPr>
        <w:t>中的潜力</w:t>
      </w:r>
    </w:p>
    <w:p>
      <w:pPr>
        <w:spacing w:line="383" w:lineRule="auto"/>
        <w:rPr>
          <w:rFonts w:ascii="Arial"/>
          <w:sz w:val="21"/>
        </w:rPr>
      </w:pPr>
      <w:r/>
    </w:p>
    <w:p>
      <w:pPr>
        <w:pStyle w:val="BodyText"/>
        <w:spacing w:before="102" w:line="226" w:lineRule="auto"/>
        <w:outlineLvl w:val="2"/>
        <w:rPr>
          <w:sz w:val="31"/>
          <w:szCs w:val="31"/>
        </w:rPr>
      </w:pPr>
      <w:r>
        <w:rPr>
          <w:sz w:val="31"/>
          <w:szCs w:val="31"/>
          <w:b/>
          <w:bCs/>
          <w:spacing w:val="-10"/>
        </w:rPr>
        <w:t>六、结论</w:t>
      </w:r>
    </w:p>
    <w:p>
      <w:pPr>
        <w:spacing w:line="226" w:lineRule="auto"/>
        <w:sectPr>
          <w:pgSz w:w="12240" w:h="15840"/>
          <w:pgMar w:top="1205" w:right="1042" w:bottom="0" w:left="984" w:header="0" w:footer="0" w:gutter="0"/>
        </w:sectPr>
        <w:rPr>
          <w:sz w:val="31"/>
          <w:szCs w:val="31"/>
        </w:rPr>
      </w:pPr>
    </w:p>
    <w:p>
      <w:pPr>
        <w:pStyle w:val="BodyText"/>
        <w:spacing w:before="48" w:line="222" w:lineRule="auto"/>
        <w:rPr/>
      </w:pPr>
      <w:r>
        <w:rPr>
          <w:spacing w:val="-11"/>
        </w:rPr>
        <w:t>近五年研究已将中性粒细胞从“单纯有害细胞”转变为“双面角色、时间依赖性极</w:t>
      </w:r>
      <w:r>
        <w:rPr>
          <w:spacing w:val="-12"/>
        </w:rPr>
        <w:t>化”的关键调控</w:t>
      </w:r>
    </w:p>
    <w:p>
      <w:pPr>
        <w:pStyle w:val="BodyText"/>
        <w:ind w:right="79"/>
        <w:spacing w:before="122" w:line="328" w:lineRule="auto"/>
        <w:rPr/>
      </w:pPr>
      <w:r>
        <w:rPr/>
        <w:t>者。急性期以促炎损伤为主导，慢性期则出现明确的保护性亚群并</w:t>
      </w:r>
      <w:r>
        <w:rPr>
          <w:spacing w:val="-1"/>
        </w:rPr>
        <w:t>参与炎症分辨与组织修复。其</w:t>
      </w:r>
      <w:r>
        <w:rPr/>
        <w:t xml:space="preserve"> </w:t>
      </w:r>
      <w:r>
        <w:rPr/>
        <w:t>与微胶细胞、巨噬细胞、星形胶质细胞、</w:t>
      </w:r>
      <w:r>
        <w:rPr>
          <w:rFonts w:ascii="SimSun" w:hAnsi="SimSun" w:eastAsia="SimSun" w:cs="SimSun"/>
        </w:rPr>
        <w:t>T</w:t>
      </w:r>
      <w:r>
        <w:rPr>
          <w:rFonts w:ascii="SimSun" w:hAnsi="SimSun" w:eastAsia="SimSun" w:cs="SimSun"/>
          <w:spacing w:val="-63"/>
        </w:rPr>
        <w:t xml:space="preserve"> </w:t>
      </w:r>
      <w:r>
        <w:rPr/>
        <w:t>细胞的动态交互网络，直接决定从超急性期</w:t>
      </w:r>
      <w:r>
        <w:rPr>
          <w:spacing w:val="-1"/>
        </w:rPr>
        <w:t>梗死扩大</w:t>
      </w:r>
      <w:r>
        <w:rPr/>
        <w:t xml:space="preserve"> </w:t>
      </w:r>
      <w:r>
        <w:rPr>
          <w:spacing w:val="-3"/>
        </w:rPr>
        <w:t>到慢性期功能恢复的临床轨迹。</w:t>
      </w:r>
    </w:p>
    <w:p>
      <w:pPr>
        <w:pStyle w:val="BodyText"/>
        <w:ind w:right="61"/>
        <w:spacing w:before="108" w:line="328" w:lineRule="auto"/>
        <w:jc w:val="both"/>
        <w:rPr/>
      </w:pPr>
      <w:r>
        <w:rPr>
          <w:spacing w:val="2"/>
        </w:rPr>
        <w:t>未来5-10年，通过时间-空间多组学精确绘图、靶向时间窗干预策略，以及从外周血到脑组织的</w:t>
      </w:r>
      <w:r>
        <w:rPr>
          <w:spacing w:val="1"/>
        </w:rPr>
        <w:t xml:space="preserve"> </w:t>
      </w:r>
      <w:r>
        <w:rPr>
          <w:spacing w:val="-3"/>
        </w:rPr>
        <w:t>转化验证，有望实现“中性粒细胞导向的卒中免疫精准治疗”,显著改善远期预后并降低继发性神</w:t>
      </w:r>
      <w:r>
        <w:rPr>
          <w:spacing w:val="15"/>
        </w:rPr>
        <w:t xml:space="preserve"> </w:t>
      </w:r>
      <w:r>
        <w:rPr>
          <w:spacing w:val="-5"/>
        </w:rPr>
        <w:t>经功能衰退风险。</w:t>
      </w:r>
    </w:p>
    <w:p>
      <w:pPr>
        <w:pStyle w:val="BodyText"/>
        <w:spacing w:before="122" w:line="222" w:lineRule="auto"/>
        <w:rPr/>
      </w:pPr>
      <w:r>
        <w:rPr>
          <w:spacing w:val="15"/>
        </w:rPr>
        <w:t>参考文献(精选2021-2025年代表性工作)</w:t>
      </w:r>
    </w:p>
    <w:p>
      <w:pPr>
        <w:ind w:left="359"/>
        <w:spacing w:before="213" w:line="327" w:lineRule="exact"/>
        <w:rPr>
          <w:rFonts w:ascii="Arial" w:hAnsi="Arial" w:eastAsia="Arial" w:cs="Arial"/>
          <w:sz w:val="24"/>
          <w:szCs w:val="24"/>
        </w:rPr>
      </w:pPr>
      <w:r>
        <w:rPr>
          <w:rFonts w:ascii="Arial" w:hAnsi="Arial" w:eastAsia="Arial" w:cs="Arial"/>
          <w:sz w:val="24"/>
          <w:szCs w:val="24"/>
          <w:spacing w:val="-2"/>
          <w:position w:val="4"/>
        </w:rPr>
        <w:t>·Xie</w:t>
      </w:r>
      <w:r>
        <w:rPr>
          <w:rFonts w:ascii="Arial" w:hAnsi="Arial" w:eastAsia="Arial" w:cs="Arial"/>
          <w:sz w:val="24"/>
          <w:szCs w:val="24"/>
          <w:spacing w:val="21"/>
          <w:w w:val="101"/>
          <w:position w:val="4"/>
        </w:rPr>
        <w:t xml:space="preserve">  </w:t>
      </w:r>
      <w:r>
        <w:rPr>
          <w:rFonts w:ascii="Arial" w:hAnsi="Arial" w:eastAsia="Arial" w:cs="Arial"/>
          <w:sz w:val="24"/>
          <w:szCs w:val="24"/>
          <w:spacing w:val="-2"/>
          <w:position w:val="4"/>
        </w:rPr>
        <w:t>Met</w:t>
      </w:r>
      <w:r>
        <w:rPr>
          <w:rFonts w:ascii="Arial" w:hAnsi="Arial" w:eastAsia="Arial" w:cs="Arial"/>
          <w:sz w:val="24"/>
          <w:szCs w:val="24"/>
          <w:spacing w:val="17"/>
          <w:position w:val="4"/>
        </w:rPr>
        <w:t xml:space="preserve">  </w:t>
      </w:r>
      <w:r>
        <w:rPr>
          <w:rFonts w:ascii="Arial" w:hAnsi="Arial" w:eastAsia="Arial" w:cs="Arial"/>
          <w:sz w:val="24"/>
          <w:szCs w:val="24"/>
          <w:spacing w:val="-2"/>
          <w:position w:val="4"/>
        </w:rPr>
        <w:t>al.Neutrophil</w:t>
      </w:r>
      <w:r>
        <w:rPr>
          <w:rFonts w:ascii="Arial" w:hAnsi="Arial" w:eastAsia="Arial" w:cs="Arial"/>
          <w:sz w:val="24"/>
          <w:szCs w:val="24"/>
          <w:spacing w:val="22"/>
          <w:position w:val="4"/>
        </w:rPr>
        <w:t xml:space="preserve">  </w:t>
      </w:r>
      <w:r>
        <w:rPr>
          <w:rFonts w:ascii="Arial" w:hAnsi="Arial" w:eastAsia="Arial" w:cs="Arial"/>
          <w:sz w:val="24"/>
          <w:szCs w:val="24"/>
          <w:spacing w:val="-2"/>
          <w:position w:val="4"/>
        </w:rPr>
        <w:t>Heterogeneity</w:t>
      </w:r>
      <w:r>
        <w:rPr>
          <w:rFonts w:ascii="Arial" w:hAnsi="Arial" w:eastAsia="Arial" w:cs="Arial"/>
          <w:sz w:val="24"/>
          <w:szCs w:val="24"/>
          <w:spacing w:val="17"/>
          <w:w w:val="101"/>
          <w:position w:val="4"/>
        </w:rPr>
        <w:t xml:space="preserve">  </w:t>
      </w:r>
      <w:r>
        <w:rPr>
          <w:rFonts w:ascii="Arial" w:hAnsi="Arial" w:eastAsia="Arial" w:cs="Arial"/>
          <w:sz w:val="24"/>
          <w:szCs w:val="24"/>
          <w:spacing w:val="-2"/>
          <w:position w:val="4"/>
        </w:rPr>
        <w:t>and</w:t>
      </w:r>
      <w:r>
        <w:rPr>
          <w:rFonts w:ascii="Arial" w:hAnsi="Arial" w:eastAsia="Arial" w:cs="Arial"/>
          <w:sz w:val="24"/>
          <w:szCs w:val="24"/>
          <w:spacing w:val="20"/>
          <w:w w:val="101"/>
          <w:position w:val="4"/>
        </w:rPr>
        <w:t xml:space="preserve">  </w:t>
      </w:r>
      <w:r>
        <w:rPr>
          <w:rFonts w:ascii="Arial" w:hAnsi="Arial" w:eastAsia="Arial" w:cs="Arial"/>
          <w:sz w:val="24"/>
          <w:szCs w:val="24"/>
          <w:spacing w:val="-2"/>
          <w:position w:val="4"/>
        </w:rPr>
        <w:t>its</w:t>
      </w:r>
      <w:r>
        <w:rPr>
          <w:rFonts w:ascii="Arial" w:hAnsi="Arial" w:eastAsia="Arial" w:cs="Arial"/>
          <w:sz w:val="24"/>
          <w:szCs w:val="24"/>
          <w:spacing w:val="22"/>
          <w:position w:val="4"/>
        </w:rPr>
        <w:t xml:space="preserve">  </w:t>
      </w:r>
      <w:r>
        <w:rPr>
          <w:rFonts w:ascii="Arial" w:hAnsi="Arial" w:eastAsia="Arial" w:cs="Arial"/>
          <w:sz w:val="24"/>
          <w:szCs w:val="24"/>
          <w:spacing w:val="-2"/>
          <w:position w:val="4"/>
        </w:rPr>
        <w:t>Roles...(Curr</w:t>
      </w:r>
      <w:r>
        <w:rPr>
          <w:rFonts w:ascii="Arial" w:hAnsi="Arial" w:eastAsia="Arial" w:cs="Arial"/>
          <w:sz w:val="24"/>
          <w:szCs w:val="24"/>
          <w:spacing w:val="20"/>
          <w:w w:val="101"/>
          <w:position w:val="4"/>
        </w:rPr>
        <w:t xml:space="preserve">  </w:t>
      </w:r>
      <w:r>
        <w:rPr>
          <w:rFonts w:ascii="Arial" w:hAnsi="Arial" w:eastAsia="Arial" w:cs="Arial"/>
          <w:sz w:val="24"/>
          <w:szCs w:val="24"/>
          <w:spacing w:val="-2"/>
          <w:position w:val="4"/>
        </w:rPr>
        <w:t>Neuropharmacol</w:t>
      </w:r>
      <w:r>
        <w:rPr>
          <w:rFonts w:ascii="Arial" w:hAnsi="Arial" w:eastAsia="Arial" w:cs="Arial"/>
          <w:sz w:val="24"/>
          <w:szCs w:val="24"/>
          <w:spacing w:val="16"/>
          <w:position w:val="4"/>
        </w:rPr>
        <w:t xml:space="preserve">  </w:t>
      </w:r>
      <w:r>
        <w:rPr>
          <w:rFonts w:ascii="Arial" w:hAnsi="Arial" w:eastAsia="Arial" w:cs="Arial"/>
          <w:sz w:val="24"/>
          <w:szCs w:val="24"/>
          <w:spacing w:val="-2"/>
          <w:position w:val="4"/>
        </w:rPr>
        <w:t>2023)</w:t>
      </w:r>
    </w:p>
    <w:p>
      <w:pPr>
        <w:ind w:left="359"/>
        <w:spacing w:before="202" w:line="328" w:lineRule="exact"/>
        <w:rPr>
          <w:rFonts w:ascii="Arial" w:hAnsi="Arial" w:eastAsia="Arial" w:cs="Arial"/>
          <w:sz w:val="24"/>
          <w:szCs w:val="24"/>
        </w:rPr>
      </w:pPr>
      <w:r>
        <w:rPr>
          <w:rFonts w:ascii="Arial" w:hAnsi="Arial" w:eastAsia="Arial" w:cs="Arial"/>
          <w:sz w:val="24"/>
          <w:szCs w:val="24"/>
          <w:spacing w:val="-2"/>
          <w:position w:val="4"/>
        </w:rPr>
        <w:t>·Jin</w:t>
      </w:r>
      <w:r>
        <w:rPr>
          <w:rFonts w:ascii="Arial" w:hAnsi="Arial" w:eastAsia="Arial" w:cs="Arial"/>
          <w:sz w:val="24"/>
          <w:szCs w:val="24"/>
          <w:spacing w:val="32"/>
          <w:position w:val="4"/>
        </w:rPr>
        <w:t xml:space="preserve">  </w:t>
      </w:r>
      <w:r>
        <w:rPr>
          <w:rFonts w:ascii="Arial" w:hAnsi="Arial" w:eastAsia="Arial" w:cs="Arial"/>
          <w:sz w:val="24"/>
          <w:szCs w:val="24"/>
          <w:spacing w:val="-2"/>
          <w:position w:val="4"/>
        </w:rPr>
        <w:t>Het</w:t>
      </w:r>
      <w:r>
        <w:rPr>
          <w:rFonts w:ascii="Arial" w:hAnsi="Arial" w:eastAsia="Arial" w:cs="Arial"/>
          <w:sz w:val="24"/>
          <w:szCs w:val="24"/>
          <w:spacing w:val="22"/>
          <w:position w:val="4"/>
        </w:rPr>
        <w:t xml:space="preserve">  </w:t>
      </w:r>
      <w:r>
        <w:rPr>
          <w:rFonts w:ascii="Arial" w:hAnsi="Arial" w:eastAsia="Arial" w:cs="Arial"/>
          <w:sz w:val="24"/>
          <w:szCs w:val="24"/>
          <w:spacing w:val="-2"/>
          <w:position w:val="4"/>
        </w:rPr>
        <w:t>al.Neutrophil</w:t>
      </w:r>
      <w:r>
        <w:rPr>
          <w:rFonts w:ascii="Arial" w:hAnsi="Arial" w:eastAsia="Arial" w:cs="Arial"/>
          <w:sz w:val="24"/>
          <w:szCs w:val="24"/>
          <w:spacing w:val="27"/>
          <w:position w:val="4"/>
        </w:rPr>
        <w:t xml:space="preserve">  </w:t>
      </w:r>
      <w:r>
        <w:rPr>
          <w:rFonts w:ascii="Arial" w:hAnsi="Arial" w:eastAsia="Arial" w:cs="Arial"/>
          <w:sz w:val="24"/>
          <w:szCs w:val="24"/>
          <w:spacing w:val="-2"/>
          <w:position w:val="4"/>
        </w:rPr>
        <w:t>Mobilization</w:t>
      </w:r>
      <w:r>
        <w:rPr>
          <w:rFonts w:ascii="Arial" w:hAnsi="Arial" w:eastAsia="Arial" w:cs="Arial"/>
          <w:sz w:val="24"/>
          <w:szCs w:val="24"/>
          <w:spacing w:val="20"/>
          <w:w w:val="101"/>
          <w:position w:val="4"/>
        </w:rPr>
        <w:t xml:space="preserve">  </w:t>
      </w:r>
      <w:r>
        <w:rPr>
          <w:rFonts w:ascii="Arial" w:hAnsi="Arial" w:eastAsia="Arial" w:cs="Arial"/>
          <w:sz w:val="24"/>
          <w:szCs w:val="24"/>
          <w:spacing w:val="-2"/>
          <w:position w:val="4"/>
        </w:rPr>
        <w:t>Triggers...(Adv</w:t>
      </w:r>
      <w:r>
        <w:rPr>
          <w:rFonts w:ascii="Arial" w:hAnsi="Arial" w:eastAsia="Arial" w:cs="Arial"/>
          <w:sz w:val="24"/>
          <w:szCs w:val="24"/>
          <w:spacing w:val="23"/>
          <w:position w:val="4"/>
        </w:rPr>
        <w:t xml:space="preserve">  </w:t>
      </w:r>
      <w:r>
        <w:rPr>
          <w:rFonts w:ascii="Arial" w:hAnsi="Arial" w:eastAsia="Arial" w:cs="Arial"/>
          <w:sz w:val="24"/>
          <w:szCs w:val="24"/>
          <w:spacing w:val="-2"/>
          <w:position w:val="4"/>
        </w:rPr>
        <w:t>Sci</w:t>
      </w:r>
      <w:r>
        <w:rPr>
          <w:rFonts w:ascii="Arial" w:hAnsi="Arial" w:eastAsia="Arial" w:cs="Arial"/>
          <w:sz w:val="24"/>
          <w:szCs w:val="24"/>
          <w:spacing w:val="21"/>
          <w:position w:val="4"/>
        </w:rPr>
        <w:t xml:space="preserve">  </w:t>
      </w:r>
      <w:r>
        <w:rPr>
          <w:rFonts w:ascii="Arial" w:hAnsi="Arial" w:eastAsia="Arial" w:cs="Arial"/>
          <w:sz w:val="24"/>
          <w:szCs w:val="24"/>
          <w:spacing w:val="-2"/>
          <w:position w:val="4"/>
        </w:rPr>
        <w:t>2025)</w:t>
      </w:r>
    </w:p>
    <w:p>
      <w:pPr>
        <w:ind w:left="518" w:right="1829" w:hanging="159"/>
        <w:spacing w:before="204" w:line="322" w:lineRule="auto"/>
        <w:rPr>
          <w:rFonts w:ascii="Arial" w:hAnsi="Arial" w:eastAsia="Arial" w:cs="Arial"/>
          <w:sz w:val="24"/>
          <w:szCs w:val="24"/>
        </w:rPr>
      </w:pPr>
      <w:r>
        <w:rPr>
          <w:rFonts w:ascii="Arial" w:hAnsi="Arial" w:eastAsia="Arial" w:cs="Arial"/>
          <w:sz w:val="24"/>
          <w:szCs w:val="24"/>
          <w:spacing w:val="-1"/>
        </w:rPr>
        <w:t>·AHA</w:t>
      </w:r>
      <w:r>
        <w:rPr>
          <w:rFonts w:ascii="Arial" w:hAnsi="Arial" w:eastAsia="Arial" w:cs="Arial"/>
          <w:sz w:val="24"/>
          <w:szCs w:val="24"/>
          <w:spacing w:val="24"/>
        </w:rPr>
        <w:t xml:space="preserve">  </w:t>
      </w:r>
      <w:r>
        <w:rPr>
          <w:rFonts w:ascii="Arial" w:hAnsi="Arial" w:eastAsia="Arial" w:cs="Arial"/>
          <w:sz w:val="24"/>
          <w:szCs w:val="24"/>
          <w:spacing w:val="-1"/>
        </w:rPr>
        <w:t>Stroke</w:t>
      </w:r>
      <w:r>
        <w:rPr>
          <w:rFonts w:ascii="Arial" w:hAnsi="Arial" w:eastAsia="Arial" w:cs="Arial"/>
          <w:sz w:val="24"/>
          <w:szCs w:val="24"/>
          <w:spacing w:val="22"/>
        </w:rPr>
        <w:t xml:space="preserve">  </w:t>
      </w:r>
      <w:r>
        <w:rPr>
          <w:rFonts w:ascii="Arial" w:hAnsi="Arial" w:eastAsia="Arial" w:cs="Arial"/>
          <w:sz w:val="24"/>
          <w:szCs w:val="24"/>
          <w:spacing w:val="-1"/>
        </w:rPr>
        <w:t>2023</w:t>
      </w:r>
      <w:r>
        <w:rPr>
          <w:rFonts w:ascii="Arial" w:hAnsi="Arial" w:eastAsia="Arial" w:cs="Arial"/>
          <w:sz w:val="24"/>
          <w:szCs w:val="24"/>
          <w:spacing w:val="19"/>
        </w:rPr>
        <w:t xml:space="preserve">  </w:t>
      </w:r>
      <w:r>
        <w:rPr>
          <w:rFonts w:ascii="Arial" w:hAnsi="Arial" w:eastAsia="Arial" w:cs="Arial"/>
          <w:sz w:val="24"/>
          <w:szCs w:val="24"/>
          <w:spacing w:val="-1"/>
        </w:rPr>
        <w:t>Abstrac</w:t>
      </w:r>
      <w:r>
        <w:rPr>
          <w:rFonts w:ascii="Arial" w:hAnsi="Arial" w:eastAsia="Arial" w:cs="Arial"/>
          <w:sz w:val="24"/>
          <w:szCs w:val="24"/>
          <w:spacing w:val="-2"/>
        </w:rPr>
        <w:t>t:Novel</w:t>
      </w:r>
      <w:r>
        <w:rPr>
          <w:rFonts w:ascii="Arial" w:hAnsi="Arial" w:eastAsia="Arial" w:cs="Arial"/>
          <w:sz w:val="24"/>
          <w:szCs w:val="24"/>
          <w:spacing w:val="28"/>
        </w:rPr>
        <w:t xml:space="preserve">  </w:t>
      </w:r>
      <w:r>
        <w:rPr>
          <w:rFonts w:ascii="Arial" w:hAnsi="Arial" w:eastAsia="Arial" w:cs="Arial"/>
          <w:sz w:val="24"/>
          <w:szCs w:val="24"/>
          <w:spacing w:val="-2"/>
        </w:rPr>
        <w:t>Neutrophil</w:t>
      </w:r>
      <w:r>
        <w:rPr>
          <w:rFonts w:ascii="Arial" w:hAnsi="Arial" w:eastAsia="Arial" w:cs="Arial"/>
          <w:sz w:val="24"/>
          <w:szCs w:val="24"/>
          <w:spacing w:val="24"/>
          <w:w w:val="101"/>
        </w:rPr>
        <w:t xml:space="preserve">  </w:t>
      </w:r>
      <w:r>
        <w:rPr>
          <w:rFonts w:ascii="Arial" w:hAnsi="Arial" w:eastAsia="Arial" w:cs="Arial"/>
          <w:sz w:val="24"/>
          <w:szCs w:val="24"/>
          <w:spacing w:val="-2"/>
        </w:rPr>
        <w:t>Subpopulation</w:t>
      </w:r>
      <w:r>
        <w:rPr>
          <w:rFonts w:ascii="Arial" w:hAnsi="Arial" w:eastAsia="Arial" w:cs="Arial"/>
          <w:sz w:val="24"/>
          <w:szCs w:val="24"/>
          <w:spacing w:val="27"/>
          <w:w w:val="101"/>
        </w:rPr>
        <w:t xml:space="preserve">  </w:t>
      </w:r>
      <w:r>
        <w:rPr>
          <w:rFonts w:ascii="Arial" w:hAnsi="Arial" w:eastAsia="Arial" w:cs="Arial"/>
          <w:sz w:val="24"/>
          <w:szCs w:val="24"/>
          <w:spacing w:val="-2"/>
        </w:rPr>
        <w:t>Mediates</w:t>
      </w:r>
      <w:r>
        <w:rPr>
          <w:rFonts w:ascii="Arial" w:hAnsi="Arial" w:eastAsia="Arial" w:cs="Arial"/>
          <w:sz w:val="24"/>
          <w:szCs w:val="24"/>
        </w:rPr>
        <w:t xml:space="preserve"> </w:t>
      </w:r>
      <w:r>
        <w:rPr>
          <w:rFonts w:ascii="Arial" w:hAnsi="Arial" w:eastAsia="Arial" w:cs="Arial"/>
          <w:sz w:val="24"/>
          <w:szCs w:val="24"/>
        </w:rPr>
        <w:t>Neuroprotection....</w:t>
      </w:r>
    </w:p>
    <w:p>
      <w:pPr>
        <w:ind w:left="359"/>
        <w:spacing w:before="237" w:line="285" w:lineRule="auto"/>
        <w:rPr>
          <w:rFonts w:ascii="Arial" w:hAnsi="Arial" w:eastAsia="Arial" w:cs="Arial"/>
          <w:sz w:val="24"/>
          <w:szCs w:val="24"/>
        </w:rPr>
      </w:pPr>
      <w:r>
        <w:rPr>
          <w:rFonts w:ascii="Arial" w:hAnsi="Arial" w:eastAsia="Arial" w:cs="Arial"/>
          <w:sz w:val="24"/>
          <w:szCs w:val="24"/>
          <w:spacing w:val="-2"/>
        </w:rPr>
        <w:t>·LiY</w:t>
      </w:r>
      <w:r>
        <w:rPr>
          <w:rFonts w:ascii="Arial" w:hAnsi="Arial" w:eastAsia="Arial" w:cs="Arial"/>
          <w:sz w:val="24"/>
          <w:szCs w:val="24"/>
          <w:spacing w:val="48"/>
        </w:rPr>
        <w:t xml:space="preserve"> </w:t>
      </w:r>
      <w:r>
        <w:rPr>
          <w:rFonts w:ascii="Arial" w:hAnsi="Arial" w:eastAsia="Arial" w:cs="Arial"/>
          <w:sz w:val="24"/>
          <w:szCs w:val="24"/>
          <w:spacing w:val="-2"/>
        </w:rPr>
        <w:t>et</w:t>
      </w:r>
      <w:r>
        <w:rPr>
          <w:rFonts w:ascii="Arial" w:hAnsi="Arial" w:eastAsia="Arial" w:cs="Arial"/>
          <w:sz w:val="24"/>
          <w:szCs w:val="24"/>
          <w:spacing w:val="47"/>
        </w:rPr>
        <w:t xml:space="preserve"> </w:t>
      </w:r>
      <w:r>
        <w:rPr>
          <w:rFonts w:ascii="Arial" w:hAnsi="Arial" w:eastAsia="Arial" w:cs="Arial"/>
          <w:sz w:val="24"/>
          <w:szCs w:val="24"/>
          <w:spacing w:val="-2"/>
        </w:rPr>
        <w:t>al.Cell</w:t>
      </w:r>
      <w:r>
        <w:rPr>
          <w:rFonts w:ascii="Arial" w:hAnsi="Arial" w:eastAsia="Arial" w:cs="Arial"/>
          <w:sz w:val="24"/>
          <w:szCs w:val="24"/>
          <w:spacing w:val="55"/>
        </w:rPr>
        <w:t xml:space="preserve"> </w:t>
      </w:r>
      <w:r>
        <w:rPr>
          <w:rFonts w:ascii="Arial" w:hAnsi="Arial" w:eastAsia="Arial" w:cs="Arial"/>
          <w:sz w:val="24"/>
          <w:szCs w:val="24"/>
          <w:spacing w:val="-2"/>
        </w:rPr>
        <w:t>polariz</w:t>
      </w:r>
      <w:r>
        <w:rPr>
          <w:rFonts w:ascii="Arial" w:hAnsi="Arial" w:eastAsia="Arial" w:cs="Arial"/>
          <w:sz w:val="24"/>
          <w:szCs w:val="24"/>
          <w:spacing w:val="-3"/>
        </w:rPr>
        <w:t>ation</w:t>
      </w:r>
      <w:r>
        <w:rPr>
          <w:rFonts w:ascii="Arial" w:hAnsi="Arial" w:eastAsia="Arial" w:cs="Arial"/>
          <w:sz w:val="24"/>
          <w:szCs w:val="24"/>
          <w:spacing w:val="55"/>
        </w:rPr>
        <w:t xml:space="preserve"> </w:t>
      </w:r>
      <w:r>
        <w:rPr>
          <w:rFonts w:ascii="Arial" w:hAnsi="Arial" w:eastAsia="Arial" w:cs="Arial"/>
          <w:sz w:val="24"/>
          <w:szCs w:val="24"/>
          <w:spacing w:val="-3"/>
        </w:rPr>
        <w:t>in</w:t>
      </w:r>
      <w:r>
        <w:rPr>
          <w:rFonts w:ascii="Arial" w:hAnsi="Arial" w:eastAsia="Arial" w:cs="Arial"/>
          <w:sz w:val="24"/>
          <w:szCs w:val="24"/>
          <w:spacing w:val="54"/>
          <w:w w:val="101"/>
        </w:rPr>
        <w:t xml:space="preserve"> </w:t>
      </w:r>
      <w:r>
        <w:rPr>
          <w:rFonts w:ascii="Arial" w:hAnsi="Arial" w:eastAsia="Arial" w:cs="Arial"/>
          <w:sz w:val="24"/>
          <w:szCs w:val="24"/>
          <w:spacing w:val="-3"/>
        </w:rPr>
        <w:t>ischemic</w:t>
      </w:r>
      <w:r>
        <w:rPr>
          <w:rFonts w:ascii="Arial" w:hAnsi="Arial" w:eastAsia="Arial" w:cs="Arial"/>
          <w:sz w:val="24"/>
          <w:szCs w:val="24"/>
          <w:spacing w:val="46"/>
        </w:rPr>
        <w:t xml:space="preserve"> </w:t>
      </w:r>
      <w:r>
        <w:rPr>
          <w:rFonts w:ascii="Arial" w:hAnsi="Arial" w:eastAsia="Arial" w:cs="Arial"/>
          <w:sz w:val="24"/>
          <w:szCs w:val="24"/>
          <w:spacing w:val="-3"/>
        </w:rPr>
        <w:t>stroke</w:t>
      </w:r>
      <w:r>
        <w:rPr>
          <w:rFonts w:ascii="Arial" w:hAnsi="Arial" w:eastAsia="Arial" w:cs="Arial"/>
          <w:sz w:val="24"/>
          <w:szCs w:val="24"/>
          <w:spacing w:val="-45"/>
        </w:rPr>
        <w:t xml:space="preserve"> </w:t>
      </w:r>
      <w:r>
        <w:rPr>
          <w:rFonts w:ascii="Arial" w:hAnsi="Arial" w:eastAsia="Arial" w:cs="Arial"/>
          <w:sz w:val="24"/>
          <w:szCs w:val="24"/>
          <w:u w:val="dotted" w:color="auto"/>
          <w:spacing w:val="3"/>
        </w:rPr>
        <w:t xml:space="preserve">      </w:t>
      </w:r>
      <w:r>
        <w:rPr>
          <w:rFonts w:ascii="Arial" w:hAnsi="Arial" w:eastAsia="Arial" w:cs="Arial"/>
          <w:sz w:val="24"/>
          <w:szCs w:val="24"/>
          <w:spacing w:val="-53"/>
        </w:rPr>
        <w:t xml:space="preserve"> </w:t>
      </w:r>
      <w:r>
        <w:rPr>
          <w:rFonts w:ascii="Arial" w:hAnsi="Arial" w:eastAsia="Arial" w:cs="Arial"/>
          <w:sz w:val="24"/>
          <w:szCs w:val="24"/>
          <w:spacing w:val="-3"/>
        </w:rPr>
        <w:t>(Neural</w:t>
      </w:r>
      <w:r>
        <w:rPr>
          <w:rFonts w:ascii="Arial" w:hAnsi="Arial" w:eastAsia="Arial" w:cs="Arial"/>
          <w:sz w:val="24"/>
          <w:szCs w:val="24"/>
          <w:spacing w:val="58"/>
          <w:w w:val="101"/>
        </w:rPr>
        <w:t xml:space="preserve"> </w:t>
      </w:r>
      <w:r>
        <w:rPr>
          <w:rFonts w:ascii="Arial" w:hAnsi="Arial" w:eastAsia="Arial" w:cs="Arial"/>
          <w:sz w:val="24"/>
          <w:szCs w:val="24"/>
          <w:spacing w:val="-3"/>
        </w:rPr>
        <w:t>Regen</w:t>
      </w:r>
      <w:r>
        <w:rPr>
          <w:rFonts w:ascii="Arial" w:hAnsi="Arial" w:eastAsia="Arial" w:cs="Arial"/>
          <w:sz w:val="24"/>
          <w:szCs w:val="24"/>
          <w:spacing w:val="57"/>
          <w:w w:val="101"/>
        </w:rPr>
        <w:t xml:space="preserve"> </w:t>
      </w:r>
      <w:r>
        <w:rPr>
          <w:rFonts w:ascii="Arial" w:hAnsi="Arial" w:eastAsia="Arial" w:cs="Arial"/>
          <w:sz w:val="24"/>
          <w:szCs w:val="24"/>
          <w:spacing w:val="-3"/>
        </w:rPr>
        <w:t>Res</w:t>
      </w:r>
      <w:r>
        <w:rPr>
          <w:rFonts w:ascii="Arial" w:hAnsi="Arial" w:eastAsia="Arial" w:cs="Arial"/>
          <w:sz w:val="24"/>
          <w:szCs w:val="24"/>
          <w:spacing w:val="46"/>
        </w:rPr>
        <w:t xml:space="preserve"> </w:t>
      </w:r>
      <w:r>
        <w:rPr>
          <w:rFonts w:ascii="Arial" w:hAnsi="Arial" w:eastAsia="Arial" w:cs="Arial"/>
          <w:sz w:val="24"/>
          <w:szCs w:val="24"/>
          <w:spacing w:val="-3"/>
        </w:rPr>
        <w:t>2025)</w:t>
      </w:r>
    </w:p>
    <w:p>
      <w:pPr>
        <w:pStyle w:val="BodyText"/>
        <w:ind w:left="159" w:firstLine="200"/>
        <w:spacing w:before="192" w:line="386" w:lineRule="auto"/>
        <w:rPr/>
      </w:pPr>
      <w:r>
        <w:rPr>
          <w:rFonts w:ascii="Arial" w:hAnsi="Arial" w:eastAsia="Arial" w:cs="Arial"/>
          <w:spacing w:val="-1"/>
        </w:rPr>
        <w:t>·Nowaczewska-Kuchta  A  et  al.Interaction</w:t>
      </w:r>
      <w:r>
        <w:rPr>
          <w:rFonts w:ascii="Arial" w:hAnsi="Arial" w:eastAsia="Arial" w:cs="Arial"/>
          <w:spacing w:val="20"/>
          <w:w w:val="101"/>
        </w:rPr>
        <w:t xml:space="preserve">  </w:t>
      </w:r>
      <w:r>
        <w:rPr>
          <w:rFonts w:ascii="Arial" w:hAnsi="Arial" w:eastAsia="Arial" w:cs="Arial"/>
          <w:spacing w:val="-1"/>
        </w:rPr>
        <w:t>Between   Neutrophils  and</w:t>
      </w:r>
      <w:r>
        <w:rPr>
          <w:rFonts w:ascii="Arial" w:hAnsi="Arial" w:eastAsia="Arial" w:cs="Arial"/>
          <w:spacing w:val="15"/>
        </w:rPr>
        <w:t xml:space="preserve">  </w:t>
      </w:r>
      <w:r>
        <w:rPr>
          <w:rFonts w:ascii="Arial" w:hAnsi="Arial" w:eastAsia="Arial" w:cs="Arial"/>
          <w:spacing w:val="-1"/>
        </w:rPr>
        <w:t>BBB...(IJMS</w:t>
      </w:r>
      <w:r>
        <w:rPr>
          <w:rFonts w:ascii="Arial" w:hAnsi="Arial" w:eastAsia="Arial" w:cs="Arial"/>
          <w:spacing w:val="11"/>
        </w:rPr>
        <w:t xml:space="preserve">  </w:t>
      </w:r>
      <w:r>
        <w:rPr>
          <w:rFonts w:ascii="Arial" w:hAnsi="Arial" w:eastAsia="Arial" w:cs="Arial"/>
          <w:spacing w:val="-1"/>
        </w:rPr>
        <w:t>2025)</w:t>
      </w:r>
      <w:r>
        <w:rPr>
          <w:rFonts w:ascii="Arial" w:hAnsi="Arial" w:eastAsia="Arial" w:cs="Arial"/>
        </w:rPr>
        <w:t xml:space="preserve"> </w:t>
      </w:r>
      <w:r>
        <w:rPr>
          <w:spacing w:val="1"/>
        </w:rPr>
        <w:t>(报告完)</w:t>
      </w:r>
    </w:p>
    <w:sectPr>
      <w:pgSz w:w="12240" w:h="15840"/>
      <w:pgMar w:top="1180" w:right="1111"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2026-03-15T23:56:36Z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2026-03-15T23:56:37</vt:filetime>
  </property>
  <property fmtid="{D5CDD505-2E9C-101B-9397-08002B2CF9AE}" pid="4" name="UsrData">
    <vt:lpwstr>69b6d6b243cd31001f1dcdbdwl</vt:lpwstr>
  </property>
</Properties>
</file>