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391EF9">
      <w:pPr>
        <w:spacing w:after="400" w:line="400" w:lineRule="atLeast"/>
      </w:pPr>
      <w:r>
        <w:rPr>
          <w:b/>
          <w:sz w:val="30"/>
        </w:rPr>
        <w:t>脑缺血中中性粒细胞的双刃剑效应：从急性损伤到慢性修复的动态演变、细胞互作网络及未来研究策略——一份基于2015-2025年文献的深度研究报告</w:t>
      </w:r>
    </w:p>
    <w:p w14:paraId="72738898">
      <w:pPr>
        <w:spacing w:after="400" w:line="400" w:lineRule="atLeast"/>
      </w:pPr>
      <w:r>
        <w:rPr>
          <w:b/>
        </w:rPr>
        <w:t>报告日期：</w:t>
      </w:r>
      <w:r>
        <w:t xml:space="preserve"> 2025年12月17日</w:t>
      </w:r>
    </w:p>
    <w:p w14:paraId="75657A76">
      <w:pPr>
        <w:spacing w:after="400" w:line="400" w:lineRule="atLeast"/>
      </w:pPr>
      <w:r>
        <w:rPr>
          <w:b/>
        </w:rPr>
        <w:t>撰写人：</w:t>
      </w:r>
      <w:r>
        <w:t xml:space="preserve"> 专家研究员</w:t>
      </w:r>
    </w:p>
    <w:p w14:paraId="6170EEC3">
      <w:pPr>
        <w:spacing w:after="400" w:line="400" w:lineRule="atLeast"/>
      </w:pPr>
      <w:r>
        <w:rPr>
          <w:b/>
        </w:rPr>
        <w:t>摘要：</w:t>
      </w:r>
      <w:bookmarkStart w:id="0" w:name="_GoBack"/>
      <w:bookmarkEnd w:id="0"/>
    </w:p>
    <w:p w14:paraId="3DA3CD6D">
      <w:pPr>
        <w:spacing w:after="400" w:line="400" w:lineRule="atLeast"/>
      </w:pPr>
      <w:r>
        <w:t>缺血性脑卒中（Ischemic Stroke）作为全球主要的致死和致残原因之一，其病理生理过程极为复杂。其中，由脑缺血触发的强烈神经炎症反应被认为是导致继发性脑损伤和影响长期预后的关键因素。中性粒细胞，作为先天免疫系统的第一道防线，在脑缺血事件发生后数小时内便迅速浸润至缺血脑组织，扮演了极其重要但又充满争议的角色。近十年（约2015-2025年）的研究极大地深化了我们对中性粒细胞在脑缺血中作用的理解，揭示了其前所未有的功能异质性和动态可塑性。本报告旨在系统性地整合近十年来关于脑缺血背景下中性粒细胞的研究成果，深入剖析其在急性损伤期和慢性修复期的不同功能、表型演变及其分子调控机制。在此基础上，本报告将进一步逻辑推演并预测不同中性粒细胞亚群与脑内其他关键细胞（神经元、胶质细胞、血管单元细胞等）的相互作用网络，并将其与短期及长期临床结局进行关联分析。最后，我们将基于当前研究的知识缺口，提出未来在基础、转化和临床研究层面的战略性方向，以期为开发靶向中性粒细胞的脑卒中新疗法提供理论依据和创新思路。</w:t>
      </w:r>
    </w:p>
    <w:p w14:paraId="177B2901">
      <w:pPr>
        <w:spacing w:after="400" w:line="400" w:lineRule="atLeast"/>
      </w:pPr>
      <w:r>
        <w:rPr>
          <w:b/>
          <w:sz w:val="30"/>
        </w:rPr>
        <w:t>一、 研究成果整合：脑缺血背景下中性粒细胞的时序性功能与表型演变</w:t>
      </w:r>
    </w:p>
    <w:p w14:paraId="2A4A1B5B">
      <w:pPr>
        <w:spacing w:after="400" w:line="400" w:lineRule="atLeast"/>
      </w:pPr>
      <w:r>
        <w:t>中性粒细胞在脑缺血后的行为并非一成不变，而是呈现出显著的时序性（Temporal）和情境依赖性（Context-dependent）特征。我们可以将其功能大致划分为急性期和慢性期两个阶段，其角色也从最初的“损伤急先锋”逐渐向复杂的“炎症调控者”转变。</w:t>
      </w:r>
    </w:p>
    <w:p w14:paraId="34BC3159">
      <w:pPr>
        <w:spacing w:after="400" w:line="400" w:lineRule="atLeast"/>
      </w:pPr>
      <w:r>
        <w:rPr>
          <w:b/>
          <w:sz w:val="26"/>
        </w:rPr>
        <w:t>1.1 急性期（发病后数小时至数天）：损伤的“急先锋”</w:t>
      </w:r>
    </w:p>
    <w:p w14:paraId="289EB161">
      <w:pPr>
        <w:spacing w:after="400" w:line="400" w:lineRule="atLeast"/>
      </w:pPr>
      <w:r>
        <w:t>在缺血事件发生后的最初几个小时到几天内，中性粒细胞是浸润到缺血半暗带和核心区的主要外周免疫细胞群体。这一阶段，它们的功能主要表现为促炎和组织破坏，是导致血脑屏障（Blood-Brain Barrier, BBB）崩溃、脑水肿加剧和神经元死亡的重要推手。</w:t>
      </w:r>
    </w:p>
    <w:p w14:paraId="0DF3E4E0">
      <w:pPr>
        <w:spacing w:after="400" w:line="400" w:lineRule="atLeast"/>
      </w:pPr>
      <w:r>
        <w:rPr>
          <w:b/>
        </w:rPr>
        <w:t>1.1.1 迁移与浸润：从血管到脑实质的多步级联反应</w:t>
      </w:r>
    </w:p>
    <w:p w14:paraId="04C30A8A">
      <w:pPr>
        <w:spacing w:after="400" w:line="400" w:lineRule="atLeast"/>
      </w:pPr>
      <w:r>
        <w:t>脑缺血导致脑微血管内皮细胞被激活，高表达P-选择素（P-selectin）和E-选择素（E-selectin）。循环中的中性粒细胞通过其表面的唾液酸化路易斯X（sialyl-Lewis X）等糖基配体与选择素结合，实现初步的“捕获”和“滚动”（Rolling）[[1]][[2]]。随后，缺血脑组织释放的大量趋化因子，如白细胞介素-8（IL-8，人源；在啮齿类动物中为KC/CXCL1, MIP-2/CXCL2），与中性粒细胞表面的趋化因子受体CXCR1和CXCR2结合 [[3]][[4]]。这一过程会触发中性粒细胞表面整合素（Integrins）的构象激活，例如LFA-1 (αLβ2) 和 Mac-1 (αMβ2, CR3)。激活的整合素与内皮细胞上由炎症诱导高表达的细胞间粘附分子-1（ICAM-1）等配体牢固结合，导致中性粒细胞的“牢固粘附”（Firm Adhesion）[[5]][[6]]。最后，中性粒细胞通过释放基质金属蛋白酶（MMPs），特别是MMP-9，降解血管基底膜和细胞外基质，实现“跨内皮迁移”（Transendothelial Migration），最终侵入脑实质 [[7]][[8]]。近年来研究发现，趋化因子受体CXCR4也参与了这一过程，其在缺血组织中高表达，使用其拮抗剂AMD3100可用于靶向药物递送，也间接证明了其在中性粒细胞募集中的作用 [[9]]。</w:t>
      </w:r>
    </w:p>
    <w:p w14:paraId="708D49EA">
      <w:pPr>
        <w:spacing w:after="400" w:line="400" w:lineRule="atLeast"/>
      </w:pPr>
      <w:r>
        <w:rPr>
          <w:b/>
        </w:rPr>
        <w:t>1.1.2 激活与促炎介质释放：炎症瀑布的启动者</w:t>
      </w:r>
    </w:p>
    <w:p w14:paraId="48DE7959">
      <w:pPr>
        <w:spacing w:after="400" w:line="400" w:lineRule="atLeast"/>
      </w:pPr>
      <w:r>
        <w:t>进入脑实质的中性粒细胞被缺血环境中释放的大量损伤相关分子模式（Damage-Associated Molecular Patterns, DAMPs），如高迁移率族蛋白B1（HMGB1）、ATP、线粒体DNA等，以及IL-1β、TNF-α等细胞因子进一步激活 [[10]]。激活的中性粒细胞会脱颗粒，释放一系列强效的促炎和细胞毒性物质 [[11]][[12]][[13]]：</w:t>
      </w:r>
    </w:p>
    <w:p w14:paraId="7B4B33B7">
      <w:pPr>
        <w:numPr>
          <w:ilvl w:val="-1"/>
          <w:numId w:val="1"/>
        </w:numPr>
        <w:spacing w:after="400" w:line="400" w:lineRule="atLeast"/>
      </w:pPr>
      <w:r>
        <w:rPr>
          <w:b/>
        </w:rPr>
        <w:t>蛋白水解酶：</w:t>
      </w:r>
      <w:r>
        <w:t xml:space="preserve"> 如中性粒细胞弹性蛋白酶（Neutrophil Elastase, NE）和组织蛋白酶G（Cathepsin G），这些酶能够降解细胞外基质，破坏组织结构，并能裂解其他蛋白质，进一步放大炎症信号 [[14]][[15]][[16]]。</w:t>
      </w:r>
    </w:p>
    <w:p w14:paraId="2280FDC0">
      <w:pPr>
        <w:numPr>
          <w:ilvl w:val="-1"/>
          <w:numId w:val="1"/>
        </w:numPr>
        <w:spacing w:after="400" w:line="400" w:lineRule="atLeast"/>
      </w:pPr>
      <w:r>
        <w:rPr>
          <w:b/>
        </w:rPr>
        <w:t>髓过氧化物酶（Myeloperoxidase, MPO）：</w:t>
      </w:r>
      <w:r>
        <w:t xml:space="preserve"> MPO是中性粒细胞的标志性产物，它催化产生次氯酸等强氧化性物质，加剧氧化应激损伤 [[17]]。</w:t>
      </w:r>
    </w:p>
    <w:p w14:paraId="3D8C6AC4">
      <w:pPr>
        <w:numPr>
          <w:ilvl w:val="-1"/>
          <w:numId w:val="1"/>
        </w:numPr>
        <w:spacing w:after="400" w:line="400" w:lineRule="atLeast"/>
      </w:pPr>
      <w:r>
        <w:rPr>
          <w:b/>
        </w:rPr>
        <w:t>促炎细胞因子和趋化因子：</w:t>
      </w:r>
      <w:r>
        <w:t xml:space="preserve"> 中性粒细胞自身也能产生并释放IL-1β, TNF-α, IL-6等细胞因子，以及CXCL1, CXCL2等趋化因子，形成正反馈循环，招募更多的中性粒细胞和其他免疫细胞，导致炎症反应的瀑布式放大 [[18]][[19]]。</w:t>
      </w:r>
    </w:p>
    <w:p w14:paraId="79FA1D73">
      <w:pPr>
        <w:spacing w:after="400" w:line="400" w:lineRule="atLeast"/>
      </w:pPr>
      <w:r>
        <w:rPr>
          <w:b/>
        </w:rPr>
        <w:t>1.1.3 中性粒细胞胞外诱捕网（NETosis）：一把复杂的双刃剑</w:t>
      </w:r>
    </w:p>
    <w:p w14:paraId="7614AAD9">
      <w:pPr>
        <w:spacing w:after="400" w:line="400" w:lineRule="atLeast"/>
      </w:pPr>
      <w:r>
        <w:t>NETosis是中性粒细胞一种独特的死亡方式，它会释放由DNA纤维、组蛋白和颗粒蛋白（如NE、MPO）组成的网状结构，即中性粒细胞胞外诱捕网（Neutrophil Extracellular Traps, NETs）。在脑缺血急性期，NETs的形成具有双重作用。一方面，它们被认为可以通过捕获病原体来发挥免疫防御作用。但在无菌性炎症的脑缺血中，其负面效应更为显著：</w:t>
      </w:r>
    </w:p>
    <w:p w14:paraId="3E871BAB">
      <w:pPr>
        <w:numPr>
          <w:ilvl w:val="-1"/>
          <w:numId w:val="1"/>
        </w:numPr>
        <w:spacing w:after="400" w:line="400" w:lineRule="atLeast"/>
      </w:pPr>
      <w:r>
        <w:rPr>
          <w:b/>
        </w:rPr>
        <w:t>物理性堵塞：</w:t>
      </w:r>
      <w:r>
        <w:t xml:space="preserve"> NETs在微血管内形成，能够直接捕获血小板和红细胞，加剧微循环障碍，扩大缺血范围 [[20]][[21]]。</w:t>
      </w:r>
    </w:p>
    <w:p w14:paraId="289E15DB">
      <w:pPr>
        <w:numPr>
          <w:ilvl w:val="-1"/>
          <w:numId w:val="1"/>
        </w:numPr>
        <w:spacing w:after="400" w:line="400" w:lineRule="atLeast"/>
      </w:pPr>
      <w:r>
        <w:rPr>
          <w:b/>
        </w:rPr>
        <w:t>直接细胞毒性：</w:t>
      </w:r>
      <w:r>
        <w:t xml:space="preserve"> NETs的组分，特别是胞外组蛋白，对神经元和内皮细胞具有强烈的直接毒性作用，诱导细胞凋亡或坏死。</w:t>
      </w:r>
    </w:p>
    <w:p w14:paraId="65E8D654">
      <w:pPr>
        <w:numPr>
          <w:ilvl w:val="-1"/>
          <w:numId w:val="1"/>
        </w:numPr>
        <w:spacing w:after="400" w:line="400" w:lineRule="atLeast"/>
      </w:pPr>
      <w:r>
        <w:rPr>
          <w:b/>
        </w:rPr>
        <w:t>促炎信号：</w:t>
      </w:r>
      <w:r>
        <w:t xml:space="preserve"> NETs中的DNA和HMGB1等成分作为DAMPs，可通过Toll样受体（TLR4, TLR9）等模式识别受体激活小胶质细胞和星形胶质细胞，持续驱动神经炎症 [[22]][[23]]。</w:t>
      </w:r>
    </w:p>
    <w:p w14:paraId="42CE2C3F">
      <w:pPr>
        <w:spacing w:after="400" w:line="400" w:lineRule="atLeast"/>
      </w:pPr>
      <w:r>
        <w:t>最近的研究提示，补体系统（如C3）可能是诱导组织浸润性中性粒细胞发生NETosis的上游信号之一，尽管这一发现主要来自急性肾损伤模型，但为脑缺血中的NETosis提供了新的潜在调控靶点 [[24]]。同时，肽基精氨酸脱氨酶4（PADi4）是催化组蛋白瓜氨酸化、启动NETs形成的关键酶，其表达水平与N1型促炎中性粒细胞状态相关 [[25]][[26]][[27]]。</w:t>
      </w:r>
    </w:p>
    <w:p w14:paraId="21699D66">
      <w:pPr>
        <w:spacing w:after="400" w:line="400" w:lineRule="atLeast"/>
      </w:pPr>
      <w:r>
        <w:rPr>
          <w:b/>
        </w:rPr>
        <w:t>1.1.4 活性氧（ROS）产生与氧化应激</w:t>
      </w:r>
    </w:p>
    <w:p w14:paraId="14A7D131">
      <w:pPr>
        <w:spacing w:after="400" w:line="400" w:lineRule="atLeast"/>
      </w:pPr>
      <w:r>
        <w:t>激活的中性粒细胞通过其细胞膜上的NADPH氧化酶复合体（NOX2）进行“呼吸爆发”，产生大量的超氧化物阴离子，进而转化为活性氧（Reactive Oxygen Species, ROS），如过氧化氢、羟自由基等。这些ROS是导致氧化应激损伤的核心因素，它们能够攻击细胞膜、蛋白质和核酸，直接导致神经元、胶质细胞和内皮细胞的死亡，并破坏BBB的完整性 [[28]][[29]][[30]]。</w:t>
      </w:r>
    </w:p>
    <w:p w14:paraId="1FD77472">
      <w:pPr>
        <w:spacing w:after="400" w:line="400" w:lineRule="atLeast"/>
      </w:pPr>
      <w:r>
        <w:rPr>
          <w:b/>
        </w:rPr>
        <w:t>1.1.5 吞噬功能与细胞清除</w:t>
      </w:r>
    </w:p>
    <w:p w14:paraId="5060796E">
      <w:pPr>
        <w:spacing w:after="400" w:line="400" w:lineRule="atLeast"/>
      </w:pPr>
      <w:r>
        <w:t>尽管在急性期以破坏性功能为主，中性粒细胞也具备吞噬能力。它们可以吞噬细胞碎片和凋亡细胞，理论上有助于清理损伤区域。然而，在强烈的炎症环境中，中性粒细胞的吞噬功能可能失调，其自身也很快会经历凋亡或坏死，如果不能被及时清除，反而会成为新的炎症来源。</w:t>
      </w:r>
    </w:p>
    <w:p w14:paraId="52451824">
      <w:pPr>
        <w:spacing w:after="400" w:line="400" w:lineRule="atLeast"/>
      </w:pPr>
      <w:r>
        <w:rPr>
          <w:b/>
        </w:rPr>
        <w:t>1.1.6 急性期中性粒细胞的异质性初探</w:t>
      </w:r>
    </w:p>
    <w:p w14:paraId="7700BDB6">
      <w:pPr>
        <w:spacing w:after="400" w:line="400" w:lineRule="atLeast"/>
      </w:pPr>
      <w:r>
        <w:t>尽管传统上认为急性期浸润的中性粒细胞是同质的促炎细胞群体，但近年的研究开始提示其内部也存在异质性。例如，基于其活化状态（如CD11b、CD62L的表达水平）和功能（如ROS产生能力、NETosis倾向），可能存在不同的亚群 [[31]]。但总体而言，在急性损伤的“风暴”中心，促炎表型（常被称为“N1”样表型）占据绝对主导地位。</w:t>
      </w:r>
    </w:p>
    <w:p w14:paraId="59F75B86">
      <w:pPr>
        <w:spacing w:after="400" w:line="400" w:lineRule="atLeast"/>
      </w:pPr>
      <w:r>
        <w:rPr>
          <w:b/>
          <w:sz w:val="26"/>
        </w:rPr>
        <w:t>1.2 慢性期（发病后数天至数周/月）：从破坏者到潜在调控者的角色转变</w:t>
      </w:r>
    </w:p>
    <w:p w14:paraId="6B9E8BE0">
      <w:pPr>
        <w:spacing w:after="400" w:line="400" w:lineRule="atLeast"/>
      </w:pPr>
      <w:r>
        <w:t>随着时间推移，脑缺血后的病理环境发生变化，炎症反应开始进入消退期（Resolution Phase），组织修复和重塑活动启动。在这一慢性期，中性粒细胞的角色变得更加复杂和多面化。</w:t>
      </w:r>
    </w:p>
    <w:p w14:paraId="0E16C7EC">
      <w:pPr>
        <w:spacing w:after="400" w:line="400" w:lineRule="atLeast"/>
      </w:pPr>
      <w:r>
        <w:rPr>
          <w:b/>
        </w:rPr>
        <w:t>1.2.1 持续浸润与炎症消退期的动态</w:t>
      </w:r>
    </w:p>
    <w:p w14:paraId="5CDE0972">
      <w:pPr>
        <w:spacing w:after="400" w:line="400" w:lineRule="atLeast"/>
      </w:pPr>
      <w:r>
        <w:t>传统观点认为中性粒细胞的浸润是短暂的，在几天内就会被单核/巨噬细胞取代。然而，越来越多的证据表明，在脑卒中后数天甚至数周，脑实质内仍可检测到中性粒细胞的存在。这些持续存在或后续浸润的中性粒细胞，其功能可能与急性期截然不同。它们可能参与了炎症的消退过程，例如通过释放抗炎介质或经历表型转换为“促修复”细胞。</w:t>
      </w:r>
    </w:p>
    <w:p w14:paraId="1F3295D5">
      <w:pPr>
        <w:spacing w:after="400" w:line="400" w:lineRule="atLeast"/>
      </w:pPr>
      <w:r>
        <w:rPr>
          <w:b/>
        </w:rPr>
        <w:t>1.2.2 表型转换：N1/N2极化范式的应用与证据</w:t>
      </w:r>
    </w:p>
    <w:p w14:paraId="791BA6D2">
      <w:pPr>
        <w:spacing w:after="400" w:line="400" w:lineRule="atLeast"/>
      </w:pPr>
      <w:r>
        <w:t>借鉴巨噬细胞的M1/M2极化模型，研究者们提出了中性粒细胞也存在类似的N1（促炎）和N2（抗炎/促修复）表型极化的概念 [[32]][[33]][[34]]。</w:t>
      </w:r>
    </w:p>
    <w:p w14:paraId="669F537F">
      <w:pPr>
        <w:numPr>
          <w:ilvl w:val="-1"/>
          <w:numId w:val="1"/>
        </w:numPr>
        <w:spacing w:after="400" w:line="400" w:lineRule="atLeast"/>
      </w:pPr>
      <w:r>
        <w:rPr>
          <w:b/>
        </w:rPr>
        <w:t>N1型中性粒细胞：</w:t>
      </w:r>
      <w:r>
        <w:t xml:space="preserve"> 即急性期常见的促炎表型，高表达NE, MPO, PADi4等，产生大量ROS和促炎细胞因子 [[35]][[36]]。</w:t>
      </w:r>
    </w:p>
    <w:p w14:paraId="68E500B1">
      <w:pPr>
        <w:numPr>
          <w:ilvl w:val="-1"/>
          <w:numId w:val="1"/>
        </w:numPr>
        <w:spacing w:after="400" w:line="400" w:lineRule="atLeast"/>
      </w:pPr>
      <w:r>
        <w:rPr>
          <w:b/>
        </w:rPr>
        <w:t>N2型中性粒细胞：</w:t>
      </w:r>
      <w:r>
        <w:t xml:space="preserve"> 被认为具有免疫调节和促修复功能。其特征是高表达精氨酸酶-1（Arg-1），产生抗炎细胞因子如白细胞介素-10（IL-10）和转化生长因子-β（TGF-β），并表达如CD206（甘露糖受体）等标志物 [[37]][[38]][[39]]。N2型中性粒细胞被认为能抑制其他免疫细胞的过度活化，促进组织修复和血管生成。</w:t>
      </w:r>
    </w:p>
    <w:p w14:paraId="0DAD6610">
      <w:pPr>
        <w:spacing w:after="400" w:line="400" w:lineRule="atLeast"/>
      </w:pPr>
      <w:r>
        <w:t>近期的突破性研究，特别是关于人间充质干细胞（hMSC）分泌物体内治疗缺血性卒中的研究，为中性粒细胞的N1/N2表型转换提供了强有力的证据 [[40]][[41]][[42]]。这些研究一致表明，hMSC分泌物能够通过激活中性粒细胞内的</w:t>
      </w:r>
      <w:r>
        <w:rPr>
          <w:b/>
        </w:rPr>
        <w:t>PPAR-γ/SOCS1/STAT6信号通路</w:t>
      </w:r>
      <w:r>
        <w:t>，显著促进其向N2表型极化。具体机制是，PPAR-γ（过氧化物酶体增殖物激活受体γ）的激活上调了SOCS1（细胞因子信号转导抑制蛋白1）的表达，SOCS1进而抑制了促炎的STAT1信号，同时STAT6（通常与IL-4/IL-13介导的II型免疫反应相关）被激活，驱动了N2相关基因（如IL-10, TGF-β, Arg-1）的表达 [[43]][[44]][[45]]。这些研究不仅证实了中性粒细胞具有向N2表型转换的潜力，还揭示了一条关键的调控通路，并证明了通过外源性干预（如hMSC分泌物）诱导这种转换，能够有效减轻神经炎症、缩小梗死体积、改善神经功能恢复 [[46]][[47]][[48]]。研究还发现，这种治疗可以调节中性粒细胞在外周（骨髓、脾脏、血液）和中枢的分布，减少其在脑内的总体浸润，并提高脑内N2型中性粒细胞的比例 [[49]][[50]]。</w:t>
      </w:r>
    </w:p>
    <w:p w14:paraId="778B01EB">
      <w:pPr>
        <w:spacing w:after="400" w:line="400" w:lineRule="atLeast"/>
      </w:pPr>
      <w:r>
        <w:t>然而，需要强调的是，目前关于N2表型的大部分直接证据来源于治疗干预模型。在卒中后自然病程中，中性粒细胞是否会自发地、大规模地向N2表型转换，其转换的时间动态（Temporal dynamics）、比例以及在脑内不同区域的分布，仍然是亟待阐明的关键科学问题。一些研究提示，这一过程可能效率不高，导致炎症难以完全消退，甚至迁延为慢性炎症 [[51]][[52]]。</w:t>
      </w:r>
    </w:p>
    <w:p w14:paraId="3884531F">
      <w:pPr>
        <w:spacing w:after="400" w:line="400" w:lineRule="atLeast"/>
      </w:pPr>
      <w:r>
        <w:rPr>
          <w:b/>
        </w:rPr>
        <w:t>1.2.3 慢性期功能：促进修复 vs. 维持慢性炎症</w:t>
      </w:r>
    </w:p>
    <w:p w14:paraId="65FAFE4B">
      <w:pPr>
        <w:spacing w:after="400" w:line="400" w:lineRule="atLeast"/>
      </w:pPr>
      <w:r>
        <w:t>如果中性粒细胞成功转换为N2表型或释放抗炎介质，它们可能在慢性期发挥有益作用：</w:t>
      </w:r>
    </w:p>
    <w:p w14:paraId="529680EE">
      <w:pPr>
        <w:numPr>
          <w:ilvl w:val="-1"/>
          <w:numId w:val="1"/>
        </w:numPr>
        <w:spacing w:after="400" w:line="400" w:lineRule="atLeast"/>
      </w:pPr>
      <w:r>
        <w:rPr>
          <w:b/>
        </w:rPr>
        <w:t>促进炎症消退：</w:t>
      </w:r>
      <w:r>
        <w:t xml:space="preserve"> 通过释放IL-10和TGF-β抑制小胶质细胞和T细胞的活化。</w:t>
      </w:r>
    </w:p>
    <w:p w14:paraId="4C6A3AF9">
      <w:pPr>
        <w:numPr>
          <w:ilvl w:val="-1"/>
          <w:numId w:val="1"/>
        </w:numPr>
        <w:spacing w:after="400" w:line="400" w:lineRule="atLeast"/>
      </w:pPr>
      <w:r>
        <w:rPr>
          <w:b/>
        </w:rPr>
        <w:t>促进组织修复：</w:t>
      </w:r>
      <w:r>
        <w:t xml:space="preserve"> TGF-β是促进细胞外基质重塑和血管生成的重要因子。N2中性粒细胞也可能释放血管内皮生长因子（VEGF）等，直接促进神经血管单元的修复。</w:t>
      </w:r>
    </w:p>
    <w:p w14:paraId="14162737">
      <w:pPr>
        <w:numPr>
          <w:ilvl w:val="-1"/>
          <w:numId w:val="1"/>
        </w:numPr>
        <w:spacing w:after="400" w:line="400" w:lineRule="atLeast"/>
      </w:pPr>
      <w:r>
        <w:rPr>
          <w:b/>
        </w:rPr>
        <w:t>调节适应性免疫：</w:t>
      </w:r>
      <w:r>
        <w:t xml:space="preserve"> 通过与T细胞等相互作用，引导免疫反应从破坏性向调节性或耐受性方向发展。</w:t>
      </w:r>
    </w:p>
    <w:p w14:paraId="0F8D0CFA">
      <w:pPr>
        <w:spacing w:after="400" w:line="400" w:lineRule="atLeast"/>
      </w:pPr>
      <w:r>
        <w:t>然而，如果中性粒细胞清除受阻或持续处于一种低度的促炎状态（可能与“</w:t>
      </w:r>
      <w:r>
        <w:rPr>
          <w:b/>
        </w:rPr>
        <w:t>老化的中性粒细胞（Aged Neutrophils）</w:t>
      </w:r>
      <w:r>
        <w:t>”有关，尽管现有检索结果未直接提供证据，但这是该领域的前沿概念），它们可能成为慢性神经炎症的持续来源。老化的中性粒细胞通常表现为核分叶过多、凋亡抗性增强、清除效率下降以及基础状态下促炎因子释放增多。它们在缺血脑组织中的滞留，可能导致持续的、低水平的组织损伤，阻碍神经修复，并可能与卒中后认知功能障碍（Post-Stroke Cognitive Impairment, PSCI）和继发性神经退行性变的发生发展相关。</w:t>
      </w:r>
    </w:p>
    <w:p w14:paraId="72BF2E38">
      <w:pPr>
        <w:spacing w:after="400" w:line="400" w:lineRule="atLeast"/>
      </w:pPr>
      <w:r>
        <w:rPr>
          <w:b/>
        </w:rPr>
        <w:t>1.2.4 中性粒细胞的最终归宿：凋亡与清除机制</w:t>
      </w:r>
    </w:p>
    <w:p w14:paraId="54DC13CD">
      <w:pPr>
        <w:spacing w:after="400" w:line="400" w:lineRule="atLeast"/>
      </w:pPr>
      <w:r>
        <w:t>在完成其生命周期或功能后，中性粒细胞会启动凋亡程序。凋亡的中性粒细胞会表达“吃掉我”（eat-me）信号（如磷脂酰丝氨酸外翻），随后被专业的吞噬细胞，主要是小胶质细胞和巨噬细胞，通过一种名为“efferocytosis”的过程高效清除。成功的efferocytosis是一个关键的抗炎步骤，因为它不仅清除了潜在的炎症源，而且吞噬细胞在吞噬凋亡细胞后会释放IL-10和TGF-β等抗炎因子，主动促进炎症消退。然而，在卒中后的大量细胞死亡和强炎症环境中，小胶质细胞的吞噬能力可能饱和或功能失调。如果中性粒细胞未能被及时清除而发生继发性坏死，将释放其内部的DAMPs和毒性物质，引发新一轮的炎症反应，这是炎症从急性转向慢性的一个重要机制。</w:t>
      </w:r>
    </w:p>
    <w:p w14:paraId="5FEF3152">
      <w:pPr>
        <w:spacing w:after="400" w:line="400" w:lineRule="atLeast"/>
      </w:pPr>
      <w:r>
        <w:rPr>
          <w:b/>
          <w:sz w:val="26"/>
        </w:rPr>
        <w:t>1.3 小结与机制示意表：急慢性期中性粒细胞功能与变化对比</w:t>
      </w:r>
    </w:p>
    <w:p w14:paraId="645AE0BE">
      <w:pPr>
        <w:spacing w:after="400" w:line="400" w:lineRule="atLeast"/>
      </w:pPr>
      <w:r>
        <w:t>为了更直观地展示中性粒细胞在脑缺血不同阶段的动态变化，我们总结如下表：</w:t>
      </w:r>
    </w:p>
    <w:p w14:paraId="27736362">
      <w:pPr>
        <w:spacing w:after="400" w:line="400" w:lineRule="atLeast"/>
      </w:pPr>
      <w:r>
        <w:rPr>
          <w:b/>
        </w:rPr>
        <w:t>表格1：脑缺血急慢性期中性粒细胞功能与表型变化对比</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765"/>
      </w:tblGrid>
      <w:tr w14:paraId="21A75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5215776D">
            <w:pPr>
              <w:spacing w:after="400" w:line="400" w:lineRule="exact"/>
              <w:jc w:val="left"/>
            </w:pPr>
            <w:r>
              <w:rPr>
                <w:b/>
              </w:rPr>
              <w:t>特征</w:t>
            </w:r>
          </w:p>
        </w:tc>
        <w:tc>
          <w:tcPr>
            <w:tcW w:w="2765" w:type="dxa"/>
          </w:tcPr>
          <w:p w14:paraId="02A1AA7E">
            <w:pPr>
              <w:spacing w:after="400" w:line="400" w:lineRule="exact"/>
              <w:jc w:val="left"/>
            </w:pPr>
            <w:r>
              <w:rPr>
                <w:b/>
              </w:rPr>
              <w:t>急性期 (数小时 ~ 数天)</w:t>
            </w:r>
          </w:p>
        </w:tc>
        <w:tc>
          <w:tcPr>
            <w:tcW w:w="2765" w:type="dxa"/>
          </w:tcPr>
          <w:p w14:paraId="6AB7ABDA">
            <w:pPr>
              <w:spacing w:after="400" w:line="400" w:lineRule="exact"/>
              <w:jc w:val="left"/>
            </w:pPr>
            <w:r>
              <w:rPr>
                <w:b/>
              </w:rPr>
              <w:t>慢性期 (数天 ~ 数周/月)</w:t>
            </w:r>
          </w:p>
        </w:tc>
      </w:tr>
      <w:tr w14:paraId="246B2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04322777">
            <w:pPr>
              <w:spacing w:after="400" w:line="400" w:lineRule="exact"/>
              <w:jc w:val="left"/>
            </w:pPr>
            <w:r>
              <w:rPr>
                <w:b/>
              </w:rPr>
              <w:t>主导功能</w:t>
            </w:r>
          </w:p>
        </w:tc>
        <w:tc>
          <w:tcPr>
            <w:tcW w:w="2765" w:type="dxa"/>
          </w:tcPr>
          <w:p w14:paraId="107A1C7E">
            <w:pPr>
              <w:spacing w:after="400" w:line="400" w:lineRule="exact"/>
              <w:jc w:val="left"/>
            </w:pPr>
            <w:r>
              <w:rPr>
                <w:b/>
              </w:rPr>
              <w:t>促炎、组织破坏</w:t>
            </w:r>
          </w:p>
        </w:tc>
        <w:tc>
          <w:tcPr>
            <w:tcW w:w="2765" w:type="dxa"/>
          </w:tcPr>
          <w:p w14:paraId="425F12B2">
            <w:pPr>
              <w:spacing w:after="400" w:line="400" w:lineRule="exact"/>
              <w:jc w:val="left"/>
            </w:pPr>
            <w:r>
              <w:rPr>
                <w:b/>
              </w:rPr>
              <w:t>免疫调节、炎症消退、组织修复 / 慢性炎症</w:t>
            </w:r>
          </w:p>
        </w:tc>
      </w:tr>
      <w:tr w14:paraId="37E0C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0207E9AD">
            <w:pPr>
              <w:spacing w:after="400" w:line="400" w:lineRule="exact"/>
              <w:jc w:val="left"/>
            </w:pPr>
            <w:r>
              <w:rPr>
                <w:b/>
              </w:rPr>
              <w:t>主要表型</w:t>
            </w:r>
          </w:p>
        </w:tc>
        <w:tc>
          <w:tcPr>
            <w:tcW w:w="2765" w:type="dxa"/>
          </w:tcPr>
          <w:p w14:paraId="4B8276FB">
            <w:pPr>
              <w:spacing w:after="400" w:line="400" w:lineRule="exact"/>
              <w:jc w:val="left"/>
            </w:pPr>
            <w:r>
              <w:rPr>
                <w:b/>
              </w:rPr>
              <w:t>N1样促炎表型</w:t>
            </w:r>
          </w:p>
        </w:tc>
        <w:tc>
          <w:tcPr>
            <w:tcW w:w="2765" w:type="dxa"/>
          </w:tcPr>
          <w:p w14:paraId="29D474A5">
            <w:pPr>
              <w:spacing w:after="400" w:line="400" w:lineRule="exact"/>
              <w:jc w:val="left"/>
            </w:pPr>
            <w:r>
              <w:rPr>
                <w:b/>
              </w:rPr>
              <w:t>N2样抗炎/促修复表型 vs. 持续的N1样/老化表型</w:t>
            </w:r>
          </w:p>
        </w:tc>
      </w:tr>
      <w:tr w14:paraId="3D493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672466C8">
            <w:pPr>
              <w:spacing w:after="400" w:line="400" w:lineRule="exact"/>
              <w:jc w:val="left"/>
            </w:pPr>
            <w:r>
              <w:rPr>
                <w:b/>
              </w:rPr>
              <w:t>关键分子/标志物</w:t>
            </w:r>
          </w:p>
        </w:tc>
        <w:tc>
          <w:tcPr>
            <w:tcW w:w="2765" w:type="dxa"/>
          </w:tcPr>
          <w:p w14:paraId="24330E77">
            <w:pPr>
              <w:spacing w:after="400" w:line="400" w:lineRule="exact"/>
              <w:jc w:val="left"/>
            </w:pPr>
            <w:r>
              <w:rPr>
                <w:b/>
              </w:rPr>
              <w:t>高表达:</w:t>
            </w:r>
            <w:r>
              <w:t xml:space="preserve"> MPO, NE, PADi4, MMP-9, ROS, IL-1β, TNF-α</w:t>
            </w:r>
          </w:p>
        </w:tc>
        <w:tc>
          <w:tcPr>
            <w:tcW w:w="2765" w:type="dxa"/>
          </w:tcPr>
          <w:p w14:paraId="22C18EED">
            <w:pPr>
              <w:spacing w:after="400" w:line="400" w:lineRule="exact"/>
              <w:jc w:val="left"/>
            </w:pPr>
            <w:r>
              <w:rPr>
                <w:b/>
              </w:rPr>
              <w:t>N2样:</w:t>
            </w:r>
            <w:r>
              <w:t xml:space="preserve"> 高表达 IL-10, TGF-β, Arg-1, CD206  </w:t>
            </w:r>
            <w:r>
              <w:rPr>
                <w:b/>
              </w:rPr>
              <w:t>N1/老化样:</w:t>
            </w:r>
            <w:r>
              <w:t xml:space="preserve"> 持续低水平表达 MPO, NE</w:t>
            </w:r>
          </w:p>
        </w:tc>
      </w:tr>
      <w:tr w14:paraId="4D76D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4622F674">
            <w:pPr>
              <w:spacing w:after="400" w:line="400" w:lineRule="exact"/>
              <w:jc w:val="left"/>
            </w:pPr>
            <w:r>
              <w:rPr>
                <w:b/>
              </w:rPr>
              <w:t>迁移/浸润</w:t>
            </w:r>
          </w:p>
        </w:tc>
        <w:tc>
          <w:tcPr>
            <w:tcW w:w="2765" w:type="dxa"/>
          </w:tcPr>
          <w:p w14:paraId="155144B4">
            <w:pPr>
              <w:spacing w:after="400" w:line="400" w:lineRule="exact"/>
              <w:jc w:val="left"/>
            </w:pPr>
            <w:r>
              <w:t>大量、快速地从外周血浸润至缺血区</w:t>
            </w:r>
          </w:p>
        </w:tc>
        <w:tc>
          <w:tcPr>
            <w:tcW w:w="2765" w:type="dxa"/>
          </w:tcPr>
          <w:p w14:paraId="697D34FC">
            <w:pPr>
              <w:spacing w:after="400" w:line="400" w:lineRule="exact"/>
              <w:jc w:val="left"/>
            </w:pPr>
            <w:r>
              <w:t>浸润减缓，但可持续存在；可能存在后续波次的浸润</w:t>
            </w:r>
          </w:p>
        </w:tc>
      </w:tr>
      <w:tr w14:paraId="6C70B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4FF2B330">
            <w:pPr>
              <w:spacing w:after="400" w:line="400" w:lineRule="exact"/>
              <w:jc w:val="left"/>
            </w:pPr>
            <w:r>
              <w:rPr>
                <w:b/>
              </w:rPr>
              <w:t>NETosis</w:t>
            </w:r>
          </w:p>
        </w:tc>
        <w:tc>
          <w:tcPr>
            <w:tcW w:w="2765" w:type="dxa"/>
          </w:tcPr>
          <w:p w14:paraId="4E8B16A8">
            <w:pPr>
              <w:spacing w:after="400" w:line="400" w:lineRule="exact"/>
              <w:jc w:val="left"/>
            </w:pPr>
            <w:r>
              <w:t>显著发生，导致微血管堵塞和组织损伤</w:t>
            </w:r>
          </w:p>
        </w:tc>
        <w:tc>
          <w:tcPr>
            <w:tcW w:w="2765" w:type="dxa"/>
          </w:tcPr>
          <w:p w14:paraId="2CF87EA4">
            <w:pPr>
              <w:spacing w:after="400" w:line="400" w:lineRule="exact"/>
              <w:jc w:val="left"/>
            </w:pPr>
            <w:r>
              <w:t>减少，但若清除不当，残留的NETs可持续作为炎症刺激源</w:t>
            </w:r>
          </w:p>
        </w:tc>
      </w:tr>
      <w:tr w14:paraId="64E0A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5B97E3D8">
            <w:pPr>
              <w:spacing w:after="400" w:line="400" w:lineRule="exact"/>
              <w:jc w:val="left"/>
            </w:pPr>
            <w:r>
              <w:rPr>
                <w:b/>
              </w:rPr>
              <w:t>吞噬功能</w:t>
            </w:r>
          </w:p>
        </w:tc>
        <w:tc>
          <w:tcPr>
            <w:tcW w:w="2765" w:type="dxa"/>
          </w:tcPr>
          <w:p w14:paraId="36BC32E4">
            <w:pPr>
              <w:spacing w:after="400" w:line="400" w:lineRule="exact"/>
              <w:jc w:val="left"/>
            </w:pPr>
            <w:r>
              <w:t>存在，但可能功能失调；主要吞噬碎片</w:t>
            </w:r>
          </w:p>
        </w:tc>
        <w:tc>
          <w:tcPr>
            <w:tcW w:w="2765" w:type="dxa"/>
          </w:tcPr>
          <w:p w14:paraId="46427B25">
            <w:pPr>
              <w:spacing w:after="400" w:line="400" w:lineRule="exact"/>
              <w:jc w:val="left"/>
            </w:pPr>
            <w:r>
              <w:t>可能参与清除凋亡细胞，但主要由小胶质细胞/巨噬细胞负责</w:t>
            </w:r>
          </w:p>
        </w:tc>
      </w:tr>
      <w:tr w14:paraId="50EA5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7446DFD3">
            <w:pPr>
              <w:spacing w:after="400" w:line="400" w:lineRule="exact"/>
              <w:jc w:val="left"/>
            </w:pPr>
            <w:r>
              <w:rPr>
                <w:b/>
              </w:rPr>
              <w:t>最终归宿</w:t>
            </w:r>
          </w:p>
        </w:tc>
        <w:tc>
          <w:tcPr>
            <w:tcW w:w="2765" w:type="dxa"/>
          </w:tcPr>
          <w:p w14:paraId="60490DE1">
            <w:pPr>
              <w:spacing w:after="400" w:line="400" w:lineRule="exact"/>
              <w:jc w:val="left"/>
            </w:pPr>
            <w:r>
              <w:t>快速凋亡或坏死</w:t>
            </w:r>
          </w:p>
        </w:tc>
        <w:tc>
          <w:tcPr>
            <w:tcW w:w="2765" w:type="dxa"/>
          </w:tcPr>
          <w:p w14:paraId="2FC93853">
            <w:pPr>
              <w:spacing w:after="400" w:line="400" w:lineRule="exact"/>
              <w:jc w:val="left"/>
            </w:pPr>
            <w:r>
              <w:t>凋亡后被小胶质细胞/巨噬细胞通过Efferocytosis清除；若清除失败则导致慢性炎症</w:t>
            </w:r>
          </w:p>
        </w:tc>
      </w:tr>
      <w:tr w14:paraId="59AD5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063A9B6A">
            <w:pPr>
              <w:spacing w:after="400" w:line="400" w:lineRule="exact"/>
              <w:jc w:val="left"/>
            </w:pPr>
            <w:r>
              <w:rPr>
                <w:b/>
              </w:rPr>
              <w:t>对BBB的影响</w:t>
            </w:r>
          </w:p>
        </w:tc>
        <w:tc>
          <w:tcPr>
            <w:tcW w:w="2765" w:type="dxa"/>
          </w:tcPr>
          <w:p w14:paraId="14C2A48A">
            <w:pPr>
              <w:spacing w:after="400" w:line="400" w:lineRule="exact"/>
              <w:jc w:val="left"/>
            </w:pPr>
            <w:r>
              <w:t>强烈破坏BBB完整性</w:t>
            </w:r>
          </w:p>
        </w:tc>
        <w:tc>
          <w:tcPr>
            <w:tcW w:w="2765" w:type="dxa"/>
          </w:tcPr>
          <w:p w14:paraId="2ADEAB02">
            <w:pPr>
              <w:spacing w:after="400" w:line="400" w:lineRule="exact"/>
              <w:jc w:val="left"/>
            </w:pPr>
            <w:r>
              <w:rPr>
                <w:b/>
              </w:rPr>
              <w:t>N2样:</w:t>
            </w:r>
            <w:r>
              <w:t xml:space="preserve"> 可能参与BBB修复和血管新生  </w:t>
            </w:r>
            <w:r>
              <w:rPr>
                <w:b/>
              </w:rPr>
              <w:t>N1/老化样:</w:t>
            </w:r>
            <w:r>
              <w:t xml:space="preserve"> 持续低度破坏BBB</w:t>
            </w:r>
          </w:p>
        </w:tc>
      </w:tr>
      <w:tr w14:paraId="1BEEC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6C90FD08">
            <w:pPr>
              <w:spacing w:after="400" w:line="400" w:lineRule="exact"/>
              <w:jc w:val="left"/>
            </w:pPr>
            <w:r>
              <w:rPr>
                <w:b/>
              </w:rPr>
              <w:t>主要临床后果</w:t>
            </w:r>
          </w:p>
        </w:tc>
        <w:tc>
          <w:tcPr>
            <w:tcW w:w="2765" w:type="dxa"/>
          </w:tcPr>
          <w:p w14:paraId="1F7FAB36">
            <w:pPr>
              <w:spacing w:after="400" w:line="400" w:lineRule="exact"/>
              <w:jc w:val="left"/>
            </w:pPr>
            <w:r>
              <w:t>扩大梗死体积、加重脑水肿、驱动急性神经功能缺损</w:t>
            </w:r>
          </w:p>
        </w:tc>
        <w:tc>
          <w:tcPr>
            <w:tcW w:w="2765" w:type="dxa"/>
          </w:tcPr>
          <w:p w14:paraId="74B45720">
            <w:pPr>
              <w:spacing w:after="400" w:line="400" w:lineRule="exact"/>
              <w:jc w:val="left"/>
            </w:pPr>
            <w:r>
              <w:rPr>
                <w:b/>
              </w:rPr>
              <w:t>正面:</w:t>
            </w:r>
            <w:r>
              <w:t xml:space="preserve"> 促进神经功能恢复、抑制慢性炎症  </w:t>
            </w:r>
            <w:r>
              <w:rPr>
                <w:b/>
              </w:rPr>
              <w:t>负面:</w:t>
            </w:r>
            <w:r>
              <w:t xml:space="preserve"> 导致慢性神经炎症、认知障碍、继发性神经退行性变</w:t>
            </w:r>
          </w:p>
        </w:tc>
      </w:tr>
    </w:tbl>
    <w:p w14:paraId="05E2EC8B">
      <w:pPr>
        <w:spacing w:before="400" w:after="400" w:line="400" w:lineRule="atLeast"/>
      </w:pPr>
      <w:r>
        <w:rPr>
          <w:b/>
          <w:sz w:val="30"/>
        </w:rPr>
        <w:t>二、 相互作用网络预测与临床结局关联分析</w:t>
      </w:r>
    </w:p>
    <w:p w14:paraId="054EC9F1">
      <w:pPr>
        <w:spacing w:after="400" w:line="400" w:lineRule="atLeast"/>
      </w:pPr>
      <w:r>
        <w:t>中性粒细胞在脑内的功能并非孤立实现，而是通过与脑实质内其他细胞构成的复杂相互作用网络来发挥作用。基于上文整合的研究成果，我们可以逻辑推导出不同中性粒细胞亚群如何影响这一网络，并最终决定临床结局的多样性。</w:t>
      </w:r>
    </w:p>
    <w:p w14:paraId="22954B63">
      <w:pPr>
        <w:spacing w:after="400" w:line="400" w:lineRule="atLeast"/>
      </w:pPr>
      <w:r>
        <w:rPr>
          <w:b/>
          <w:sz w:val="26"/>
        </w:rPr>
        <w:t>2.1 中性粒细胞亚群与脑内关键细胞的相互作用预测</w:t>
      </w:r>
    </w:p>
    <w:p w14:paraId="4488ACFA">
      <w:pPr>
        <w:spacing w:after="400" w:line="400" w:lineRule="atLeast"/>
      </w:pPr>
      <w:r>
        <w:rPr>
          <w:b/>
        </w:rPr>
        <w:t>2.1.1 与神经血管单元（Neurovascular Unit, NVU）的互作</w:t>
      </w:r>
    </w:p>
    <w:p w14:paraId="14848FC3">
      <w:pPr>
        <w:spacing w:after="400" w:line="400" w:lineRule="atLeast"/>
      </w:pPr>
      <w:r>
        <w:t>NVU由脑微血管内皮细胞、周细胞（Pericytes）、星形胶质细胞足突、基底膜以及邻近的神经元和小胶质细胞共同构成，是维持BBB功能的核心结构。</w:t>
      </w:r>
    </w:p>
    <w:p w14:paraId="02496198">
      <w:pPr>
        <w:numPr>
          <w:ilvl w:val="-1"/>
          <w:numId w:val="1"/>
        </w:numPr>
        <w:spacing w:after="400" w:line="400" w:lineRule="atLeast"/>
      </w:pPr>
      <w:r>
        <w:rPr>
          <w:b/>
        </w:rPr>
        <w:t>与内皮细胞的相互作用：</w:t>
      </w:r>
    </w:p>
    <w:p w14:paraId="16530BD0">
      <w:pPr>
        <w:numPr>
          <w:ilvl w:val="-1"/>
          <w:numId w:val="1"/>
        </w:numPr>
        <w:spacing w:after="400" w:line="400" w:lineRule="atLeast"/>
      </w:pPr>
      <w:r>
        <w:rPr>
          <w:b/>
        </w:rPr>
        <w:t>N1样/NET-forming中性粒细胞 -&gt; 内皮细胞 (抑制/破坏):</w:t>
      </w:r>
      <w:r>
        <w:t xml:space="preserve"> N1细胞释放的MMP-9、NE和ROS直接降解内皮细胞间的紧密连接蛋白（如Claudin-5, Occludin）和粘附连接蛋白，导致BBB通透性急剧增加 [[53]][[54]]。NETs的形成则通过物理堵塞和组蛋白毒性进一步加剧内皮损伤 [[55]][[56]]。这一相互作用是急性期脑水肿和出血转化的关键。</w:t>
      </w:r>
      <w:r>
        <w:rPr>
          <w:b/>
        </w:rPr>
        <w:t>关键分子：</w:t>
      </w:r>
      <w:r>
        <w:t xml:space="preserve"> MMP-9, NE, ROS, 组蛋白, ICAM-1, VCAM-1, 整合素。</w:t>
      </w:r>
    </w:p>
    <w:p w14:paraId="0ABFB6B0">
      <w:pPr>
        <w:numPr>
          <w:ilvl w:val="-1"/>
          <w:numId w:val="1"/>
        </w:numPr>
        <w:spacing w:after="400" w:line="400" w:lineRule="atLeast"/>
      </w:pPr>
      <w:r>
        <w:rPr>
          <w:b/>
        </w:rPr>
        <w:t>N2样中性粒细胞 -&gt; 内皮细胞 (促进/修复):</w:t>
      </w:r>
      <w:r>
        <w:t xml:space="preserve"> N2细胞释放的TGF-β和血管生成因子（如VEGF，尽管直接证据有限，但可基于其促修复功能推断）可能促进内皮细胞的存活和增殖，稳定紧密连接，并刺激血管新生，从而有助于BBB的修复和侧支循环的建立。</w:t>
      </w:r>
      <w:r>
        <w:rPr>
          <w:b/>
        </w:rPr>
        <w:t>关键分子：</w:t>
      </w:r>
      <w:r>
        <w:t xml:space="preserve"> TGF-β, VEGF, IL-10。</w:t>
      </w:r>
    </w:p>
    <w:p w14:paraId="568B1957">
      <w:pPr>
        <w:numPr>
          <w:ilvl w:val="-1"/>
          <w:numId w:val="1"/>
        </w:numPr>
        <w:spacing w:after="400" w:line="400" w:lineRule="atLeast"/>
      </w:pPr>
      <w:r>
        <w:rPr>
          <w:b/>
        </w:rPr>
        <w:t>与周细胞的相互作用（基于推理预测，直接证据缺乏）：</w:t>
      </w:r>
    </w:p>
    <w:p w14:paraId="0B3E5503">
      <w:pPr>
        <w:spacing w:after="400" w:line="400" w:lineRule="atLeast"/>
      </w:pPr>
      <w:r>
        <w:t>周细胞是包裹在毛细血管外的基质细胞，对维持BBB完整性和调节脑血流至关重要。</w:t>
      </w:r>
    </w:p>
    <w:p w14:paraId="541A9F1F">
      <w:pPr>
        <w:numPr>
          <w:ilvl w:val="-1"/>
          <w:numId w:val="1"/>
        </w:numPr>
        <w:spacing w:after="400" w:line="400" w:lineRule="atLeast"/>
      </w:pPr>
      <w:r>
        <w:rPr>
          <w:b/>
        </w:rPr>
        <w:t>N1样/NET-forming中性粒细胞 -&gt; 周细胞 (抑制/破坏):</w:t>
      </w:r>
      <w:r>
        <w:t xml:space="preserve"> 中性粒细胞跨内皮迁移后，会直接接触周细胞。其释放的蛋白酶和ROS可能导致周细胞收缩、脱离血管壁甚至死亡，进一步破坏BBB结构。尽管搜索结果未能提供中性粒细胞与周细胞直接相互作用的分子证据 [[57]][[58]][[59]]但我们可以推断，整合素（如Mac-1）与周细胞表面表达的ICAM-1（在炎症时会上调）之间可能存在粘附作用。</w:t>
      </w:r>
    </w:p>
    <w:p w14:paraId="013777F5">
      <w:pPr>
        <w:numPr>
          <w:ilvl w:val="-1"/>
          <w:numId w:val="1"/>
        </w:numPr>
        <w:spacing w:after="400" w:line="400" w:lineRule="atLeast"/>
      </w:pPr>
      <w:r>
        <w:rPr>
          <w:b/>
        </w:rPr>
        <w:t>N2样中性粒细胞 -&gt; 周细胞 (促进/稳定):</w:t>
      </w:r>
      <w:r>
        <w:t xml:space="preserve"> N2细胞分泌的TGF-β和血小板衍生生长因子（PDGF，推测）等可能促进周细胞的存活、增殖和附着，从而稳定血管结构，促进血管修复。</w:t>
      </w:r>
    </w:p>
    <w:p w14:paraId="74DF5BC2">
      <w:pPr>
        <w:spacing w:after="400" w:line="400" w:lineRule="atLeast"/>
      </w:pPr>
      <w:r>
        <w:rPr>
          <w:b/>
        </w:rPr>
        <w:t>2.1.2 与胶质细胞的互作</w:t>
      </w:r>
    </w:p>
    <w:p w14:paraId="565C2576">
      <w:pPr>
        <w:spacing w:after="400" w:line="400" w:lineRule="atLeast"/>
      </w:pPr>
      <w:r>
        <w:t>小胶质细胞和星形胶质细胞是脑内主要的免疫监视和反应细胞。</w:t>
      </w:r>
    </w:p>
    <w:p w14:paraId="03D4A80C">
      <w:pPr>
        <w:numPr>
          <w:ilvl w:val="-1"/>
          <w:numId w:val="1"/>
        </w:numPr>
        <w:spacing w:after="400" w:line="400" w:lineRule="atLeast"/>
      </w:pPr>
      <w:r>
        <w:rPr>
          <w:b/>
        </w:rPr>
        <w:t>与小胶质细胞的相互作用：</w:t>
      </w:r>
    </w:p>
    <w:p w14:paraId="1F682D27">
      <w:pPr>
        <w:numPr>
          <w:ilvl w:val="-1"/>
          <w:numId w:val="1"/>
        </w:numPr>
        <w:spacing w:after="400" w:line="400" w:lineRule="atLeast"/>
      </w:pPr>
      <w:r>
        <w:rPr>
          <w:b/>
        </w:rPr>
        <w:t>N1样/NET-forming中性粒细胞 -&gt; 小胶质细胞 (促炎激活):</w:t>
      </w:r>
      <w:r>
        <w:t xml:space="preserve"> N1细胞释放的DAMPs（如HMGB1、S100蛋白）和NETs中的组分（DNA、组蛋白）是小胶质细胞表面TLR2/4/9等模式识别受体（PRRs）的强效激动剂。这种激活会驱动小胶质细胞向促炎的M1表型极化，使其释放更多的IL-1β, TNF-α, NO等，形成“炎症-免疫”细胞间的恶性循环。</w:t>
      </w:r>
    </w:p>
    <w:p w14:paraId="490EB6FA">
      <w:pPr>
        <w:numPr>
          <w:ilvl w:val="-1"/>
          <w:numId w:val="1"/>
        </w:numPr>
        <w:spacing w:after="400" w:line="400" w:lineRule="atLeast"/>
      </w:pPr>
      <w:r>
        <w:rPr>
          <w:b/>
        </w:rPr>
        <w:t>N2样中性粒细胞 -&gt; 小胶质细胞 (抗炎/促修复):</w:t>
      </w:r>
      <w:r>
        <w:t xml:space="preserve"> N2细胞释放的IL-10是抑制小胶质细胞M1极化的关键信号，能诱导其向促修复的M2表型转化。M2小胶质细胞吞噬能力更强，能更有效地清除细胞碎片和凋亡的中性粒细胞（Efferocytosis），并释放神经营养因子（如BDNF, IGF-1），促进神经修复。</w:t>
      </w:r>
      <w:r>
        <w:rPr>
          <w:b/>
        </w:rPr>
        <w:t>关键分子：</w:t>
      </w:r>
      <w:r>
        <w:t xml:space="preserve"> IL-10, TGF-β。</w:t>
      </w:r>
    </w:p>
    <w:p w14:paraId="3F9EDDCE">
      <w:pPr>
        <w:numPr>
          <w:ilvl w:val="-1"/>
          <w:numId w:val="1"/>
        </w:numPr>
        <w:spacing w:after="400" w:line="400" w:lineRule="atLeast"/>
      </w:pPr>
      <w:r>
        <w:rPr>
          <w:b/>
        </w:rPr>
        <w:t>与星形胶质细胞的相互作用（基于推理预测，直接证据缺乏）：</w:t>
      </w:r>
    </w:p>
    <w:p w14:paraId="033A095A">
      <w:pPr>
        <w:spacing w:after="400" w:line="400" w:lineRule="atLeast"/>
      </w:pPr>
      <w:r>
        <w:t>星形胶质细胞在卒中后形成胶质瘢痕，同时也在炎症调节中发挥作用。</w:t>
      </w:r>
    </w:p>
    <w:p w14:paraId="5815BD05">
      <w:pPr>
        <w:numPr>
          <w:ilvl w:val="-1"/>
          <w:numId w:val="1"/>
        </w:numPr>
        <w:spacing w:after="400" w:line="400" w:lineRule="atLeast"/>
      </w:pPr>
      <w:r>
        <w:rPr>
          <w:b/>
        </w:rPr>
        <w:t>N1样/NET-forming中性粒细胞 -&gt; 星形胶质细胞 (反应性/促炎激活):</w:t>
      </w:r>
      <w:r>
        <w:t xml:space="preserve"> 尽管直接的分子互作证据在检索结果中缺失 [[60]][[61]][[62]]但我们可以推断，中性粒细胞释放的IL-1β, TNF-α等细胞因子以及DAMPs（如HMGB1）会刺激星形胶质细胞，使其转变为反应性的A1表型。A1型星形胶质细胞会丧失其对神经元的支持功能，并主动释放补体C3等神经毒性物质，加剧神经元损伤。</w:t>
      </w:r>
    </w:p>
    <w:p w14:paraId="576E3086">
      <w:pPr>
        <w:numPr>
          <w:ilvl w:val="-1"/>
          <w:numId w:val="1"/>
        </w:numPr>
        <w:spacing w:after="400" w:line="400" w:lineRule="atLeast"/>
      </w:pPr>
      <w:r>
        <w:rPr>
          <w:b/>
        </w:rPr>
        <w:t>N2样中性粒细胞 -&gt; 星形胶质细胞 (促修复激活):</w:t>
      </w:r>
      <w:r>
        <w:t xml:space="preserve"> N2细胞释放的TGF-β可能促进星形胶质细胞形成界限清晰的胶质瘢痕，限制炎症扩散。同时，IL-10可能抑制A1表型的转化，并促进其向支持神经元存活和突触修复的A2表型转化。</w:t>
      </w:r>
    </w:p>
    <w:p w14:paraId="6E49797C">
      <w:pPr>
        <w:spacing w:after="400" w:line="400" w:lineRule="atLeast"/>
      </w:pPr>
      <w:r>
        <w:rPr>
          <w:b/>
        </w:rPr>
        <w:t>2.1.3 与神经元的直接/间接互作</w:t>
      </w:r>
    </w:p>
    <w:p w14:paraId="796CB2E3">
      <w:pPr>
        <w:numPr>
          <w:ilvl w:val="-1"/>
          <w:numId w:val="1"/>
        </w:numPr>
        <w:spacing w:after="400" w:line="400" w:lineRule="atLeast"/>
      </w:pPr>
      <w:r>
        <w:rPr>
          <w:b/>
        </w:rPr>
        <w:t>N1样/NET-forming/老化中性粒细胞 -&gt; 神经元 (抑制/毒性):</w:t>
      </w:r>
    </w:p>
    <w:p w14:paraId="644B6961">
      <w:pPr>
        <w:numPr>
          <w:ilvl w:val="-1"/>
          <w:numId w:val="1"/>
        </w:numPr>
        <w:spacing w:after="400" w:line="400" w:lineRule="atLeast"/>
      </w:pPr>
      <w:r>
        <w:rPr>
          <w:b/>
        </w:rPr>
        <w:t>直接毒性：</w:t>
      </w:r>
      <w:r>
        <w:t xml:space="preserve"> 中性粒细胞释放的ROS, MPO, NE和NETs组分可直接作用于邻近的神经元，诱导其凋亡或坏死。</w:t>
      </w:r>
    </w:p>
    <w:p w14:paraId="3AFAD915">
      <w:pPr>
        <w:numPr>
          <w:ilvl w:val="-1"/>
          <w:numId w:val="1"/>
        </w:numPr>
        <w:spacing w:after="400" w:line="400" w:lineRule="atLeast"/>
      </w:pPr>
      <w:r>
        <w:rPr>
          <w:b/>
        </w:rPr>
        <w:t>间接毒性：</w:t>
      </w:r>
      <w:r>
        <w:t xml:space="preserve"> 通过激活小胶质细胞和星形胶质细胞（如上所述），间接导致神经毒性物质的释放，加剧兴奋性毒性，并剥夺神经元的营养支持。</w:t>
      </w:r>
    </w:p>
    <w:p w14:paraId="3AF7A025">
      <w:pPr>
        <w:numPr>
          <w:ilvl w:val="-1"/>
          <w:numId w:val="1"/>
        </w:numPr>
        <w:spacing w:after="400" w:line="400" w:lineRule="atLeast"/>
      </w:pPr>
      <w:r>
        <w:rPr>
          <w:b/>
        </w:rPr>
        <w:t>N2样中性粒细胞 -&gt; 神经元 (促进/保护):</w:t>
      </w:r>
    </w:p>
    <w:p w14:paraId="7A868C60">
      <w:pPr>
        <w:numPr>
          <w:ilvl w:val="-1"/>
          <w:numId w:val="1"/>
        </w:numPr>
        <w:spacing w:after="400" w:line="400" w:lineRule="atLeast"/>
      </w:pPr>
      <w:r>
        <w:rPr>
          <w:b/>
        </w:rPr>
        <w:t>直接保护（推测）：</w:t>
      </w:r>
      <w:r>
        <w:t xml:space="preserve"> N2细胞可能释放某些神经营养物质或抗氧化分子，直接保护神经元。</w:t>
      </w:r>
    </w:p>
    <w:p w14:paraId="1473D0D3">
      <w:pPr>
        <w:numPr>
          <w:ilvl w:val="-1"/>
          <w:numId w:val="1"/>
        </w:numPr>
        <w:spacing w:after="400" w:line="400" w:lineRule="atLeast"/>
      </w:pPr>
      <w:r>
        <w:rPr>
          <w:b/>
        </w:rPr>
        <w:t>间接保护：</w:t>
      </w:r>
      <w:r>
        <w:t xml:space="preserve"> 其主要作用是通过抑制胶质细胞的毒性激活，并促进其向保护性表型转化，从而改善神经元的生存微环境，为神经修复和可塑性创造条件。</w:t>
      </w:r>
    </w:p>
    <w:p w14:paraId="0902E731">
      <w:pPr>
        <w:spacing w:after="400" w:line="400" w:lineRule="atLeast"/>
      </w:pPr>
      <w:r>
        <w:rPr>
          <w:b/>
          <w:sz w:val="26"/>
        </w:rPr>
        <w:t>2.2 细胞相互作用网络与临床结局的关联</w:t>
      </w:r>
    </w:p>
    <w:p w14:paraId="4BB6641F">
      <w:pPr>
        <w:spacing w:after="400" w:line="400" w:lineRule="atLeast"/>
      </w:pPr>
      <w:r>
        <w:t>上述复杂的细胞相互作用网络，其整体平衡状态最终决定了患者的临床结局。</w:t>
      </w:r>
    </w:p>
    <w:p w14:paraId="312C50F1">
      <w:pPr>
        <w:spacing w:after="400" w:line="400" w:lineRule="atLeast"/>
      </w:pPr>
      <w:r>
        <w:rPr>
          <w:b/>
        </w:rPr>
        <w:t>2.2.1 对短期结局的影响</w:t>
      </w:r>
    </w:p>
    <w:p w14:paraId="5DF7E0C4">
      <w:pPr>
        <w:numPr>
          <w:ilvl w:val="-1"/>
          <w:numId w:val="1"/>
        </w:numPr>
        <w:spacing w:after="400" w:line="400" w:lineRule="atLeast"/>
      </w:pPr>
      <w:r>
        <w:rPr>
          <w:b/>
        </w:rPr>
        <w:t>梗死体积、脑水肿、血脑屏障破坏：</w:t>
      </w:r>
      <w:r>
        <w:t xml:space="preserve"> 若卒中后</w:t>
      </w:r>
      <w:r>
        <w:rPr>
          <w:b/>
        </w:rPr>
        <w:t>N1样/NET-forming中性粒细胞主导</w:t>
      </w:r>
      <w:r>
        <w:t>的相互作用网络占据上风，其对NVU的强烈攻击将导致严重的BBB破坏、血管源性脑水肿和出血转化风险增高。NETs介导的微血管堵塞会直接扩大梗死核心区。这将反映为影像学上更大的梗死体积和更严重的脑水肿，以及临床上更急剧、更严重的急性神经功能缺损。</w:t>
      </w:r>
    </w:p>
    <w:p w14:paraId="3562C5A7">
      <w:pPr>
        <w:numPr>
          <w:ilvl w:val="-1"/>
          <w:numId w:val="1"/>
        </w:numPr>
        <w:spacing w:after="400" w:line="400" w:lineRule="atLeast"/>
      </w:pPr>
      <w:r>
        <w:rPr>
          <w:b/>
        </w:rPr>
        <w:t>早期神经功能缺损（如NIHSS评分）：</w:t>
      </w:r>
      <w:r>
        <w:t xml:space="preserve"> 上述病理变化直接关联于患者早期的神经功能状态。一个以破坏性中性粒细胞互作为主的患者，其NIHSS评分可能会更高，早期恢复更差。</w:t>
      </w:r>
    </w:p>
    <w:p w14:paraId="7085AEAF">
      <w:pPr>
        <w:spacing w:after="400" w:line="400" w:lineRule="atLeast"/>
      </w:pPr>
      <w:r>
        <w:rPr>
          <w:b/>
        </w:rPr>
        <w:t>2.2.2 对长期结局的影响</w:t>
      </w:r>
    </w:p>
    <w:p w14:paraId="1C979414">
      <w:pPr>
        <w:numPr>
          <w:ilvl w:val="-1"/>
          <w:numId w:val="1"/>
        </w:numPr>
        <w:spacing w:after="400" w:line="400" w:lineRule="atLeast"/>
      </w:pPr>
      <w:r>
        <w:rPr>
          <w:b/>
        </w:rPr>
        <w:t>神经功能恢复质量（如mRS评分）：</w:t>
      </w:r>
      <w:r>
        <w:t xml:space="preserve"> 长期功能恢复依赖于神经可塑性、轴突再生和功能重组。一个成功实现了</w:t>
      </w:r>
      <w:r>
        <w:rPr>
          <w:b/>
        </w:rPr>
        <w:t>从N1向N2表型转换</w:t>
      </w:r>
      <w:r>
        <w:t>或</w:t>
      </w:r>
      <w:r>
        <w:rPr>
          <w:b/>
        </w:rPr>
        <w:t>高效清除了凋亡中性粒细胞</w:t>
      </w:r>
      <w:r>
        <w:t>的互作网络，能够营造一个“促修复”的微环境。N2中性粒细胞通过调节胶质细胞功能，间接促进神经营养因子的释放和血管新生，为功能恢复奠定基础。这样的患者可能在卒中后数周至数月内表现出更好的运动、感觉和语言功能恢复，最终获得更低的mRS评分。</w:t>
      </w:r>
    </w:p>
    <w:p w14:paraId="247D5F39">
      <w:pPr>
        <w:numPr>
          <w:ilvl w:val="-1"/>
          <w:numId w:val="1"/>
        </w:numPr>
        <w:spacing w:after="400" w:line="400" w:lineRule="atLeast"/>
      </w:pPr>
      <w:r>
        <w:rPr>
          <w:b/>
        </w:rPr>
        <w:t>认知障碍（PSCI）：</w:t>
      </w:r>
      <w:r>
        <w:t xml:space="preserve"> </w:t>
      </w:r>
      <w:r>
        <w:rPr>
          <w:b/>
        </w:rPr>
        <w:t>持续的、低水平的慢性神经炎症</w:t>
      </w:r>
      <w:r>
        <w:t>是导致PSCI的关键病理机制之一。如果中性粒细胞（特别是老化的、凋亡抗性的亚群）清除失败，在脑内长期滞留，它们与胶质细胞形成的慢性促炎互作网络会持续损害海马、皮层等认知相关脑区的突触功能和神经元健康。这可能导致患者在卒中后出现记忆力、执行功能和注意力等方面的持续性障碍。</w:t>
      </w:r>
    </w:p>
    <w:p w14:paraId="41DC5C69">
      <w:pPr>
        <w:numPr>
          <w:ilvl w:val="-1"/>
          <w:numId w:val="1"/>
        </w:numPr>
        <w:spacing w:after="400" w:line="400" w:lineRule="atLeast"/>
      </w:pPr>
      <w:r>
        <w:rPr>
          <w:b/>
        </w:rPr>
        <w:t>继发性神经退行性变与卒中后癫痫：</w:t>
      </w:r>
      <w:r>
        <w:t xml:space="preserve"> 慢性神经炎症环境被认为是阿尔茨海默病、帕金森病等神经退行性疾病的风险因素。滞留的中性粒细胞所驱动的慢性炎症网络，可能通过激活与神经退行性变相关的病理通路（如tau蛋白磷酸化、α-突触核蛋白聚集），加速或触发卒中后远期的神经退行性改变。同样，持续的炎症和胶质细胞功能紊乱也可能改变神经元兴奋性，增加卒中后癫痫的发生风险。</w:t>
      </w:r>
    </w:p>
    <w:p w14:paraId="0AE338A6">
      <w:pPr>
        <w:spacing w:after="400" w:line="400" w:lineRule="atLeast"/>
      </w:pPr>
      <w:r>
        <w:rPr>
          <w:b/>
          <w:sz w:val="26"/>
        </w:rPr>
        <w:t>2.3 机制关联预测图</w:t>
      </w:r>
    </w:p>
    <w:p w14:paraId="0921F676">
      <w:pPr>
        <w:spacing w:after="400" w:line="400" w:lineRule="atLeast"/>
      </w:pPr>
      <w:r>
        <w:t>为了系统性地呈现上述预测，特绘制以下机制关联图：</w:t>
      </w:r>
    </w:p>
    <w:p w14:paraId="363A6780">
      <w:pPr>
        <w:spacing w:after="400" w:line="400" w:lineRule="atLeast"/>
      </w:pPr>
      <w:r>
        <w:rPr>
          <w:b/>
        </w:rPr>
        <w:t>(概念图) 中性粒细胞亚群-互作细胞-临床结局关联预测图</w:t>
      </w:r>
    </w:p>
    <w:p w14:paraId="58853EFE">
      <w:r>
        <w:t>graph TD
</w:t>
      </w:r>
    </w:p>
    <w:p w14:paraId="314F7B7C">
      <w:r>
        <w:t xml:space="preserve">    subgraph A [脑缺血事件]
</w:t>
      </w:r>
    </w:p>
    <w:p w14:paraId="40D07E3E">
      <w:r>
        <w:t xml:space="preserve">        direction LR
</w:t>
      </w:r>
    </w:p>
    <w:p w14:paraId="40950E9A">
      <w:r>
        <w:t xml:space="preserve">        A1(缺血/再灌注) --&gt; A2(DAMPs/细胞因子释放)
</w:t>
      </w:r>
    </w:p>
    <w:p w14:paraId="5C4AD5CC">
      <w:r>
        <w:t xml:space="preserve">    end
</w:t>
      </w:r>
    </w:p>
    <w:p w14:paraId="4489AA76">
      <w:r>
        <w:t>
</w:t>
      </w:r>
    </w:p>
    <w:p w14:paraId="606D854A">
      <w:r>
        <w:t xml:space="preserve">    subgraph B [中性粒细胞亚群]
</w:t>
      </w:r>
    </w:p>
    <w:p w14:paraId="05D60585">
      <w:r>
        <w:t xml:space="preserve">        direction TB
</w:t>
      </w:r>
    </w:p>
    <w:p w14:paraId="2C4DC3A3">
      <w:r>
        <w:t xml:space="preserve">        B1("N1样 / NET-forming / 老化中性粒细胞")
</w:t>
      </w:r>
    </w:p>
    <w:p w14:paraId="27E74A0D">
      <w:r>
        <w:t xml:space="preserve">        B2("N2样促修复中性粒细胞")
</w:t>
      </w:r>
    </w:p>
    <w:p w14:paraId="0457E807">
      <w:r>
        <w:t xml:space="preserve">        A2 --&gt; B1
</w:t>
      </w:r>
    </w:p>
    <w:p w14:paraId="1E081B11">
      <w:r>
        <w:t xml:space="preserve">        A2 --&gt; B2
</w:t>
      </w:r>
    </w:p>
    <w:p w14:paraId="423C1AA9">
      <w:r>
        <w:t xml:space="preserve">    end
</w:t>
      </w:r>
    </w:p>
    <w:p w14:paraId="50B6E6CC">
      <w:r>
        <w:t>
</w:t>
      </w:r>
    </w:p>
    <w:p w14:paraId="045470E8">
      <w:r>
        <w:t xml:space="preserve">    subgraph C [脑内细胞互作网络]
</w:t>
      </w:r>
    </w:p>
    <w:p w14:paraId="4030955A">
      <w:r>
        <w:t xml:space="preserve">        direction LR
</w:t>
      </w:r>
    </w:p>
    <w:p w14:paraId="57C3B21C">
      <w:r>
        <w:t xml:space="preserve">        C1(内皮细胞/周细胞)
</w:t>
      </w:r>
    </w:p>
    <w:p w14:paraId="5944146F">
      <w:r>
        <w:t xml:space="preserve">        C2(小胶质细胞/星形胶质细胞)
</w:t>
      </w:r>
    </w:p>
    <w:p w14:paraId="1CF14A6B">
      <w:r>
        <w:t xml:space="preserve">        C3(神经元)
</w:t>
      </w:r>
    </w:p>
    <w:p w14:paraId="12F53492">
      <w:r>
        <w:t xml:space="preserve">    end
</w:t>
      </w:r>
    </w:p>
    <w:p w14:paraId="3C3EDC6F">
      <w:r>
        <w:t>
</w:t>
      </w:r>
    </w:p>
    <w:p w14:paraId="76FE6148">
      <w:r>
        <w:t xml:space="preserve">    subgraph D [短期临床结局]
</w:t>
      </w:r>
    </w:p>
    <w:p w14:paraId="0A749B60">
      <w:r>
        <w:t xml:space="preserve">        direction TB
</w:t>
      </w:r>
    </w:p>
    <w:p w14:paraId="7FDCCD47">
      <w:r>
        <w:t xml:space="preserve">        D1("↑ 梗死体积")
</w:t>
      </w:r>
    </w:p>
    <w:p w14:paraId="2AE10C00">
      <w:r>
        <w:t xml:space="preserve">        D2("↑ 脑水肿 / BBB破坏")
</w:t>
      </w:r>
    </w:p>
    <w:p w14:paraId="587E8630">
      <w:r>
        <w:t xml:space="preserve">        D3("↑ 急性神经功能恶化")
</w:t>
      </w:r>
    </w:p>
    <w:p w14:paraId="576F3DCB">
      <w:r>
        <w:t xml:space="preserve">    end
</w:t>
      </w:r>
    </w:p>
    <w:p w14:paraId="4DCCC7C5">
      <w:r>
        <w:t>
</w:t>
      </w:r>
    </w:p>
    <w:p w14:paraId="4B32E8E9">
      <w:r>
        <w:t xml:space="preserve">    subgraph E [长期临床结局]
</w:t>
      </w:r>
    </w:p>
    <w:p w14:paraId="7DE24BEA">
      <w:r>
        <w:t xml:space="preserve">        direction TB
</w:t>
      </w:r>
    </w:p>
    <w:p w14:paraId="5ACEEA21">
      <w:r>
        <w:t xml:space="preserve">        E1("↓ 神经功能恢复")
</w:t>
      </w:r>
    </w:p>
    <w:p w14:paraId="1CC1F57F">
      <w:r>
        <w:t xml:space="preserve">        E2("↑ 认知障碍 (PSCI)")
</w:t>
      </w:r>
    </w:p>
    <w:p w14:paraId="6C46CC5F">
      <w:r>
        <w:t xml:space="preserve">        E3("↑ 慢性神经炎症")
</w:t>
      </w:r>
    </w:p>
    <w:p w14:paraId="3361C163">
      <w:r>
        <w:t xml:space="preserve">        E4("↑ 继发性神经退行性变")
</w:t>
      </w:r>
    </w:p>
    <w:p w14:paraId="5515746A">
      <w:r>
        <w:t xml:space="preserve">    end
</w:t>
      </w:r>
    </w:p>
    <w:p w14:paraId="4B77DA28">
      <w:r>
        <w:t>
</w:t>
      </w:r>
    </w:p>
    <w:p w14:paraId="301FE229">
      <w:r>
        <w:t xml:space="preserve">    subgraph F [理想的长期结局]
</w:t>
      </w:r>
    </w:p>
    <w:p w14:paraId="66212B4C">
      <w:r>
        <w:t xml:space="preserve">        direction TB
</w:t>
      </w:r>
    </w:p>
    <w:p w14:paraId="40645B3E">
      <w:r>
        <w:t xml:space="preserve">        F1("↑ 神经功能良好恢复")
</w:t>
      </w:r>
    </w:p>
    <w:p w14:paraId="7C7F7FB5">
      <w:r>
        <w:t xml:space="preserve">        F2("↓ 认知障碍风险")
</w:t>
      </w:r>
    </w:p>
    <w:p w14:paraId="08944D1F">
      <w:r>
        <w:t xml:space="preserve">        F3("炎症消退")
</w:t>
      </w:r>
    </w:p>
    <w:p w14:paraId="643664DF">
      <w:r>
        <w:t xml:space="preserve">    end
</w:t>
      </w:r>
    </w:p>
    <w:p w14:paraId="1E113D9D">
      <w:r>
        <w:t>
</w:t>
      </w:r>
    </w:p>
    <w:p w14:paraId="3A30F324">
      <w:r>
        <w:t xml:space="preserve">    B1 -- "释放MMP, ROS, NE, NETs&lt;br&gt;互作分子: ICAM-1, 整合素, TLRs" --&gt; C1 &amp; C2 &amp; C3
</w:t>
      </w:r>
    </w:p>
    <w:p w14:paraId="37275B48">
      <w:r>
        <w:t xml:space="preserve">    C1 -- 破坏 --&gt; D2
</w:t>
      </w:r>
    </w:p>
    <w:p w14:paraId="4145982E">
      <w:r>
        <w:t xml:space="preserve">    C2 -- M1/A1激活, 释放毒性物质 --&gt; C3
</w:t>
      </w:r>
    </w:p>
    <w:p w14:paraId="3CBAAE82">
      <w:r>
        <w:t xml:space="preserve">    C3 -- 损伤/死亡 --&gt; D1 &amp; D3
</w:t>
      </w:r>
    </w:p>
    <w:p w14:paraId="22C3F03C">
      <w:r>
        <w:t xml:space="preserve">    D1 &amp; D2 &amp; D3 --&gt; E1 &amp; E2 &amp; E3 &amp; E4
</w:t>
      </w:r>
    </w:p>
    <w:p w14:paraId="796ED251">
      <w:r>
        <w:t>
</w:t>
      </w:r>
    </w:p>
    <w:p w14:paraId="76392B61">
      <w:r>
        <w:t xml:space="preserve">    B2 -- "释放IL-10, TGF-β, 促修复因子&lt;br&gt;互作分子: IL-10R, TGF-βR" --&gt; C1 &amp; C2 &amp; C3
</w:t>
      </w:r>
    </w:p>
    <w:p w14:paraId="1D7EE6C6">
      <w:r>
        <w:t xml:space="preserve">    C1 -- 修复/稳定 --&gt; F3
</w:t>
      </w:r>
    </w:p>
    <w:p w14:paraId="2D07CCB8">
      <w:r>
        <w:t xml:space="preserve">    C2 -- M2/A2激活, 释放神经营养因子 --&gt; C3
</w:t>
      </w:r>
    </w:p>
    <w:p w14:paraId="17AB45AA">
      <w:r>
        <w:t xml:space="preserve">    C3 -- 保护/修复 --&gt; F1 &amp; F2
</w:t>
      </w:r>
    </w:p>
    <w:p w14:paraId="1E503C3B">
      <w:r>
        <w:t xml:space="preserve">    F1 &amp; F2 &amp; F3 --&gt; E
</w:t>
      </w:r>
    </w:p>
    <w:p w14:paraId="1B006BED">
      <w:r>
        <w:t>
</w:t>
      </w:r>
    </w:p>
    <w:p w14:paraId="36B7BB34">
      <w:r>
        <w:t xml:space="preserve">    style B1 fill:#FFB6C1,stroke:#8B0000,stroke-width:2px
</w:t>
      </w:r>
    </w:p>
    <w:p w14:paraId="2AE68006">
      <w:r>
        <w:t xml:space="preserve">    style B2 fill:#98FB98,stroke:#006400,stroke-width:2px
</w:t>
      </w:r>
    </w:p>
    <w:p w14:paraId="3FE8E87D">
      <w:r>
        <w:t xml:space="preserve">    style D fill:#FFDAB9,stroke:#A0522D,stroke-width:1px
</w:t>
      </w:r>
    </w:p>
    <w:p w14:paraId="0FDD201C">
      <w:r>
        <w:t xml:space="preserve">    style E fill:#F08080,stroke:#8B0000,stroke-width:2px
</w:t>
      </w:r>
    </w:p>
    <w:p w14:paraId="22F3C6BC">
      <w:r>
        <w:t xml:space="preserve">    style F fill:#90EE90,stroke:#006400,stroke-width:2px
</w:t>
      </w:r>
    </w:p>
    <w:p w14:paraId="0DF5A19C">
      <w:pPr>
        <w:spacing w:after="400" w:line="400" w:lineRule="atLeast"/>
      </w:pPr>
      <w:r>
        <w:rPr>
          <w:b/>
        </w:rPr>
        <w:t>图注：</w:t>
      </w:r>
      <w:r>
        <w:t xml:space="preserve"> 该图展示了脑缺血后，不同的中性粒细胞亚群（促炎的B1 vs. 促修复的B2）如何通过与脑内关键细胞（C1, C2, C3）的不同相互作用模式，最终导致截然不同的短期（D）和长期（E/F）临床结局。红色通路代表以损伤为主的病理过程，绿色通路代表以修复和恢复为主的有利过程。</w:t>
      </w:r>
    </w:p>
    <w:p w14:paraId="105FD4B5">
      <w:pPr>
        <w:spacing w:after="400" w:line="400" w:lineRule="atLeast"/>
      </w:pPr>
      <w:r>
        <w:rPr>
          <w:b/>
          <w:sz w:val="30"/>
        </w:rPr>
        <w:t>三、 未来研究方向分析</w:t>
      </w:r>
    </w:p>
    <w:p w14:paraId="5478455C">
      <w:pPr>
        <w:spacing w:after="400" w:line="400" w:lineRule="atLeast"/>
      </w:pPr>
      <w:r>
        <w:t>尽管近十年取得了长足进步，但我们对脑缺血中中性粒细胞的认识仍存在大量“盲区”。未来的研究应在以下几个层面进行战略性布局：</w:t>
      </w:r>
    </w:p>
    <w:p w14:paraId="5E39309D">
      <w:pPr>
        <w:spacing w:after="400" w:line="400" w:lineRule="atLeast"/>
      </w:pPr>
      <w:r>
        <w:rPr>
          <w:b/>
          <w:sz w:val="26"/>
        </w:rPr>
        <w:t>3.1 基础研究层面：深化机制认知，拥抱新技术</w:t>
      </w:r>
    </w:p>
    <w:p w14:paraId="42B78E7D">
      <w:pPr>
        <w:numPr>
          <w:ilvl w:val="0"/>
          <w:numId w:val="2"/>
        </w:numPr>
        <w:spacing w:after="400" w:line="400" w:lineRule="atLeast"/>
      </w:pPr>
      <w:r>
        <w:rPr>
          <w:b/>
        </w:rPr>
        <w:t>揭示中性粒细胞的真实异质性与时空动态：</w:t>
      </w:r>
    </w:p>
    <w:p w14:paraId="6E1399B0">
      <w:pPr>
        <w:numPr>
          <w:ilvl w:val="0"/>
          <w:numId w:val="1"/>
        </w:numPr>
        <w:spacing w:after="400" w:line="400" w:lineRule="atLeast"/>
      </w:pPr>
      <w:r>
        <w:rPr>
          <w:b/>
        </w:rPr>
        <w:t>应用单细胞组学技术：</w:t>
      </w:r>
      <w:r>
        <w:t xml:space="preserve"> 利用单细胞RNA测序（scRNA-seq）、单细胞ATAC-seq以及结合了蛋白质组学的CITE-seq技术，对不同时间点（从超急性期到慢性晚期）、不同脑区（缺血核心、半暗带、对侧等）浸润的中性粒细胞进行无偏见的、高维度的分型。这有助于超越目前相对简化的N1/N2模型，发现全新的、具有特定功能的中性粒细胞亚群，并精确绘制它们在卒中后演变的“时空图谱”。</w:t>
      </w:r>
    </w:p>
    <w:p w14:paraId="5477F3A2">
      <w:pPr>
        <w:numPr>
          <w:ilvl w:val="0"/>
          <w:numId w:val="1"/>
        </w:numPr>
        <w:spacing w:after="400" w:line="400" w:lineRule="atLeast"/>
      </w:pPr>
      <w:r>
        <w:rPr>
          <w:b/>
        </w:rPr>
        <w:t>结合空间转录组学：</w:t>
      </w:r>
      <w:r>
        <w:t xml:space="preserve"> 将单细胞数据与空间转录组学（Spatial Transcriptomics）技术相结合，可以在组织切片的原位上识别不同中性粒细胞亚群，并观察它们与周围特定细胞（如某个状态的星形胶质细胞或小胶质细胞）的物理邻近关系，为研究细胞间直接相互作用提供空间证据。</w:t>
      </w:r>
    </w:p>
    <w:p w14:paraId="00E36841">
      <w:pPr>
        <w:numPr>
          <w:ilvl w:val="0"/>
          <w:numId w:val="2"/>
        </w:numPr>
        <w:spacing w:after="400" w:line="400" w:lineRule="atLeast"/>
      </w:pPr>
      <w:r>
        <w:rPr>
          <w:b/>
        </w:rPr>
        <w:t>阐明与关键脑细胞的直接相互作用机制：</w:t>
      </w:r>
    </w:p>
    <w:p w14:paraId="4CA79837">
      <w:pPr>
        <w:numPr>
          <w:ilvl w:val="0"/>
          <w:numId w:val="1"/>
        </w:numPr>
        <w:spacing w:after="400" w:line="400" w:lineRule="atLeast"/>
      </w:pPr>
      <w:r>
        <w:rPr>
          <w:b/>
        </w:rPr>
        <w:t>靶向研究与周细胞、星形胶质细胞的互作：</w:t>
      </w:r>
      <w:r>
        <w:t xml:space="preserve"> 如前所述，这是当前的重大知识缺口。应建立中性粒细胞与周细胞或星形胶质细胞的体外共培养体系、脑类器官模型（Brain Organoids）或利用双光子显微镜进行活体成像，以鉴定介导其直接接触和信号交流的关键粘附分子、配体-受体对（如，是否存在特定的DAMP-PRR对话？）。</w:t>
      </w:r>
    </w:p>
    <w:p w14:paraId="31F196BD">
      <w:pPr>
        <w:numPr>
          <w:ilvl w:val="0"/>
          <w:numId w:val="1"/>
        </w:numPr>
        <w:spacing w:after="400" w:line="400" w:lineRule="atLeast"/>
      </w:pPr>
      <w:r>
        <w:rPr>
          <w:b/>
        </w:rPr>
        <w:t>深入研究FAK/Src激酶级联通路：</w:t>
      </w:r>
      <w:r>
        <w:t xml:space="preserve"> 尽管整合素信号是中性粒细胞迁移的关键，其下游具体的级联反应，如粘着斑激酶（FAK）和Src家族激酶在介导跨BBB迁移中的精确作用和激活机制仍需阐明 [[63]][[64]]。利用基因敲除小鼠模型或特异性药理学抑制剂，可以深入探究这些激酶在脑缺血特殊环境下的功能。</w:t>
      </w:r>
    </w:p>
    <w:p w14:paraId="02A99A33">
      <w:pPr>
        <w:numPr>
          <w:ilvl w:val="0"/>
          <w:numId w:val="2"/>
        </w:numPr>
        <w:spacing w:after="400" w:line="400" w:lineRule="atLeast"/>
      </w:pPr>
      <w:r>
        <w:rPr>
          <w:b/>
        </w:rPr>
        <w:t>关注“老化”中性粒细胞与慢性炎症：</w:t>
      </w:r>
    </w:p>
    <w:p w14:paraId="4339D5D7">
      <w:pPr>
        <w:numPr>
          <w:ilvl w:val="0"/>
          <w:numId w:val="1"/>
        </w:numPr>
        <w:spacing w:after="400" w:line="400" w:lineRule="atLeast"/>
      </w:pPr>
      <w:r>
        <w:t>明确定义脑缺血背景下的“老化”中性粒细胞。其分子特征（如CXCR4高表达、CD62L低表达、端粒长度）、功能特征（如凋亡抗性、ROS产生能力）及其在卒中后慢性期的具体作用和占比需要被系统研究。这对于理解卒中后慢性炎症和认知功能下降至关重要。</w:t>
      </w:r>
    </w:p>
    <w:p w14:paraId="425CFA70">
      <w:pPr>
        <w:numPr>
          <w:ilvl w:val="0"/>
          <w:numId w:val="2"/>
        </w:numPr>
        <w:spacing w:after="400" w:line="400" w:lineRule="atLeast"/>
      </w:pPr>
      <w:r>
        <w:rPr>
          <w:b/>
        </w:rPr>
        <w:t>解密中性粒细胞的清除机制与炎症消退：</w:t>
      </w:r>
    </w:p>
    <w:p w14:paraId="68F82A08">
      <w:pPr>
        <w:numPr>
          <w:ilvl w:val="0"/>
          <w:numId w:val="1"/>
        </w:numPr>
        <w:spacing w:after="400" w:line="400" w:lineRule="atLeast"/>
      </w:pPr>
      <w:r>
        <w:t>深入研究卒中后脑内小胶质细胞/巨噬细胞对凋亡中性粒细胞的Efferocytosis过程。探究是什么因素导致了这一过程的失调（如吞噬细胞功能耗竭？“别吃我”信号的上调？），以及如何通过干预（如靶向CD47-SIRPα轴）来增强清除效率，从而主动促进炎症消退。</w:t>
      </w:r>
    </w:p>
    <w:p w14:paraId="09538550">
      <w:pPr>
        <w:spacing w:after="400" w:line="400" w:lineRule="atLeast"/>
      </w:pPr>
      <w:r>
        <w:rPr>
          <w:b/>
          <w:sz w:val="26"/>
        </w:rPr>
        <w:t>3.2 转化研究层面：开发新靶点与生物标志物</w:t>
      </w:r>
    </w:p>
    <w:p w14:paraId="7DC3C8E0">
      <w:pPr>
        <w:numPr>
          <w:ilvl w:val="0"/>
          <w:numId w:val="3"/>
        </w:numPr>
        <w:spacing w:after="400" w:line="400" w:lineRule="atLeast"/>
      </w:pPr>
      <w:r>
        <w:rPr>
          <w:b/>
        </w:rPr>
        <w:t>验证和开发靶向中性粒细胞表型转换的药物：</w:t>
      </w:r>
    </w:p>
    <w:p w14:paraId="65894463">
      <w:pPr>
        <w:numPr>
          <w:ilvl w:val="0"/>
          <w:numId w:val="1"/>
        </w:numPr>
        <w:spacing w:after="400" w:line="400" w:lineRule="atLeast"/>
      </w:pPr>
      <w:r>
        <w:rPr>
          <w:b/>
        </w:rPr>
        <w:t>PPAR-γ激动剂的再评估：</w:t>
      </w:r>
      <w:r>
        <w:t xml:space="preserve"> 既然hMSC分泌物通过PPAR-γ通路诱导N2极化显示出巨大潜力 [[65]][[66]][[67]]那么，一些已上市或正在研发的PPAR-γ激动剂（如吡格列酮）在脑卒中治疗中的价值值得重新评估和深入研究，特别是其对中性粒细胞表型的直接影响。</w:t>
      </w:r>
    </w:p>
    <w:p w14:paraId="02F92811">
      <w:pPr>
        <w:numPr>
          <w:ilvl w:val="0"/>
          <w:numId w:val="1"/>
        </w:numPr>
        <w:spacing w:after="400" w:line="400" w:lineRule="atLeast"/>
      </w:pPr>
      <w:r>
        <w:rPr>
          <w:b/>
        </w:rPr>
        <w:t>筛选新的调控分子：</w:t>
      </w:r>
      <w:r>
        <w:t xml:space="preserve"> 利用高通量筛选平台，寻找能够特异性诱导中性粒细胞向N2表型转化或抑制N1表型功能的小分子化合物或生物制剂。</w:t>
      </w:r>
    </w:p>
    <w:p w14:paraId="28194739">
      <w:pPr>
        <w:numPr>
          <w:ilvl w:val="0"/>
          <w:numId w:val="3"/>
        </w:numPr>
        <w:spacing w:after="400" w:line="400" w:lineRule="atLeast"/>
      </w:pPr>
      <w:r>
        <w:rPr>
          <w:b/>
        </w:rPr>
        <w:t>开发用于患者分层和预后预测的生物标志物：</w:t>
      </w:r>
    </w:p>
    <w:p w14:paraId="757F51C9">
      <w:pPr>
        <w:numPr>
          <w:ilvl w:val="0"/>
          <w:numId w:val="1"/>
        </w:numPr>
        <w:spacing w:after="400" w:line="400" w:lineRule="atLeast"/>
      </w:pPr>
      <w:r>
        <w:rPr>
          <w:b/>
        </w:rPr>
        <w:t>外周血中性粒细胞亚群分析：</w:t>
      </w:r>
      <w:r>
        <w:t xml:space="preserve"> 开发多色流式细胞术方案，对卒中患者外周血中的N1/N2样、老化、或表达特定标志物（如CD177, CD15）的中性粒细胞亚群比例进行动态监测。探索这些亚群的比例或变化趋势是否能预测患者的梗死体积、BBB破坏程度、长期功能恢复或PSCI风险。</w:t>
      </w:r>
    </w:p>
    <w:p w14:paraId="5310F270">
      <w:pPr>
        <w:numPr>
          <w:ilvl w:val="0"/>
          <w:numId w:val="1"/>
        </w:numPr>
        <w:spacing w:after="400" w:line="400" w:lineRule="atLeast"/>
      </w:pPr>
      <w:r>
        <w:rPr>
          <w:b/>
        </w:rPr>
        <w:t>寻找血浆中的中性粒细胞来源标志物：</w:t>
      </w:r>
      <w:r>
        <w:t xml:space="preserve"> 检测血浆中MPO、NE、游离的NETs组分（如瓜氨酸化组蛋白H3, cf-DNA）的水平，并结合临床数据，评估其作为急性损伤严重程度和预后不良生物标志物的潜力。</w:t>
      </w:r>
    </w:p>
    <w:p w14:paraId="6733F15A">
      <w:pPr>
        <w:numPr>
          <w:ilvl w:val="0"/>
          <w:numId w:val="3"/>
        </w:numPr>
        <w:spacing w:after="400" w:line="400" w:lineRule="atLeast"/>
      </w:pPr>
      <w:r>
        <w:rPr>
          <w:b/>
        </w:rPr>
        <w:t>优化靶向递送系统：</w:t>
      </w:r>
    </w:p>
    <w:p w14:paraId="22CC6E58">
      <w:pPr>
        <w:numPr>
          <w:ilvl w:val="0"/>
          <w:numId w:val="1"/>
        </w:numPr>
        <w:spacing w:after="400" w:line="400" w:lineRule="atLeast"/>
      </w:pPr>
      <w:r>
        <w:t>进一步开发和优化利用中性粒细胞膜包裹的纳米载体 [[68]]。这种策略利用了中性粒细胞天然的炎症趋向性，能将抗炎或神经保护药物精准递送至缺血区域，实现“以敌攻敌”，提高疗效并减少全身性副作用。</w:t>
      </w:r>
    </w:p>
    <w:p w14:paraId="33C2B52E">
      <w:pPr>
        <w:spacing w:after="400" w:line="400" w:lineRule="atLeast"/>
      </w:pPr>
      <w:r>
        <w:rPr>
          <w:b/>
          <w:sz w:val="26"/>
        </w:rPr>
        <w:t>3.3 临床研究层面：迈向精准化和个体化治疗</w:t>
      </w:r>
    </w:p>
    <w:p w14:paraId="7811396C">
      <w:pPr>
        <w:numPr>
          <w:ilvl w:val="0"/>
          <w:numId w:val="4"/>
        </w:numPr>
        <w:spacing w:after="400" w:line="400" w:lineRule="atLeast"/>
      </w:pPr>
      <w:r>
        <w:rPr>
          <w:b/>
        </w:rPr>
        <w:t>基于生物标志物的患者分层临床试验：</w:t>
      </w:r>
    </w:p>
    <w:p w14:paraId="44D8791E">
      <w:pPr>
        <w:numPr>
          <w:ilvl w:val="0"/>
          <w:numId w:val="1"/>
        </w:numPr>
        <w:spacing w:after="400" w:line="400" w:lineRule="atLeast"/>
      </w:pPr>
      <w:r>
        <w:t>未来的临床试验不应再将所有缺血性卒中患者视为同质群体。可以设计“篮子试验”（Basket Trials），根据外周血中性粒细胞的表型特征（如“高N1/NETosis风险”型 vs. “潜在N2转化”型）将患者分层，然后针对不同亚组测试相应的靶向治疗策略（如对前者使用NETosis抑制剂，对后者使用PPAR-γ激动剂）。</w:t>
      </w:r>
    </w:p>
    <w:p w14:paraId="25BAA9DE">
      <w:pPr>
        <w:numPr>
          <w:ilvl w:val="0"/>
          <w:numId w:val="4"/>
        </w:numPr>
        <w:spacing w:after="400" w:line="400" w:lineRule="atLeast"/>
      </w:pPr>
      <w:r>
        <w:rPr>
          <w:b/>
        </w:rPr>
        <w:t>探索时间窗依赖的治疗策略：</w:t>
      </w:r>
    </w:p>
    <w:p w14:paraId="43EA4B5A">
      <w:pPr>
        <w:numPr>
          <w:ilvl w:val="0"/>
          <w:numId w:val="1"/>
        </w:numPr>
        <w:spacing w:after="400" w:line="400" w:lineRule="atLeast"/>
      </w:pPr>
      <w:r>
        <w:t>中性粒细胞的功能具有显著时序性，因此治疗干预也应有时间依赖性。例如，在超急性期（数小时内），使用抑制中性粒细胞迁移或活化的药物可能获益最大；而在亚急性期（数天后），使用促进其向N2表型转化或增强其清除的药物可能更为合适。需要设计临床研究来验证这种“序贯疗法”或“时相疗法”的有效性。</w:t>
      </w:r>
    </w:p>
    <w:p w14:paraId="5BDB9BA1">
      <w:pPr>
        <w:numPr>
          <w:ilvl w:val="0"/>
          <w:numId w:val="4"/>
        </w:numPr>
        <w:spacing w:after="400" w:line="400" w:lineRule="atLeast"/>
      </w:pPr>
      <w:r>
        <w:rPr>
          <w:b/>
        </w:rPr>
        <w:t>关注特殊人群：</w:t>
      </w:r>
    </w:p>
    <w:p w14:paraId="50E77B8E">
      <w:pPr>
        <w:numPr>
          <w:ilvl w:val="0"/>
          <w:numId w:val="1"/>
        </w:numPr>
        <w:spacing w:after="400" w:line="400" w:lineRule="atLeast"/>
      </w:pPr>
      <w:r>
        <w:t>研究年龄、性别、合并症（如糖尿病、高血压）等因素如何影响中性粒细胞在脑卒中后的反应模式。例如，老年患者的基础中性粒细胞可能就偏向“老化”表型，这或许能解释为何老年患者卒中后预后更差。针对这些特殊人群的病理生理特点，可能需要制定独特的治疗方案。</w:t>
      </w:r>
    </w:p>
    <w:p w14:paraId="4F83D075">
      <w:pPr>
        <w:spacing w:after="400" w:line="400" w:lineRule="atLeast"/>
      </w:pPr>
      <w:r>
        <w:rPr>
          <w:b/>
          <w:sz w:val="30"/>
        </w:rPr>
        <w:t>结论</w:t>
      </w:r>
    </w:p>
    <w:p w14:paraId="1692F96B">
      <w:pPr>
        <w:spacing w:after="400" w:line="400" w:lineRule="atLeast"/>
      </w:pPr>
      <w:r>
        <w:t>中性粒细胞在缺血性脑卒中病理生理进程中的作用远比我们过去想象的要复杂和动态。从急性期的“破坏者”到慢性期潜在的“修复者”或“慢性炎症驱动者”，其功能的双刃剑效应贯穿始终。近十年的研究，特别是关于其表型可塑性（N1/N2极化）和NETosis机制的发现，为我们提供了全新的视角和干预靶点。然而，我们对其中性粒细胞亚群的精确分型、时空动态、与脑内其他细胞的相互作用网络以及其在人体内的真实病程演变，仍知之甚少。</w:t>
      </w:r>
    </w:p>
    <w:p w14:paraId="2026B110">
      <w:pPr>
        <w:spacing w:after="400" w:line="400" w:lineRule="atLeast"/>
      </w:pPr>
      <w:r>
        <w:t>未来的研究必须采用多组学、高分辨率成像等前沿技术，在更深的机制层面揭示中性粒细胞的“黑箱”，并致力于将这些基础发现转化为可用于临床的生物标志物和精准治疗策略。通过靶向调控中性粒细胞这一关键的免疫效应细胞，我们有望打破脑卒中治疗长期以来的瓶颈，为减轻患者的死亡率和残疾率带来新的希望。</w:t>
      </w:r>
    </w:p>
    <w:p w14:paraId="1D5C8099">
      <w:pPr>
        <w:pStyle w:val="3"/>
        <w:spacing w:after="400" w:line="400" w:lineRule="atLeast"/>
      </w:pPr>
      <w:r>
        <w:t>文献来源</w:t>
      </w:r>
    </w:p>
    <w:p w14:paraId="3A8D4B05">
      <w:pPr>
        <w:spacing w:after="200" w:line="400" w:lineRule="atLeast"/>
      </w:pPr>
      <w:r>
        <w:fldChar w:fldCharType="begin"/>
      </w:r>
      <w:r>
        <w:instrText xml:space="preserve"> HYPERLINK "https://s.wanfangdata.com.cn/paper?q=%E7%BC%BA%E8%A1%80%E6%80%A7%E5%8D%92%E4%B8%AD%E6%80%A5%E6%80%A7%E6%9C%9F%E5%A4%96%E5%91%A8%E8%A1%80%E7%99%BD%E7%BB%86%E8%83%9E%E5%8A%A8%E6%80%81%E5%8F%98%E5%8C%96%E8%A7%82%E5%AF%9F" \h </w:instrText>
      </w:r>
      <w:r>
        <w:fldChar w:fldCharType="separate"/>
      </w:r>
      <w:r>
        <w:rPr>
          <w:rStyle w:val="13"/>
          <w:color w:val="0563C1"/>
        </w:rPr>
        <w:t>[35]. 缺血性卒中急性期外周血白细胞动态变化观察</w:t>
      </w:r>
      <w:r>
        <w:rPr>
          <w:rStyle w:val="13"/>
          <w:color w:val="0563C1"/>
        </w:rPr>
        <w:fldChar w:fldCharType="end"/>
      </w:r>
    </w:p>
    <w:p w14:paraId="3AD67075">
      <w:pPr>
        <w:spacing w:after="200" w:line="400" w:lineRule="atLeast"/>
      </w:pPr>
      <w:r>
        <w:fldChar w:fldCharType="begin"/>
      </w:r>
      <w:r>
        <w:instrText xml:space="preserve"> HYPERLINK "https://s.wanfangdata.com.cn/paper?q=%E5%B0%8F%E8%83%B6%E8%B4%A8%E7%BB%86%E8%83%9E%E5%9C%A8%E7%BC%BA%E8%A1%80%E6%80%A7%E8%84%91%E5%8D%92%E4%B8%AD%E5%90%8E%E6%B4%BB%E5%8C%96%E7%89%B9%E7%82%B9%E7%9A%84%E7%A0%94%E7%A9%B6%E8%BF%9B%E5%B1%95" \h </w:instrText>
      </w:r>
      <w:r>
        <w:fldChar w:fldCharType="separate"/>
      </w:r>
      <w:r>
        <w:rPr>
          <w:rStyle w:val="13"/>
          <w:color w:val="0563C1"/>
        </w:rPr>
        <w:t>[36]. 小胶质细胞在缺血性脑卒中后活化特点的研究进展</w:t>
      </w:r>
      <w:r>
        <w:rPr>
          <w:rStyle w:val="13"/>
          <w:color w:val="0563C1"/>
        </w:rPr>
        <w:fldChar w:fldCharType="end"/>
      </w:r>
    </w:p>
    <w:p w14:paraId="1A98D27D">
      <w:pPr>
        <w:spacing w:after="200" w:line="400" w:lineRule="atLeast"/>
      </w:pPr>
      <w:r>
        <w:fldChar w:fldCharType="begin"/>
      </w:r>
      <w:r>
        <w:instrText xml:space="preserve"> HYPERLINK "https://s.wanfangdata.com.cn/paper?q=%E5%AE%9E%E9%AA%8C%E6%80%A7%E8%84%91%E6%8C%AB%E4%BC%A4%E5%90%8E%E7%A5%9E%E7%BB%8F%E5%85%83%E5%92%8C%E6%98%9F%E5%BD%A2%E8%83%B6%E8%B4%A8%E7%BB%86%E8%83%9E%E5%8F%8D%E5%BA%94%E7%9A%84%E6%97%B6%E9%97%B4%E6%80%A7%E5%8F%98%E5%8C%96" \h </w:instrText>
      </w:r>
      <w:r>
        <w:fldChar w:fldCharType="separate"/>
      </w:r>
      <w:r>
        <w:rPr>
          <w:rStyle w:val="13"/>
          <w:color w:val="0563C1"/>
        </w:rPr>
        <w:t>[139]. 实验性脑挫伤后神经元和星形胶质细胞反应的时间性变化</w:t>
      </w:r>
      <w:r>
        <w:rPr>
          <w:rStyle w:val="13"/>
          <w:color w:val="0563C1"/>
        </w:rPr>
        <w:fldChar w:fldCharType="end"/>
      </w:r>
    </w:p>
    <w:p w14:paraId="6552F02F">
      <w:pPr>
        <w:spacing w:after="200" w:line="400" w:lineRule="atLeast"/>
      </w:pPr>
      <w:r>
        <w:fldChar w:fldCharType="begin"/>
      </w:r>
      <w:r>
        <w:instrText xml:space="preserve"> HYPERLINK "https://s.wanfangdata.com.cn/paper?q=%E7%B2%98%E7%9D%80%E6%96%91%E6%BF%80%E9%85%B6" \h </w:instrText>
      </w:r>
      <w:r>
        <w:fldChar w:fldCharType="separate"/>
      </w:r>
      <w:r>
        <w:rPr>
          <w:rStyle w:val="13"/>
          <w:color w:val="0563C1"/>
        </w:rPr>
        <w:t>[155,156]. 粘着斑激酶</w:t>
      </w:r>
      <w:r>
        <w:rPr>
          <w:rStyle w:val="13"/>
          <w:color w:val="0563C1"/>
        </w:rPr>
        <w:fldChar w:fldCharType="end"/>
      </w:r>
    </w:p>
    <w:p w14:paraId="2D87BEC8">
      <w:pPr>
        <w:spacing w:after="200" w:line="400" w:lineRule="atLeast"/>
      </w:pPr>
      <w:r>
        <w:fldChar w:fldCharType="begin"/>
      </w:r>
      <w:r>
        <w:instrText xml:space="preserve"> HYPERLINK "https://s.wanfangdata.com.cn/paper?q=Src%E3%80%81FAK%E5%AF%B9E-cadherin%E5%92%8Cintegrin%E4%BB%8B%E5%AF%BC%E7%9A%84%E4%B8%B2%E8%81%94%E4%BB%A5%E5%8F%8A%E8%82%BF%E7%98%A4%E6%B5%B8%E6%B6%A6%E3%80%81%E8%BD%AC%E7%A7%BB%E7%9A%84%E5%BD%B1%E5%93%8D" \h </w:instrText>
      </w:r>
      <w:r>
        <w:fldChar w:fldCharType="separate"/>
      </w:r>
      <w:r>
        <w:rPr>
          <w:rStyle w:val="13"/>
          <w:color w:val="0563C1"/>
        </w:rPr>
        <w:t>[157,162]. Src、FAK对E-cadherin和integrin介导的串联以及肿瘤浸润、转移的影响</w:t>
      </w:r>
      <w:r>
        <w:rPr>
          <w:rStyle w:val="13"/>
          <w:color w:val="0563C1"/>
        </w:rPr>
        <w:fldChar w:fldCharType="end"/>
      </w:r>
    </w:p>
    <w:p w14:paraId="70C8A64C">
      <w:pPr>
        <w:spacing w:after="400" w:line="400" w:lineRule="atLeast"/>
      </w:pPr>
      <w:r>
        <w:rPr>
          <w:i/>
        </w:rPr>
        <w:t>以下来源未被直接引用</w:t>
      </w:r>
    </w:p>
    <w:p w14:paraId="5B964471">
      <w:pPr>
        <w:spacing w:after="200" w:line="400" w:lineRule="atLeast"/>
      </w:pPr>
      <w:r>
        <w:fldChar w:fldCharType="begin"/>
      </w:r>
      <w:r>
        <w:instrText xml:space="preserve"> HYPERLINK "https://www.cqvip.com/search?k=NK%E7%BB%86%E8%83%9E%E5%9C%A8%E7%BC%BA%E8%A1%80%E6%80%A7%E8%84%91%E5%8D%92%E4%B8%AD%E6%82%A3%E8%80%85%E6%80%A5%E6%80%A7%E6%9C%9F%E5%A4%96%E5%91%A8%E8%A1%80%E4%B8%AD%E5%8A%A8%E6%80%81%E5%8F%98%E5%8C%96%E7%9A%84%E7%9B%B8%E5%85%B3%E4%B8%B4%E5%BA%8A%E5%88%86%E6%9E%90" \h </w:instrText>
      </w:r>
      <w:r>
        <w:fldChar w:fldCharType="separate"/>
      </w:r>
      <w:r>
        <w:rPr>
          <w:rStyle w:val="13"/>
          <w:color w:val="0563C1"/>
        </w:rPr>
        <w:t>NK细胞在缺血性脑卒中患者急性期外周血中动态变化的相关临床分析</w:t>
      </w:r>
      <w:r>
        <w:rPr>
          <w:rStyle w:val="13"/>
          <w:color w:val="0563C1"/>
        </w:rPr>
        <w:fldChar w:fldCharType="end"/>
      </w:r>
    </w:p>
    <w:p w14:paraId="2DA6E3B1">
      <w:pPr>
        <w:spacing w:after="200" w:line="400" w:lineRule="atLeast"/>
      </w:pPr>
      <w:r>
        <w:fldChar w:fldCharType="begin"/>
      </w:r>
      <w:r>
        <w:instrText xml:space="preserve"> HYPERLINK "https://s.wanfangdata.com.cn/paper?q=NKT%E7%BB%86%E8%83%9E%E5%9C%A8%E7%BC%BA%E8%A1%80%E6%80%A7%E8%84%91%E5%8D%92%E4%B8%AD%E6%82%A3%E8%80%85%E6%80%A5%E6%80%A7%E6%9C%9F%E5%A4%96%E5%91%A8%E8%A1%80%E4%B8%AD%E5%8A%A8%E6%80%81%E5%8F%98%E5%8C%96%E7%9A%84%E7%9B%B8%E5%85%B3%E4%B8%B4%E5%BA%8A%E5%88%86%E6%9E%90" \h </w:instrText>
      </w:r>
      <w:r>
        <w:fldChar w:fldCharType="separate"/>
      </w:r>
      <w:r>
        <w:rPr>
          <w:rStyle w:val="13"/>
          <w:color w:val="0563C1"/>
        </w:rPr>
        <w:t>NKT细胞在缺血性脑卒中患者急性期外周血中动态变化的相关临床分析</w:t>
      </w:r>
      <w:r>
        <w:rPr>
          <w:rStyle w:val="13"/>
          <w:color w:val="0563C1"/>
        </w:rPr>
        <w:fldChar w:fldCharType="end"/>
      </w:r>
    </w:p>
    <w:p w14:paraId="463E65FA">
      <w:pPr>
        <w:spacing w:after="200" w:line="400" w:lineRule="atLeast"/>
      </w:pPr>
      <w:r>
        <w:fldChar w:fldCharType="begin"/>
      </w:r>
      <w:r>
        <w:instrText xml:space="preserve"> HYPERLINK "https://s.wanfangdata.com.cn/paper?q=%E5%B0%8F%E8%83%B6%E8%B4%A8%E7%BB%86%E8%83%9E/%E5%B7%A8%E5%99%AC%E7%BB%86%E8%83%9E%E7%9A%84%E6%9E%81%E5%8C%96%E5%8F%8A%E5%9C%A8%E8%84%91%E5%8D%92%E4%B8%AD%E4%BF%AE%E5%A4%8D%E4%B8%AD%E7%9A%84%E4%BD%9C%E7%94%A8" \h </w:instrText>
      </w:r>
      <w:r>
        <w:fldChar w:fldCharType="separate"/>
      </w:r>
      <w:r>
        <w:rPr>
          <w:rStyle w:val="13"/>
          <w:color w:val="0563C1"/>
        </w:rPr>
        <w:t>小胶质细胞/巨噬细胞的极化及在脑卒中修复中的作用</w:t>
      </w:r>
      <w:r>
        <w:rPr>
          <w:rStyle w:val="13"/>
          <w:color w:val="0563C1"/>
        </w:rPr>
        <w:fldChar w:fldCharType="end"/>
      </w:r>
    </w:p>
    <w:p w14:paraId="1EEE9E56">
      <w:pPr>
        <w:pStyle w:val="3"/>
        <w:spacing w:after="400" w:line="400" w:lineRule="atLeast"/>
      </w:pPr>
      <w:r>
        <w:t>其他来源</w:t>
      </w:r>
    </w:p>
    <w:p w14:paraId="076ECF58">
      <w:pPr>
        <w:spacing w:after="200" w:line="400" w:lineRule="atLeast"/>
      </w:pPr>
      <w:r>
        <w:fldChar w:fldCharType="begin"/>
      </w:r>
      <w:r>
        <w:instrText xml:space="preserve"> HYPERLINK "https://ashpublications.org/blood/article/146/24/2993/547472/Interplay-of-procoagulatory-and-neutrophil-derived" \h </w:instrText>
      </w:r>
      <w:r>
        <w:fldChar w:fldCharType="separate"/>
      </w:r>
      <w:r>
        <w:rPr>
          <w:rStyle w:val="13"/>
          <w:color w:val="0563C1"/>
        </w:rPr>
        <w:t>[1,241]. Interplay of procoagulatory and neutrophil-derived anticoagulatory ...</w:t>
      </w:r>
      <w:r>
        <w:rPr>
          <w:rStyle w:val="13"/>
          <w:color w:val="0563C1"/>
        </w:rPr>
        <w:fldChar w:fldCharType="end"/>
      </w:r>
    </w:p>
    <w:p w14:paraId="7900E174">
      <w:pPr>
        <w:spacing w:after="200" w:line="400" w:lineRule="atLeast"/>
      </w:pPr>
      <w:r>
        <w:fldChar w:fldCharType="begin"/>
      </w:r>
      <w:r>
        <w:instrText xml:space="preserve"> HYPERLINK "https://files.metaso.cn/api/public-file/preview?fileName=8686216074299015168.pdf" \h </w:instrText>
      </w:r>
      <w:r>
        <w:fldChar w:fldCharType="separate"/>
      </w:r>
      <w:r>
        <w:rPr>
          <w:rStyle w:val="13"/>
          <w:color w:val="0563C1"/>
        </w:rPr>
        <w:t>[2,3,4,5,6,7,8,9,10,11,12,14,17,19,20,21,29,32,33,34,38,41,42,43,44,45,46,51,52,53,54,56,57,58,59,60,61,62,63,65,71,73,74,77,87,93,95,96,97,98,99,100,101,102,103,104,105,106,107,110,114,116,117,118,120,122,123,124,125,126,127,128,129,130,131,132,133,134,135,136,141,142,143,151,152,164,165,167,169,170,171,172,173,174,175,176,177,180,181,182,187,189,190,191,196,197,198,199,200,201,202,203,204,205,206,207,208,209,210,215,229,231,232,233,234,238,242,243,244,246,248,249,250,251,252,253,254,255,256,257,258,259,260,261,262,263,264,265,266,267,273,282,283,284]. Intranasal delivery of hMSC-derived supernatant for treatment of ischemic stroke by inhibiting the pro-inflammatory polarization of neutrophils</w:t>
      </w:r>
      <w:r>
        <w:rPr>
          <w:rStyle w:val="13"/>
          <w:color w:val="0563C1"/>
        </w:rPr>
        <w:fldChar w:fldCharType="end"/>
      </w:r>
    </w:p>
    <w:p w14:paraId="508DDE76">
      <w:pPr>
        <w:spacing w:after="200" w:line="400" w:lineRule="atLeast"/>
      </w:pPr>
      <w:r>
        <w:fldChar w:fldCharType="begin"/>
      </w:r>
      <w:r>
        <w:instrText xml:space="preserve"> HYPERLINK "https://files.metaso.cn/api/public-file/preview?fileName=8686216188447391744.pdf" \h </w:instrText>
      </w:r>
      <w:r>
        <w:fldChar w:fldCharType="separate"/>
      </w:r>
      <w:r>
        <w:rPr>
          <w:rStyle w:val="13"/>
          <w:color w:val="0563C1"/>
        </w:rPr>
        <w:t>[13,16,37,69,80,112,113,137,144,145,147,186,212,216,222,225,228,237,239,245,247,270,272,275]. Neuroangiogenesis potential of mesenchymal stem cell extracellular vesicles in ischemic stroke conditions</w:t>
      </w:r>
      <w:r>
        <w:rPr>
          <w:rStyle w:val="13"/>
          <w:color w:val="0563C1"/>
        </w:rPr>
        <w:fldChar w:fldCharType="end"/>
      </w:r>
    </w:p>
    <w:p w14:paraId="681A67A9">
      <w:pPr>
        <w:spacing w:after="200" w:line="400" w:lineRule="atLeast"/>
      </w:pPr>
      <w:r>
        <w:fldChar w:fldCharType="begin"/>
      </w:r>
      <w:r>
        <w:instrText xml:space="preserve"> HYPERLINK "https://files.metaso.cn/api/public-file/preview?fileName=8686218188018253824.pdf" \h </w:instrText>
      </w:r>
      <w:r>
        <w:fldChar w:fldCharType="separate"/>
      </w:r>
      <w:r>
        <w:rPr>
          <w:rStyle w:val="13"/>
          <w:color w:val="0563C1"/>
        </w:rPr>
        <w:t>[15,23,25,30,31,39,40,47,48,50,68,72,75,76,78,81,83,85,88,91,115,140,150,166,168,188,192,193,195,220,226,271,277,285]. Emerging Targeted Delivery Strategies of Nanosystems for Ischemic Stroke Treatment</w:t>
      </w:r>
      <w:r>
        <w:rPr>
          <w:rStyle w:val="13"/>
          <w:color w:val="0563C1"/>
        </w:rPr>
        <w:fldChar w:fldCharType="end"/>
      </w:r>
    </w:p>
    <w:p w14:paraId="3C96114B">
      <w:pPr>
        <w:spacing w:after="200" w:line="400" w:lineRule="atLeast"/>
      </w:pPr>
      <w:r>
        <w:fldChar w:fldCharType="begin"/>
      </w:r>
      <w:r>
        <w:instrText xml:space="preserve"> HYPERLINK "https://files.metaso.cn/api/public-file/preview?fileName=8686558637208092672.pdf" \h </w:instrText>
      </w:r>
      <w:r>
        <w:fldChar w:fldCharType="separate"/>
      </w:r>
      <w:r>
        <w:rPr>
          <w:rStyle w:val="13"/>
          <w:color w:val="0563C1"/>
        </w:rPr>
        <w:t>[18,28,49,55,66,70,86,94,108,111,138,149,178,183,194,217,227,230,236,240,268,276,278]. Nanoparticle-Mediated Nose-to-Brain Delivery for Ischemic Stroke Therapy: Preclinical Insights</w:t>
      </w:r>
      <w:r>
        <w:rPr>
          <w:rStyle w:val="13"/>
          <w:color w:val="0563C1"/>
        </w:rPr>
        <w:fldChar w:fldCharType="end"/>
      </w:r>
    </w:p>
    <w:p w14:paraId="2CCD460B">
      <w:pPr>
        <w:spacing w:after="200" w:line="400" w:lineRule="atLeast"/>
      </w:pPr>
      <w:r>
        <w:fldChar w:fldCharType="begin"/>
      </w:r>
      <w:r>
        <w:instrText xml:space="preserve"> HYPERLINK "https://files.metaso.cn/api/public-file/preview?fileName=8686213928681308160.pdf" \h </w:instrText>
      </w:r>
      <w:r>
        <w:fldChar w:fldCharType="separate"/>
      </w:r>
      <w:r>
        <w:rPr>
          <w:rStyle w:val="13"/>
          <w:color w:val="0563C1"/>
        </w:rPr>
        <w:t>[22,24,26,27,64,67,121,213,214,235]. hUMSC-Exosomes suppress TREM1-p38 MAPK signaling via HMGB1-dependent mechanisms to reprogram microglial function and promote neuroprotection in ischemic stroke</w:t>
      </w:r>
      <w:r>
        <w:rPr>
          <w:rStyle w:val="13"/>
          <w:color w:val="0563C1"/>
        </w:rPr>
        <w:fldChar w:fldCharType="end"/>
      </w:r>
    </w:p>
    <w:p w14:paraId="654E580C">
      <w:pPr>
        <w:spacing w:after="200" w:line="400" w:lineRule="atLeast"/>
      </w:pPr>
      <w:r>
        <w:fldChar w:fldCharType="begin"/>
      </w:r>
      <w:r>
        <w:instrText xml:space="preserve"> HYPERLINK "https://files.metaso.cn/api/public-file/preview?fileName=8688563905412595712.pdf" \h </w:instrText>
      </w:r>
      <w:r>
        <w:fldChar w:fldCharType="separate"/>
      </w:r>
      <w:r>
        <w:rPr>
          <w:rStyle w:val="13"/>
          <w:color w:val="0563C1"/>
        </w:rPr>
        <w:t>[79,82,84,89,90,92,218,219,221,223,224]. Consequences of innate immune activation</w:t>
      </w:r>
      <w:r>
        <w:rPr>
          <w:rStyle w:val="13"/>
          <w:color w:val="0563C1"/>
        </w:rPr>
        <w:fldChar w:fldCharType="end"/>
      </w:r>
    </w:p>
    <w:p w14:paraId="32FED9AE">
      <w:pPr>
        <w:spacing w:after="200" w:line="400" w:lineRule="atLeast"/>
      </w:pPr>
      <w:r>
        <w:fldChar w:fldCharType="begin"/>
      </w:r>
      <w:r>
        <w:instrText xml:space="preserve"> HYPERLINK "https://connect.biorxiv.org/archive/" \h </w:instrText>
      </w:r>
      <w:r>
        <w:fldChar w:fldCharType="separate"/>
      </w:r>
      <w:r>
        <w:rPr>
          <w:rStyle w:val="13"/>
          <w:color w:val="0563C1"/>
        </w:rPr>
        <w:t>[109,274]. Archive, 2025-12 - biorXiv Feeds</w:t>
      </w:r>
      <w:r>
        <w:rPr>
          <w:rStyle w:val="13"/>
          <w:color w:val="0563C1"/>
        </w:rPr>
        <w:fldChar w:fldCharType="end"/>
      </w:r>
    </w:p>
    <w:p w14:paraId="7B9A8EC6">
      <w:pPr>
        <w:spacing w:after="200" w:line="400" w:lineRule="atLeast"/>
      </w:pPr>
      <w:r>
        <w:fldChar w:fldCharType="begin"/>
      </w:r>
      <w:r>
        <w:instrText xml:space="preserve"> HYPERLINK "https://files.metaso.cn/api/public-file/preview?fileName=8672079667833544704.pdf" \h </w:instrText>
      </w:r>
      <w:r>
        <w:fldChar w:fldCharType="separate"/>
      </w:r>
      <w:r>
        <w:rPr>
          <w:rStyle w:val="13"/>
          <w:color w:val="0563C1"/>
        </w:rPr>
        <w:t>[119,153,154,158,159,160,161,280,281]. Tissue Engineering: Engineering Principles for the Design of Replacement Organs and Tissues</w:t>
      </w:r>
      <w:r>
        <w:rPr>
          <w:rStyle w:val="13"/>
          <w:color w:val="0563C1"/>
        </w:rPr>
        <w:fldChar w:fldCharType="end"/>
      </w:r>
    </w:p>
    <w:p w14:paraId="325DBDB4">
      <w:pPr>
        <w:spacing w:after="200" w:line="400" w:lineRule="atLeast"/>
      </w:pPr>
      <w:r>
        <w:fldChar w:fldCharType="begin"/>
      </w:r>
      <w:r>
        <w:instrText xml:space="preserve"> HYPERLINK "https://files.metaso.cn/api/public-file/preview?fileName=8686217963432677376.pdf" \h </w:instrText>
      </w:r>
      <w:r>
        <w:fldChar w:fldCharType="separate"/>
      </w:r>
      <w:r>
        <w:rPr>
          <w:rStyle w:val="13"/>
          <w:color w:val="0563C1"/>
        </w:rPr>
        <w:t>[146,148]. Human-induced pluripotent stem cell–derived neural stem cell exosomes improve blood–brain barrier function after intracerebral hemorrhage by activating astrocytes via PI3K/AKT/MCP-1 axis</w:t>
      </w:r>
      <w:r>
        <w:rPr>
          <w:rStyle w:val="13"/>
          <w:color w:val="0563C1"/>
        </w:rPr>
        <w:fldChar w:fldCharType="end"/>
      </w:r>
    </w:p>
    <w:p w14:paraId="7FF5C4F9">
      <w:pPr>
        <w:spacing w:after="200" w:line="400" w:lineRule="atLeast"/>
      </w:pPr>
      <w:r>
        <w:fldChar w:fldCharType="begin"/>
      </w:r>
      <w:r>
        <w:instrText xml:space="preserve"> HYPERLINK "https://files.metaso.cn/api/public-file/preview?fileName=8686215978675703808.pdf" \h </w:instrText>
      </w:r>
      <w:r>
        <w:fldChar w:fldCharType="separate"/>
      </w:r>
      <w:r>
        <w:rPr>
          <w:rStyle w:val="13"/>
          <w:color w:val="0563C1"/>
        </w:rPr>
        <w:t>[163]. Human umbilical cord mesenchymal stem cell-derived exosomes prevent and alleviate experimental pulmonary fibrosis by modulating the cytoskeleton of macrophages</w:t>
      </w:r>
      <w:r>
        <w:rPr>
          <w:rStyle w:val="13"/>
          <w:color w:val="0563C1"/>
        </w:rPr>
        <w:fldChar w:fldCharType="end"/>
      </w:r>
    </w:p>
    <w:p w14:paraId="1C06DFFF">
      <w:pPr>
        <w:spacing w:after="200" w:line="400" w:lineRule="atLeast"/>
      </w:pPr>
      <w:r>
        <w:fldChar w:fldCharType="begin"/>
      </w:r>
      <w:r>
        <w:instrText xml:space="preserve"> HYPERLINK "https://files.metaso.cn/api/public-file/preview?fileName=8686216213439156224.pdf" \h </w:instrText>
      </w:r>
      <w:r>
        <w:fldChar w:fldCharType="separate"/>
      </w:r>
      <w:r>
        <w:rPr>
          <w:rStyle w:val="13"/>
          <w:color w:val="0563C1"/>
        </w:rPr>
        <w:t>[179,269]. Optimizing Stem Cell Therapy after Ischemic Brain Injury</w:t>
      </w:r>
      <w:r>
        <w:rPr>
          <w:rStyle w:val="13"/>
          <w:color w:val="0563C1"/>
        </w:rPr>
        <w:fldChar w:fldCharType="end"/>
      </w:r>
    </w:p>
    <w:p w14:paraId="4AB3DD1D">
      <w:pPr>
        <w:spacing w:after="200" w:line="400" w:lineRule="atLeast"/>
      </w:pPr>
      <w:r>
        <w:fldChar w:fldCharType="begin"/>
      </w:r>
      <w:r>
        <w:instrText xml:space="preserve"> HYPERLINK "https://files.metaso.cn/api/public-file/preview?fileName=8683096172235751424.pdf" \h </w:instrText>
      </w:r>
      <w:r>
        <w:fldChar w:fldCharType="separate"/>
      </w:r>
      <w:r>
        <w:rPr>
          <w:rStyle w:val="13"/>
          <w:color w:val="0563C1"/>
        </w:rPr>
        <w:t>[184,279]. Braunwald’s Heart Disease, A Textbook of Cardiovascular Medicine</w:t>
      </w:r>
      <w:r>
        <w:rPr>
          <w:rStyle w:val="13"/>
          <w:color w:val="0563C1"/>
        </w:rPr>
        <w:fldChar w:fldCharType="end"/>
      </w:r>
    </w:p>
    <w:p w14:paraId="1D5CD157">
      <w:pPr>
        <w:spacing w:after="200" w:line="400" w:lineRule="atLeast"/>
      </w:pPr>
      <w:r>
        <w:fldChar w:fldCharType="begin"/>
      </w:r>
      <w:r>
        <w:instrText xml:space="preserve"> HYPERLINK "https://files.metaso.cn/api/public-file/preview?fileName=8688747856671674368.pdf" \h </w:instrText>
      </w:r>
      <w:r>
        <w:fldChar w:fldCharType="separate"/>
      </w:r>
      <w:r>
        <w:rPr>
          <w:rStyle w:val="13"/>
          <w:color w:val="0563C1"/>
        </w:rPr>
        <w:t>[185]. Respiratory Critical Care</w:t>
      </w:r>
      <w:r>
        <w:rPr>
          <w:rStyle w:val="13"/>
          <w:color w:val="0563C1"/>
        </w:rPr>
        <w:fldChar w:fldCharType="end"/>
      </w:r>
    </w:p>
    <w:p w14:paraId="7B6C4D3A">
      <w:pPr>
        <w:spacing w:after="200" w:line="400" w:lineRule="atLeast"/>
      </w:pPr>
      <w:r>
        <w:fldChar w:fldCharType="begin"/>
      </w:r>
      <w:r>
        <w:instrText xml:space="preserve"> HYPERLINK "https://files.metaso.cn/api/public-file/preview?fileName=8686217053062135809.pdf" \h </w:instrText>
      </w:r>
      <w:r>
        <w:fldChar w:fldCharType="separate"/>
      </w:r>
      <w:r>
        <w:rPr>
          <w:rStyle w:val="13"/>
          <w:color w:val="0563C1"/>
        </w:rPr>
        <w:t>[211]. Mesenchymal Stem Cell (MSC)-Derived Extracellular Vesicles Protect from Neonatal Stroke by Interacting with Microglial Cells</w:t>
      </w:r>
      <w:r>
        <w:rPr>
          <w:rStyle w:val="13"/>
          <w:color w:val="0563C1"/>
        </w:rPr>
        <w:fldChar w:fldCharType="end"/>
      </w:r>
    </w:p>
    <w:p w14:paraId="6C62E726">
      <w:pPr>
        <w:spacing w:after="400" w:line="400" w:lineRule="atLeast"/>
      </w:pPr>
      <w:r>
        <w:rPr>
          <w:i/>
        </w:rPr>
        <w:t>以下来源未被直接引用</w:t>
      </w:r>
    </w:p>
    <w:p w14:paraId="4C9493B8">
      <w:pPr>
        <w:spacing w:after="200" w:line="400" w:lineRule="atLeast"/>
      </w:pPr>
      <w:r>
        <w:fldChar w:fldCharType="begin"/>
      </w:r>
      <w:r>
        <w:instrText xml:space="preserve"> HYPERLINK "https://files.metaso.cn/api/public-file/preview?fileName=8683507140146143232.pdf" \h </w:instrText>
      </w:r>
      <w:r>
        <w:fldChar w:fldCharType="separate"/>
      </w:r>
      <w:r>
        <w:rPr>
          <w:rStyle w:val="13"/>
          <w:color w:val="0563C1"/>
        </w:rPr>
        <w:t>Neurovascular Surgery</w:t>
      </w:r>
      <w:r>
        <w:rPr>
          <w:rStyle w:val="13"/>
          <w:color w:val="0563C1"/>
        </w:rPr>
        <w:fldChar w:fldCharType="end"/>
      </w:r>
    </w:p>
    <w:p w14:paraId="1E03120A">
      <w:pPr>
        <w:spacing w:after="200" w:line="400" w:lineRule="atLeast"/>
      </w:pPr>
      <w:r>
        <w:fldChar w:fldCharType="begin"/>
      </w:r>
      <w:r>
        <w:instrText xml:space="preserve"> HYPERLINK "https://files.metaso.cn/api/public-file/preview?fileName=8688747020545691648.pdf" \h </w:instrText>
      </w:r>
      <w:r>
        <w:fldChar w:fldCharType="separate"/>
      </w:r>
      <w:r>
        <w:rPr>
          <w:rStyle w:val="13"/>
          <w:color w:val="0563C1"/>
        </w:rPr>
        <w:t>Approach to the Patient with Cancer</w:t>
      </w:r>
      <w:r>
        <w:rPr>
          <w:rStyle w:val="13"/>
          <w:color w:val="0563C1"/>
        </w:rPr>
        <w:fldChar w:fldCharType="end"/>
      </w: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21A6C8"/>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D8E442">
    <w:pPr>
      <w:jc w:val="right"/>
    </w:pPr>
  </w:p>
  <w:p w14:paraId="5BF52D5E">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05925"/>
    <w:multiLevelType w:val="multilevel"/>
    <w:tmpl w:val="BF205925"/>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
    <w:nsid w:val="CF092B84"/>
    <w:multiLevelType w:val="multilevel"/>
    <w:tmpl w:val="CF092B84"/>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2">
    <w:nsid w:val="0053208E"/>
    <w:multiLevelType w:val="multilevel"/>
    <w:tmpl w:val="0053208E"/>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abstractNum w:abstractNumId="3">
    <w:nsid w:val="59ADCABA"/>
    <w:multiLevelType w:val="multilevel"/>
    <w:tmpl w:val="59ADCABA"/>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5C5F10DA"/>
    <w:rsid w:val="7C0D2D8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qFormat/>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qFormat/>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qFormat/>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18</Pages>
  <Words>10313</Words>
  <Characters>15057</Characters>
  <TotalTime>1</TotalTime>
  <ScaleCrop>false</ScaleCrop>
  <LinksUpToDate>false</LinksUpToDate>
  <CharactersWithSpaces>15897</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2025-12-25T07:34:00Z</dcterms:created>
  <dc:creator>86188</dc:creator>
  <cp:lastModifiedBy>dyx</cp:lastModifiedBy>
  <dcterms:modified xsi:type="dcterms:W3CDTF">2026-01-04T17:21:29Z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ProducerID":"Metasota_docx_6933e6dabe072a1f63bd1a1f_1_79105c56-24c3-4b49-919c-408735194a22","Lable":"1","ReservedCode1":"66b3357402f9fdf50f5b7b65a1ae3a65","ReservedCode2":"66b3357402f9fdf50f5b7b65a1ae3a65","PropagateID":"Metasota_docx_6933e6dabe072a1f63bd1a1f_1_79105c56-24c3-4b49-919c-408735194a22","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41B6E5599CAA4252B7365C7EC66B20F5_12</vt:lpwstr>
  </property>
</Properties>
</file>