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1DE48">
      <w:pPr>
        <w:spacing w:before="157" w:after="157" w:line="270" w:lineRule="auto"/>
        <w:jc w:val="left"/>
      </w:pPr>
      <w:bookmarkStart w:id="130" w:name="_GoBack"/>
      <w:bookmarkEnd w:id="130"/>
      <w:bookmarkStart w:id="0" w:name="脑缺血背景下的中性粒细胞_功能多样性_细胞相互作用与临床结局预测的综合学术综述"/>
      <w:r>
        <w:rPr>
          <w:rFonts w:ascii="inter" w:hAnsi="inter" w:eastAsia="inter" w:cs="inter"/>
          <w:b/>
          <w:color w:val="000000"/>
          <w:sz w:val="39"/>
        </w:rPr>
        <w:t>脑缺血背景下的中性粒细胞：功能多样性、细胞相互作用与临床结局预测的综合学术综述</w:t>
      </w:r>
      <w:bookmarkEnd w:id="0"/>
    </w:p>
    <w:p w14:paraId="53E4E0F5">
      <w:pPr>
        <w:spacing w:before="315" w:after="105" w:line="360" w:lineRule="auto"/>
        <w:ind w:left="-30"/>
        <w:jc w:val="left"/>
      </w:pPr>
      <w:bookmarkStart w:id="1" w:name="执行摘要"/>
      <w:r>
        <w:rPr>
          <w:rFonts w:ascii="inter" w:hAnsi="inter" w:eastAsia="inter" w:cs="inter"/>
          <w:b/>
          <w:color w:val="000000"/>
          <w:sz w:val="24"/>
        </w:rPr>
        <w:t>执行摘要</w:t>
      </w:r>
      <w:bookmarkEnd w:id="1"/>
    </w:p>
    <w:p w14:paraId="47773F73">
      <w:pPr>
        <w:spacing w:after="210" w:line="360" w:lineRule="auto"/>
      </w:pPr>
      <w:r>
        <w:rPr>
          <w:rFonts w:ascii="inter" w:hAnsi="inter" w:eastAsia="inter" w:cs="inter"/>
          <w:color w:val="000000"/>
        </w:rPr>
        <w:t>脑缺血后中性粒细胞的作用呈现显著的</w:t>
      </w:r>
      <w:r>
        <w:rPr>
          <w:rFonts w:ascii="inter" w:hAnsi="inter" w:eastAsia="inter" w:cs="inter"/>
          <w:b/>
          <w:color w:val="000000"/>
        </w:rPr>
        <w:t>时间依赖性和功能异质性</w:t>
      </w:r>
      <w:r>
        <w:rPr>
          <w:rFonts w:ascii="inter" w:hAnsi="inter" w:eastAsia="inter" w:cs="inter"/>
          <w:color w:val="000000"/>
        </w:rPr>
        <w:t>特征。本综述对近5-10年来脑缺血中性粒细胞的研究进展进行了系统整合，明确区分了急性期（数小时至3天）和慢性期（3天至数周/月）中性粒细胞的功能演变、表型转换和细胞间相互作用。关键发现包括：（1）N1样促炎中性粒细胞在急性期占绝对优势，通过中性粒细胞胞外陷阱（NETs）、蛋白酶和活性氧（ROS）驱动血脑屏障破坏、血栓形成和神经毒性；（2）以N1/N2比率&gt;3为标志的初始激活程度预示短期预后不良，而N2表型的快速上升（3-7天内）与功能恢复良好相关；（3）中性粒细胞与小胶质细胞、星形胶质细胞、内皮细胞、周细胞和神经元形成复杂的细胞间互作网络，其平衡与否决定了短期功能预后和长期认知功能；（4）基于生物标志物的患者分层（如NLR、H3Cit、CAMP）和时间窗口特异的干预（急性期NETs抑制vs慢性期N2诱导）提供了个性化治疗的新思路。</w:t>
      </w:r>
    </w:p>
    <w:p w14:paraId="593523BD">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1020B6EB">
      <w:pPr>
        <w:spacing w:before="315" w:after="105" w:line="360" w:lineRule="auto"/>
        <w:ind w:left="-30"/>
        <w:jc w:val="left"/>
      </w:pPr>
      <w:bookmarkStart w:id="2" w:name="一_研究成果整合_急慢性期中性粒细胞的功能_表型与演变"/>
      <w:r>
        <w:rPr>
          <w:rFonts w:ascii="inter" w:hAnsi="inter" w:eastAsia="inter" w:cs="inter"/>
          <w:b/>
          <w:color w:val="000000"/>
          <w:sz w:val="24"/>
        </w:rPr>
        <w:t>一、研究成果整合：急慢性期中性粒细胞的功能、表型与演变</w:t>
      </w:r>
      <w:bookmarkEnd w:id="2"/>
    </w:p>
    <w:p w14:paraId="33903AAE">
      <w:pPr>
        <w:spacing w:before="315" w:after="105" w:line="360" w:lineRule="auto"/>
        <w:ind w:left="-30"/>
        <w:jc w:val="left"/>
      </w:pPr>
      <w:bookmarkStart w:id="3" w:name="一_脑缺血急性期中性粒细胞_发病后数小时至3天"/>
      <w:r>
        <w:rPr>
          <w:rFonts w:ascii="inter" w:hAnsi="inter" w:eastAsia="inter" w:cs="inter"/>
          <w:b/>
          <w:color w:val="000000"/>
          <w:sz w:val="24"/>
        </w:rPr>
        <w:t>（一）脑缺血急性期中性粒细胞（发病后数小时至3天）</w:t>
      </w:r>
      <w:bookmarkEnd w:id="3"/>
    </w:p>
    <w:p w14:paraId="06DEC995">
      <w:pPr>
        <w:spacing w:before="315" w:after="105" w:line="360" w:lineRule="auto"/>
        <w:ind w:left="-30"/>
        <w:jc w:val="left"/>
      </w:pPr>
      <w:bookmarkStart w:id="4" w:name="bm_1_功能与表型变化"/>
      <w:r>
        <w:rPr>
          <w:rFonts w:ascii="inter" w:hAnsi="inter" w:eastAsia="inter" w:cs="inter"/>
          <w:b/>
          <w:color w:val="000000"/>
          <w:sz w:val="24"/>
        </w:rPr>
        <w:t>1. 功能与表型变化</w:t>
      </w:r>
      <w:r>
        <w:fldChar w:fldCharType="begin"/>
      </w:r>
      <w:r>
        <w:instrText xml:space="preserve"> HYPERLINK \l "fn1" \h </w:instrText>
      </w:r>
      <w:r>
        <w:fldChar w:fldCharType="separate"/>
      </w:r>
      <w:r>
        <w:rPr>
          <w:rFonts w:ascii="inter" w:hAnsi="inter" w:eastAsia="inter" w:cs="inter"/>
          <w:b/>
          <w:color w:val="000000"/>
          <w:sz w:val="24"/>
          <w:u w:val="single"/>
          <w:vertAlign w:val="superscript"/>
        </w:rPr>
        <w:t>[1]</w:t>
      </w:r>
      <w:r>
        <w:rPr>
          <w:rFonts w:ascii="inter" w:hAnsi="inter" w:eastAsia="inter" w:cs="inter"/>
          <w:b/>
          <w:color w:val="000000"/>
          <w:sz w:val="24"/>
          <w:u w:val="single"/>
          <w:vertAlign w:val="superscript"/>
        </w:rPr>
        <w:fldChar w:fldCharType="end"/>
      </w:r>
      <w:r>
        <w:fldChar w:fldCharType="begin"/>
      </w:r>
      <w:r>
        <w:instrText xml:space="preserve"> HYPERLINK \l "fn2" \h </w:instrText>
      </w:r>
      <w:r>
        <w:fldChar w:fldCharType="separate"/>
      </w:r>
      <w:r>
        <w:rPr>
          <w:rFonts w:ascii="inter" w:hAnsi="inter" w:eastAsia="inter" w:cs="inter"/>
          <w:b/>
          <w:color w:val="000000"/>
          <w:sz w:val="24"/>
          <w:u w:val="single"/>
          <w:vertAlign w:val="superscript"/>
        </w:rPr>
        <w:t>[2]</w:t>
      </w:r>
      <w:r>
        <w:rPr>
          <w:rFonts w:ascii="inter" w:hAnsi="inter" w:eastAsia="inter" w:cs="inter"/>
          <w:b/>
          <w:color w:val="000000"/>
          <w:sz w:val="24"/>
          <w:u w:val="single"/>
          <w:vertAlign w:val="superscript"/>
        </w:rPr>
        <w:fldChar w:fldCharType="end"/>
      </w:r>
      <w:r>
        <w:fldChar w:fldCharType="begin"/>
      </w:r>
      <w:r>
        <w:instrText xml:space="preserve"> HYPERLINK \l "fn3" \h </w:instrText>
      </w:r>
      <w:r>
        <w:fldChar w:fldCharType="separate"/>
      </w:r>
      <w:r>
        <w:rPr>
          <w:rFonts w:ascii="inter" w:hAnsi="inter" w:eastAsia="inter" w:cs="inter"/>
          <w:b/>
          <w:color w:val="000000"/>
          <w:sz w:val="24"/>
          <w:u w:val="single"/>
          <w:vertAlign w:val="superscript"/>
        </w:rPr>
        <w:t>[3]</w:t>
      </w:r>
      <w:r>
        <w:rPr>
          <w:rFonts w:ascii="inter" w:hAnsi="inter" w:eastAsia="inter" w:cs="inter"/>
          <w:b/>
          <w:color w:val="000000"/>
          <w:sz w:val="24"/>
          <w:u w:val="single"/>
          <w:vertAlign w:val="superscript"/>
        </w:rPr>
        <w:fldChar w:fldCharType="end"/>
      </w:r>
      <w:r>
        <w:fldChar w:fldCharType="begin"/>
      </w:r>
      <w:r>
        <w:instrText xml:space="preserve"> HYPERLINK \l "fn4" \h </w:instrText>
      </w:r>
      <w:r>
        <w:fldChar w:fldCharType="separate"/>
      </w:r>
      <w:r>
        <w:rPr>
          <w:rFonts w:ascii="inter" w:hAnsi="inter" w:eastAsia="inter" w:cs="inter"/>
          <w:b/>
          <w:color w:val="000000"/>
          <w:sz w:val="24"/>
          <w:u w:val="single"/>
          <w:vertAlign w:val="superscript"/>
        </w:rPr>
        <w:t>[4]</w:t>
      </w:r>
      <w:r>
        <w:rPr>
          <w:rFonts w:ascii="inter" w:hAnsi="inter" w:eastAsia="inter" w:cs="inter"/>
          <w:b/>
          <w:color w:val="000000"/>
          <w:sz w:val="24"/>
          <w:u w:val="single"/>
          <w:vertAlign w:val="superscript"/>
        </w:rPr>
        <w:fldChar w:fldCharType="end"/>
      </w:r>
      <w:bookmarkEnd w:id="4"/>
    </w:p>
    <w:p w14:paraId="39EC9214">
      <w:pPr>
        <w:spacing w:after="210" w:line="360" w:lineRule="auto"/>
      </w:pPr>
      <w:r>
        <w:rPr>
          <w:rFonts w:ascii="inter" w:hAnsi="inter" w:eastAsia="inter" w:cs="inter"/>
          <w:color w:val="000000"/>
        </w:rPr>
        <w:t>脑缺血急性期中性粒细胞表现为</w:t>
      </w:r>
      <w:r>
        <w:rPr>
          <w:rFonts w:ascii="inter" w:hAnsi="inter" w:eastAsia="inter" w:cs="inter"/>
          <w:b/>
          <w:color w:val="000000"/>
        </w:rPr>
        <w:t>高度活化的促炎表型（N1样表型）</w:t>
      </w:r>
      <w:r>
        <w:rPr>
          <w:rFonts w:ascii="inter" w:hAnsi="inter" w:eastAsia="inter" w:cs="inter"/>
          <w:color w:val="000000"/>
        </w:rPr>
        <w:t>，其特征为：</w:t>
      </w:r>
    </w:p>
    <w:p w14:paraId="352E4B19">
      <w:pPr>
        <w:spacing w:after="210" w:line="360" w:lineRule="auto"/>
      </w:pPr>
      <w:r>
        <w:rPr>
          <w:rFonts w:ascii="inter" w:hAnsi="inter" w:eastAsia="inter" w:cs="inter"/>
          <w:b/>
          <w:color w:val="000000"/>
        </w:rPr>
        <w:t>迁移与激活</w:t>
      </w:r>
      <w:r>
        <w:rPr>
          <w:rFonts w:ascii="inter" w:hAnsi="inter" w:eastAsia="inter" w:cs="inter"/>
          <w:color w:val="000000"/>
        </w:rPr>
        <w:t>：</w:t>
      </w:r>
    </w:p>
    <w:p w14:paraId="65E25BC2">
      <w:pPr>
        <w:numPr>
          <w:ilvl w:val="0"/>
          <w:numId w:val="1"/>
        </w:numPr>
        <w:spacing w:before="105" w:after="105" w:line="360" w:lineRule="auto"/>
      </w:pPr>
      <w:r>
        <w:rPr>
          <w:rFonts w:ascii="inter" w:hAnsi="inter" w:eastAsia="inter" w:cs="inter"/>
          <w:color w:val="000000"/>
          <w:sz w:val="21"/>
        </w:rPr>
        <w:t>缺血-再灌注刺激触发脊髓交感神经系统（SNS）和下丘脑-垂体-肾上腺轴（HPA）的迅速激活，导致骨髓中性粒细胞大规模动员</w:t>
      </w:r>
    </w:p>
    <w:p w14:paraId="366DCD9E">
      <w:pPr>
        <w:numPr>
          <w:ilvl w:val="0"/>
          <w:numId w:val="1"/>
        </w:numPr>
        <w:spacing w:before="105" w:after="105" w:line="360" w:lineRule="auto"/>
      </w:pPr>
      <w:r>
        <w:rPr>
          <w:rFonts w:ascii="inter" w:hAnsi="inter" w:eastAsia="inter" w:cs="inter"/>
          <w:color w:val="000000"/>
          <w:sz w:val="21"/>
        </w:rPr>
        <w:t>6-12小时内，脾脏动员达峰值；12-24小时后血液中循环中性粒细胞计数峰值出现，与脑梗死体积和临床严重程度呈正相关</w:t>
      </w:r>
    </w:p>
    <w:p w14:paraId="2DAEF6B0">
      <w:pPr>
        <w:numPr>
          <w:ilvl w:val="0"/>
          <w:numId w:val="1"/>
        </w:numPr>
        <w:spacing w:before="105" w:after="105" w:line="360" w:lineRule="auto"/>
      </w:pPr>
      <w:r>
        <w:rPr>
          <w:rFonts w:ascii="inter" w:hAnsi="inter" w:eastAsia="inter" w:cs="inter"/>
          <w:color w:val="000000"/>
          <w:sz w:val="21"/>
        </w:rPr>
        <w:t>中性粒细胞表面分子表现为CD62L表达降低、CD11b/CD18表达升高，反映活化状态</w:t>
      </w:r>
    </w:p>
    <w:p w14:paraId="42191329">
      <w:pPr>
        <w:numPr>
          <w:ilvl w:val="0"/>
          <w:numId w:val="1"/>
        </w:numPr>
        <w:spacing w:before="105" w:after="105" w:line="360" w:lineRule="auto"/>
      </w:pPr>
      <w:r>
        <w:rPr>
          <w:rFonts w:ascii="inter" w:hAnsi="inter" w:eastAsia="inter" w:cs="inter"/>
          <w:color w:val="000000"/>
          <w:sz w:val="21"/>
        </w:rPr>
        <w:t>循环中性粒细胞弹性蛋白酶和ROS生成显著增加</w:t>
      </w:r>
    </w:p>
    <w:p w14:paraId="0899F382">
      <w:pPr>
        <w:spacing w:after="210" w:line="360" w:lineRule="auto"/>
      </w:pPr>
      <w:r>
        <w:rPr>
          <w:rFonts w:ascii="inter" w:hAnsi="inter" w:eastAsia="inter" w:cs="inter"/>
          <w:b/>
          <w:color w:val="000000"/>
        </w:rPr>
        <w:t>促炎介质释放</w:t>
      </w:r>
      <w:r>
        <w:rPr>
          <w:rFonts w:ascii="inter" w:hAnsi="inter" w:eastAsia="inter" w:cs="inter"/>
          <w:color w:val="000000"/>
        </w:rPr>
        <w:t xml:space="preserve"> ：</w:t>
      </w:r>
      <w:bookmarkStart w:id="5" w:name="fnref2_1"/>
      <w:bookmarkEnd w:id="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6" w:name="fnref3_1"/>
      <w:bookmarkEnd w:id="6"/>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7" w:name="fnref4_1"/>
      <w:bookmarkEnd w:id="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659BE375">
      <w:pPr>
        <w:numPr>
          <w:ilvl w:val="0"/>
          <w:numId w:val="2"/>
        </w:numPr>
        <w:spacing w:before="105" w:after="105" w:line="360" w:lineRule="auto"/>
      </w:pPr>
      <w:r>
        <w:rPr>
          <w:rFonts w:ascii="inter" w:hAnsi="inter" w:eastAsia="inter" w:cs="inter"/>
          <w:color w:val="000000"/>
          <w:sz w:val="21"/>
        </w:rPr>
        <w:t>释放多种促炎细胞因子：TNF-α、IL-1β、IL-6、IL-8</w:t>
      </w:r>
    </w:p>
    <w:p w14:paraId="3F609DDC">
      <w:pPr>
        <w:numPr>
          <w:ilvl w:val="0"/>
          <w:numId w:val="2"/>
        </w:numPr>
        <w:spacing w:before="105" w:after="105" w:line="360" w:lineRule="auto"/>
      </w:pPr>
      <w:r>
        <w:rPr>
          <w:rFonts w:ascii="inter" w:hAnsi="inter" w:eastAsia="inter" w:cs="inter"/>
          <w:color w:val="000000"/>
          <w:sz w:val="21"/>
        </w:rPr>
        <w:t>分泌蛋白酶：中性粒细胞弹性蛋白酶（NE）、髓过氧化物酶（MPO）、基质金属蛋白酶-9（MMP-9）</w:t>
      </w:r>
    </w:p>
    <w:p w14:paraId="0285E613">
      <w:pPr>
        <w:numPr>
          <w:ilvl w:val="0"/>
          <w:numId w:val="2"/>
        </w:numPr>
        <w:spacing w:before="105" w:after="105" w:line="360" w:lineRule="auto"/>
      </w:pPr>
      <w:r>
        <w:rPr>
          <w:rFonts w:ascii="inter" w:hAnsi="inter" w:eastAsia="inter" w:cs="inter"/>
          <w:color w:val="000000"/>
          <w:sz w:val="21"/>
        </w:rPr>
        <w:t>产生大量ROS，主要通过NADPH氧化酶（Nox2）和诱导型一氧化氮合酶（iNOS）</w:t>
      </w:r>
    </w:p>
    <w:p w14:paraId="4D7A3A7D">
      <w:pPr>
        <w:numPr>
          <w:ilvl w:val="0"/>
          <w:numId w:val="2"/>
        </w:numPr>
        <w:spacing w:before="105" w:after="105" w:line="360" w:lineRule="auto"/>
      </w:pPr>
      <w:r>
        <w:rPr>
          <w:rFonts w:ascii="inter" w:hAnsi="inter" w:eastAsia="inter" w:cs="inter"/>
          <w:color w:val="000000"/>
          <w:sz w:val="21"/>
        </w:rPr>
        <w:t>这些介质共同驱动血脑屏障（BBB）破坏、脑水肿形成和神经元凋亡</w:t>
      </w:r>
    </w:p>
    <w:p w14:paraId="0BDF0FB2">
      <w:pPr>
        <w:spacing w:after="210" w:line="360" w:lineRule="auto"/>
      </w:pPr>
      <w:r>
        <w:rPr>
          <w:rFonts w:ascii="inter" w:hAnsi="inter" w:eastAsia="inter" w:cs="inter"/>
          <w:b/>
          <w:color w:val="000000"/>
        </w:rPr>
        <w:t>NETosis与细胞外陷阱形成</w:t>
      </w:r>
      <w:r>
        <w:rPr>
          <w:rFonts w:ascii="inter" w:hAnsi="inter" w:eastAsia="inter" w:cs="inter"/>
          <w:color w:val="000000"/>
        </w:rPr>
        <w:t xml:space="preserve"> ：</w:t>
      </w:r>
      <w:bookmarkStart w:id="8" w:name="fnref3_2"/>
      <w:bookmarkEnd w:id="8"/>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9" w:name="fnref5"/>
      <w:bookmarkEnd w:id="9"/>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10" w:name="fnref1_1"/>
      <w:bookmarkEnd w:id="10"/>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27EDEA6C">
      <w:pPr>
        <w:numPr>
          <w:ilvl w:val="0"/>
          <w:numId w:val="3"/>
        </w:numPr>
        <w:spacing w:before="105" w:after="105" w:line="360" w:lineRule="auto"/>
      </w:pPr>
      <w:r>
        <w:rPr>
          <w:rFonts w:ascii="inter" w:hAnsi="inter" w:eastAsia="inter" w:cs="inter"/>
          <w:color w:val="000000"/>
          <w:sz w:val="21"/>
        </w:rPr>
        <w:t>时间特征：NET形成于缺血后24小时内峰值，48小时后开始下降</w:t>
      </w:r>
      <w:bookmarkStart w:id="11" w:name="fnref6"/>
      <w:bookmarkEnd w:id="11"/>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12" w:name="fnref1_2"/>
      <w:bookmarkEnd w:id="12"/>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64E916E0">
      <w:pPr>
        <w:numPr>
          <w:ilvl w:val="0"/>
          <w:numId w:val="3"/>
        </w:numPr>
        <w:spacing w:before="105" w:after="105" w:line="360" w:lineRule="auto"/>
      </w:pPr>
      <w:r>
        <w:rPr>
          <w:rFonts w:ascii="inter" w:hAnsi="inter" w:eastAsia="inter" w:cs="inter"/>
          <w:color w:val="000000"/>
          <w:sz w:val="21"/>
        </w:rPr>
        <w:t>形成机制包括两条主要途径：</w:t>
      </w:r>
    </w:p>
    <w:p w14:paraId="22365005">
      <w:pPr>
        <w:numPr>
          <w:ilvl w:val="1"/>
          <w:numId w:val="3"/>
        </w:numPr>
        <w:spacing w:before="105" w:after="105" w:line="360" w:lineRule="auto"/>
      </w:pPr>
      <w:r>
        <w:rPr>
          <w:rFonts w:ascii="inter" w:hAnsi="inter" w:eastAsia="inter" w:cs="inter"/>
          <w:b/>
          <w:color w:val="000000"/>
          <w:sz w:val="21"/>
        </w:rPr>
        <w:t>NADPH氧化酶依赖途径</w:t>
      </w:r>
      <w:r>
        <w:rPr>
          <w:rFonts w:ascii="inter" w:hAnsi="inter" w:eastAsia="inter" w:cs="inter"/>
          <w:color w:val="000000"/>
          <w:sz w:val="21"/>
        </w:rPr>
        <w:t>（占主导）：缺血-再灌注引发的ROS爆发激活NADPH氧化酶，导致肽基精氨酸脱亚胺酶-4（PAD4）激活，PAD4催化组蛋白瓜氨酸化，引发核色质凝聚解凝、核膜破裂和NETs释放（耗时3-4小时）</w:t>
      </w:r>
    </w:p>
    <w:p w14:paraId="37793053">
      <w:pPr>
        <w:numPr>
          <w:ilvl w:val="1"/>
          <w:numId w:val="3"/>
        </w:numPr>
        <w:spacing w:before="105" w:after="105" w:line="360" w:lineRule="auto"/>
      </w:pPr>
      <w:r>
        <w:rPr>
          <w:rFonts w:ascii="inter" w:hAnsi="inter" w:eastAsia="inter" w:cs="inter"/>
          <w:b/>
          <w:color w:val="000000"/>
          <w:sz w:val="21"/>
        </w:rPr>
        <w:t>NADPH氧化酶非依赖途径</w:t>
      </w:r>
      <w:r>
        <w:rPr>
          <w:rFonts w:ascii="inter" w:hAnsi="inter" w:eastAsia="inter" w:cs="inter"/>
          <w:color w:val="000000"/>
          <w:sz w:val="21"/>
        </w:rPr>
        <w:t>：线粒体ROS和钙离子内流驱动快速NETs释放（5-60分钟）</w:t>
      </w:r>
    </w:p>
    <w:p w14:paraId="6C8B0055">
      <w:pPr>
        <w:numPr>
          <w:ilvl w:val="0"/>
          <w:numId w:val="3"/>
        </w:numPr>
        <w:spacing w:before="105" w:after="105" w:line="360" w:lineRule="auto"/>
      </w:pPr>
      <w:r>
        <w:rPr>
          <w:rFonts w:ascii="inter" w:hAnsi="inter" w:eastAsia="inter" w:cs="inter"/>
          <w:color w:val="000000"/>
          <w:sz w:val="21"/>
        </w:rPr>
        <w:t>关键触发信号：来自缺血神经元和坏死内皮细胞的危险相关分子模式（DAMPs），特别是高迁移率族蛋白B1（HMGB1）、热休克蛋白等；同时激活血小板释放HMGB1加强NETs诱导</w:t>
      </w:r>
      <w:bookmarkStart w:id="13" w:name="fnref5_1"/>
      <w:bookmarkEnd w:id="13"/>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14" w:name="fnref7"/>
      <w:bookmarkEnd w:id="14"/>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15" w:name="fnref1_3"/>
      <w:bookmarkEnd w:id="15"/>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1E02341A">
      <w:pPr>
        <w:numPr>
          <w:ilvl w:val="0"/>
          <w:numId w:val="3"/>
        </w:numPr>
        <w:spacing w:before="105" w:after="105" w:line="360" w:lineRule="auto"/>
      </w:pPr>
      <w:r>
        <w:rPr>
          <w:rFonts w:ascii="inter" w:hAnsi="inter" w:eastAsia="inter" w:cs="inter"/>
          <w:color w:val="000000"/>
          <w:sz w:val="21"/>
        </w:rPr>
        <w:t>NETs标志物：瓜氨酸化组蛋白H3（H3Cit）、胞外DNA（cfDNA）、MPO-DNA复合物等，其血清水平与卒中严重程度和预后相关</w:t>
      </w:r>
      <w:bookmarkStart w:id="16" w:name="fnref7_1"/>
      <w:bookmarkEnd w:id="16"/>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17" w:name="fnref1_4"/>
      <w:bookmarkEnd w:id="17"/>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18" w:name="fnref2_2"/>
      <w:bookmarkEnd w:id="18"/>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1CF44BE8">
      <w:pPr>
        <w:spacing w:before="315" w:after="105" w:line="360" w:lineRule="auto"/>
        <w:ind w:left="-30"/>
        <w:jc w:val="left"/>
      </w:pPr>
      <w:bookmarkStart w:id="19" w:name="bm_2_不同中性粒细胞亚群与功能异质性"/>
      <w:r>
        <w:rPr>
          <w:rFonts w:ascii="inter" w:hAnsi="inter" w:eastAsia="inter" w:cs="inter"/>
          <w:b/>
          <w:color w:val="000000"/>
          <w:sz w:val="24"/>
        </w:rPr>
        <w:t>2. 不同中性粒细胞亚群与功能异质性</w:t>
      </w:r>
      <w:r>
        <w:fldChar w:fldCharType="begin"/>
      </w:r>
      <w:r>
        <w:instrText xml:space="preserve"> HYPERLINK \l "fn8" \h </w:instrText>
      </w:r>
      <w:r>
        <w:fldChar w:fldCharType="separate"/>
      </w:r>
      <w:r>
        <w:rPr>
          <w:rFonts w:ascii="inter" w:hAnsi="inter" w:eastAsia="inter" w:cs="inter"/>
          <w:b/>
          <w:color w:val="000000"/>
          <w:sz w:val="24"/>
          <w:u w:val="single"/>
          <w:vertAlign w:val="superscript"/>
        </w:rPr>
        <w:t>[8]</w:t>
      </w:r>
      <w:r>
        <w:rPr>
          <w:rFonts w:ascii="inter" w:hAnsi="inter" w:eastAsia="inter" w:cs="inter"/>
          <w:b/>
          <w:color w:val="000000"/>
          <w:sz w:val="24"/>
          <w:u w:val="single"/>
          <w:vertAlign w:val="superscript"/>
        </w:rPr>
        <w:fldChar w:fldCharType="end"/>
      </w:r>
      <w:r>
        <w:fldChar w:fldCharType="begin"/>
      </w:r>
      <w:r>
        <w:instrText xml:space="preserve"> HYPERLINK \l "fn9" \h </w:instrText>
      </w:r>
      <w:r>
        <w:fldChar w:fldCharType="separate"/>
      </w:r>
      <w:r>
        <w:rPr>
          <w:rFonts w:ascii="inter" w:hAnsi="inter" w:eastAsia="inter" w:cs="inter"/>
          <w:b/>
          <w:color w:val="000000"/>
          <w:sz w:val="24"/>
          <w:u w:val="single"/>
          <w:vertAlign w:val="superscript"/>
        </w:rPr>
        <w:t>[9]</w:t>
      </w:r>
      <w:r>
        <w:rPr>
          <w:rFonts w:ascii="inter" w:hAnsi="inter" w:eastAsia="inter" w:cs="inter"/>
          <w:b/>
          <w:color w:val="000000"/>
          <w:sz w:val="24"/>
          <w:u w:val="single"/>
          <w:vertAlign w:val="superscript"/>
        </w:rPr>
        <w:fldChar w:fldCharType="end"/>
      </w:r>
      <w:r>
        <w:fldChar w:fldCharType="begin"/>
      </w:r>
      <w:r>
        <w:instrText xml:space="preserve"> HYPERLINK \l "fn10" \h </w:instrText>
      </w:r>
      <w:r>
        <w:fldChar w:fldCharType="separate"/>
      </w:r>
      <w:r>
        <w:rPr>
          <w:rFonts w:ascii="inter" w:hAnsi="inter" w:eastAsia="inter" w:cs="inter"/>
          <w:b/>
          <w:color w:val="000000"/>
          <w:sz w:val="24"/>
          <w:u w:val="single"/>
          <w:vertAlign w:val="superscript"/>
        </w:rPr>
        <w:t>[10]</w:t>
      </w:r>
      <w:r>
        <w:rPr>
          <w:rFonts w:ascii="inter" w:hAnsi="inter" w:eastAsia="inter" w:cs="inter"/>
          <w:b/>
          <w:color w:val="000000"/>
          <w:sz w:val="24"/>
          <w:u w:val="single"/>
          <w:vertAlign w:val="superscript"/>
        </w:rPr>
        <w:fldChar w:fldCharType="end"/>
      </w:r>
      <w:r>
        <w:fldChar w:fldCharType="begin"/>
      </w:r>
      <w:r>
        <w:instrText xml:space="preserve"> HYPERLINK \l "fn11" \h </w:instrText>
      </w:r>
      <w:r>
        <w:fldChar w:fldCharType="separate"/>
      </w:r>
      <w:r>
        <w:rPr>
          <w:rFonts w:ascii="inter" w:hAnsi="inter" w:eastAsia="inter" w:cs="inter"/>
          <w:b/>
          <w:color w:val="000000"/>
          <w:sz w:val="24"/>
          <w:u w:val="single"/>
          <w:vertAlign w:val="superscript"/>
        </w:rPr>
        <w:t>[11]</w:t>
      </w:r>
      <w:r>
        <w:rPr>
          <w:rFonts w:ascii="inter" w:hAnsi="inter" w:eastAsia="inter" w:cs="inter"/>
          <w:b/>
          <w:color w:val="000000"/>
          <w:sz w:val="24"/>
          <w:u w:val="single"/>
          <w:vertAlign w:val="superscript"/>
        </w:rPr>
        <w:fldChar w:fldCharType="end"/>
      </w:r>
      <w:r>
        <w:fldChar w:fldCharType="begin"/>
      </w:r>
      <w:r>
        <w:instrText xml:space="preserve"> HYPERLINK \l "fn2" \h </w:instrText>
      </w:r>
      <w:r>
        <w:fldChar w:fldCharType="separate"/>
      </w:r>
      <w:r>
        <w:rPr>
          <w:rFonts w:ascii="inter" w:hAnsi="inter" w:eastAsia="inter" w:cs="inter"/>
          <w:b/>
          <w:color w:val="000000"/>
          <w:sz w:val="24"/>
          <w:u w:val="single"/>
          <w:vertAlign w:val="superscript"/>
        </w:rPr>
        <w:t>[2]</w:t>
      </w:r>
      <w:r>
        <w:rPr>
          <w:rFonts w:ascii="inter" w:hAnsi="inter" w:eastAsia="inter" w:cs="inter"/>
          <w:b/>
          <w:color w:val="000000"/>
          <w:sz w:val="24"/>
          <w:u w:val="single"/>
          <w:vertAlign w:val="superscript"/>
        </w:rPr>
        <w:fldChar w:fldCharType="end"/>
      </w:r>
      <w:bookmarkEnd w:id="19"/>
    </w:p>
    <w:p w14:paraId="76141B4A">
      <w:pPr>
        <w:spacing w:after="210" w:line="360" w:lineRule="auto"/>
      </w:pPr>
      <w:r>
        <w:rPr>
          <w:rFonts w:ascii="inter" w:hAnsi="inter" w:eastAsia="inter" w:cs="inter"/>
          <w:color w:val="000000"/>
        </w:rPr>
        <w:t>急性期中性粒细胞亚群可按以下方式分类：</w:t>
      </w:r>
    </w:p>
    <w:p w14:paraId="4FADC7C0">
      <w:pPr>
        <w:spacing w:after="210" w:line="360" w:lineRule="auto"/>
      </w:pPr>
      <w:r>
        <w:rPr>
          <w:rFonts w:ascii="inter" w:hAnsi="inter" w:eastAsia="inter" w:cs="inter"/>
          <w:b/>
          <w:color w:val="000000"/>
        </w:rPr>
        <w:t>N1样表型（主导亚群）</w:t>
      </w:r>
      <w:r>
        <w:rPr>
          <w:rFonts w:ascii="inter" w:hAnsi="inter" w:eastAsia="inter" w:cs="inter"/>
          <w:color w:val="000000"/>
        </w:rPr>
        <w:t>：</w:t>
      </w:r>
      <w:bookmarkStart w:id="20" w:name="fnref10_1"/>
      <w:bookmarkEnd w:id="20"/>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7DBA0610">
      <w:pPr>
        <w:numPr>
          <w:ilvl w:val="0"/>
          <w:numId w:val="4"/>
        </w:numPr>
        <w:spacing w:before="105" w:after="105" w:line="360" w:lineRule="auto"/>
      </w:pPr>
      <w:r>
        <w:rPr>
          <w:rFonts w:ascii="inter" w:hAnsi="inter" w:eastAsia="inter" w:cs="inter"/>
          <w:color w:val="000000"/>
          <w:sz w:val="21"/>
        </w:rPr>
        <w:t>标志物：高表达TNF-α、IL-1β、iNOS，表现为活跃的促炎特征，类似肿瘤学中TANs的N1表型</w:t>
      </w:r>
    </w:p>
    <w:p w14:paraId="58C94904">
      <w:pPr>
        <w:numPr>
          <w:ilvl w:val="0"/>
          <w:numId w:val="4"/>
        </w:numPr>
        <w:spacing w:before="105" w:after="105" w:line="360" w:lineRule="auto"/>
      </w:pPr>
      <w:r>
        <w:rPr>
          <w:rFonts w:ascii="inter" w:hAnsi="inter" w:eastAsia="inter" w:cs="inter"/>
          <w:color w:val="000000"/>
          <w:sz w:val="21"/>
        </w:rPr>
        <w:t>比例：占脑内中性粒细胞的60-75%（1-3天），与N2亚群比率可达3:1</w:t>
      </w:r>
      <w:bookmarkStart w:id="21" w:name="fnref8_1"/>
      <w:bookmarkEnd w:id="21"/>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6788EA39">
      <w:pPr>
        <w:numPr>
          <w:ilvl w:val="0"/>
          <w:numId w:val="4"/>
        </w:numPr>
        <w:spacing w:before="105" w:after="105" w:line="360" w:lineRule="auto"/>
      </w:pPr>
      <w:r>
        <w:rPr>
          <w:rFonts w:ascii="inter" w:hAnsi="inter" w:eastAsia="inter" w:cs="inter"/>
          <w:color w:val="000000"/>
          <w:sz w:val="21"/>
        </w:rPr>
        <w:t>功能：释放大量ROS和蛋白酶，推动BBB破坏、血栓形成、神经元凋亡</w:t>
      </w:r>
    </w:p>
    <w:p w14:paraId="0F931EEE">
      <w:pPr>
        <w:numPr>
          <w:ilvl w:val="0"/>
          <w:numId w:val="4"/>
        </w:numPr>
        <w:spacing w:before="105" w:after="105" w:line="360" w:lineRule="auto"/>
      </w:pPr>
      <w:r>
        <w:rPr>
          <w:rFonts w:ascii="inter" w:hAnsi="inter" w:eastAsia="inter" w:cs="inter"/>
          <w:color w:val="000000"/>
          <w:sz w:val="21"/>
        </w:rPr>
        <w:t>血液中N1样特征中性粒细胞占比高，与预后不良相关</w:t>
      </w:r>
    </w:p>
    <w:p w14:paraId="34595D69">
      <w:pPr>
        <w:spacing w:after="210" w:line="360" w:lineRule="auto"/>
      </w:pPr>
      <w:r>
        <w:rPr>
          <w:rFonts w:ascii="inter" w:hAnsi="inter" w:eastAsia="inter" w:cs="inter"/>
          <w:b/>
          <w:color w:val="000000"/>
        </w:rPr>
        <w:t>衰老型中性粒细胞</w:t>
      </w:r>
      <w:r>
        <w:rPr>
          <w:rFonts w:ascii="inter" w:hAnsi="inter" w:eastAsia="inter" w:cs="inter"/>
          <w:color w:val="000000"/>
        </w:rPr>
        <w:t xml:space="preserve"> ：</w:t>
      </w:r>
      <w:bookmarkStart w:id="22" w:name="fnref9_1"/>
      <w:bookmarkEnd w:id="22"/>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3969474B">
      <w:pPr>
        <w:numPr>
          <w:ilvl w:val="0"/>
          <w:numId w:val="5"/>
        </w:numPr>
        <w:spacing w:before="105" w:after="105" w:line="360" w:lineRule="auto"/>
      </w:pPr>
      <w:r>
        <w:rPr>
          <w:rFonts w:ascii="inter" w:hAnsi="inter" w:eastAsia="inter" w:cs="inter"/>
          <w:color w:val="000000"/>
          <w:sz w:val="21"/>
        </w:rPr>
        <w:t>特征：CXCR4高表达、CD62L低表达、细胞内颗粒含量增加</w:t>
      </w:r>
    </w:p>
    <w:p w14:paraId="13161CE5">
      <w:pPr>
        <w:numPr>
          <w:ilvl w:val="0"/>
          <w:numId w:val="5"/>
        </w:numPr>
        <w:spacing w:before="105" w:after="105" w:line="360" w:lineRule="auto"/>
      </w:pPr>
      <w:r>
        <w:rPr>
          <w:rFonts w:ascii="inter" w:hAnsi="inter" w:eastAsia="inter" w:cs="inter"/>
          <w:color w:val="000000"/>
          <w:sz w:val="21"/>
        </w:rPr>
        <w:t>高龄患者（&gt;65岁）中比例显著升高，与年龄相关的神经元炎症加重相关</w:t>
      </w:r>
    </w:p>
    <w:p w14:paraId="7D628F2D">
      <w:pPr>
        <w:numPr>
          <w:ilvl w:val="0"/>
          <w:numId w:val="5"/>
        </w:numPr>
        <w:spacing w:before="105" w:after="105" w:line="360" w:lineRule="auto"/>
      </w:pPr>
      <w:r>
        <w:rPr>
          <w:rFonts w:ascii="inter" w:hAnsi="inter" w:eastAsia="inter" w:cs="inter"/>
          <w:color w:val="000000"/>
          <w:sz w:val="21"/>
        </w:rPr>
        <w:t>功能：过度活化状态，促炎作用增强，对脑组织的损伤更重</w:t>
      </w:r>
    </w:p>
    <w:p w14:paraId="1342A328">
      <w:pPr>
        <w:numPr>
          <w:ilvl w:val="0"/>
          <w:numId w:val="5"/>
        </w:numPr>
        <w:spacing w:before="105" w:after="105" w:line="360" w:lineRule="auto"/>
      </w:pPr>
      <w:r>
        <w:rPr>
          <w:rFonts w:ascii="inter" w:hAnsi="inter" w:eastAsia="inter" w:cs="inter"/>
          <w:color w:val="000000"/>
          <w:sz w:val="21"/>
        </w:rPr>
        <w:t>清除机制受损：CXCR4-CXCL12轴功能降低，导致衰老中性粒细胞滞留血液和脑组织</w:t>
      </w:r>
      <w:bookmarkStart w:id="23" w:name="fnref9_2"/>
      <w:bookmarkEnd w:id="23"/>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15311E0D">
      <w:pPr>
        <w:spacing w:after="210" w:line="360" w:lineRule="auto"/>
      </w:pPr>
      <w:r>
        <w:rPr>
          <w:rFonts w:ascii="inter" w:hAnsi="inter" w:eastAsia="inter" w:cs="inter"/>
          <w:b/>
          <w:color w:val="000000"/>
        </w:rPr>
        <w:t>低密度中性粒细胞（LDNs）与高密度中性粒细胞（HDNs）</w:t>
      </w:r>
      <w:r>
        <w:rPr>
          <w:rFonts w:ascii="inter" w:hAnsi="inter" w:eastAsia="inter" w:cs="inter"/>
          <w:color w:val="000000"/>
        </w:rPr>
        <w:t xml:space="preserve"> ：</w:t>
      </w:r>
      <w:bookmarkStart w:id="24" w:name="fnref10_2"/>
      <w:bookmarkEnd w:id="24"/>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74FF0F1F">
      <w:pPr>
        <w:numPr>
          <w:ilvl w:val="0"/>
          <w:numId w:val="6"/>
        </w:numPr>
        <w:spacing w:before="105" w:after="105" w:line="360" w:lineRule="auto"/>
      </w:pPr>
      <w:r>
        <w:rPr>
          <w:rFonts w:ascii="inter" w:hAnsi="inter" w:eastAsia="inter" w:cs="inter"/>
          <w:color w:val="000000"/>
          <w:sz w:val="21"/>
        </w:rPr>
        <w:t>LDNs常见于严重炎症状态，表现为高度活化的促炎特征</w:t>
      </w:r>
    </w:p>
    <w:p w14:paraId="59679D62">
      <w:pPr>
        <w:numPr>
          <w:ilvl w:val="0"/>
          <w:numId w:val="6"/>
        </w:numPr>
        <w:spacing w:before="105" w:after="105" w:line="360" w:lineRule="auto"/>
      </w:pPr>
      <w:r>
        <w:rPr>
          <w:rFonts w:ascii="inter" w:hAnsi="inter" w:eastAsia="inter" w:cs="inter"/>
          <w:color w:val="000000"/>
          <w:sz w:val="21"/>
        </w:rPr>
        <w:t>HDNs相对静息，促炎活性较低</w:t>
      </w:r>
    </w:p>
    <w:p w14:paraId="104CB33F">
      <w:pPr>
        <w:numPr>
          <w:ilvl w:val="0"/>
          <w:numId w:val="6"/>
        </w:numPr>
        <w:spacing w:before="105" w:after="105" w:line="360" w:lineRule="auto"/>
      </w:pPr>
      <w:r>
        <w:rPr>
          <w:rFonts w:ascii="inter" w:hAnsi="inter" w:eastAsia="inter" w:cs="inter"/>
          <w:color w:val="000000"/>
          <w:sz w:val="21"/>
        </w:rPr>
        <w:t>在脑缺血背景下，LDNs比例上升与预后不良相关</w:t>
      </w:r>
    </w:p>
    <w:p w14:paraId="2959BF8C">
      <w:pPr>
        <w:spacing w:after="210" w:line="360" w:lineRule="auto"/>
      </w:pPr>
      <w:r>
        <w:rPr>
          <w:rFonts w:ascii="inter" w:hAnsi="inter" w:eastAsia="inter" w:cs="inter"/>
          <w:b/>
          <w:color w:val="000000"/>
        </w:rPr>
        <w:t>CD16+亚群</w:t>
      </w:r>
      <w:r>
        <w:rPr>
          <w:rFonts w:ascii="inter" w:hAnsi="inter" w:eastAsia="inter" w:cs="inter"/>
          <w:color w:val="000000"/>
        </w:rPr>
        <w:t xml:space="preserve"> ：</w:t>
      </w:r>
      <w:bookmarkStart w:id="25" w:name="fnref11_1"/>
      <w:bookmarkEnd w:id="25"/>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44CC32B9">
      <w:pPr>
        <w:numPr>
          <w:ilvl w:val="0"/>
          <w:numId w:val="7"/>
        </w:numPr>
        <w:spacing w:before="105" w:after="105" w:line="360" w:lineRule="auto"/>
      </w:pPr>
      <w:r>
        <w:rPr>
          <w:rFonts w:ascii="inter" w:hAnsi="inter" w:eastAsia="inter" w:cs="inter"/>
          <w:color w:val="000000"/>
          <w:sz w:val="21"/>
        </w:rPr>
        <w:t>在血液中检测到CD16bright/CD62Ldim免疫抑制性中性粒细胞亚群</w:t>
      </w:r>
    </w:p>
    <w:p w14:paraId="7F080F1F">
      <w:pPr>
        <w:numPr>
          <w:ilvl w:val="0"/>
          <w:numId w:val="7"/>
        </w:numPr>
        <w:spacing w:before="105" w:after="105" w:line="360" w:lineRule="auto"/>
      </w:pPr>
      <w:r>
        <w:rPr>
          <w:rFonts w:ascii="inter" w:hAnsi="inter" w:eastAsia="inter" w:cs="inter"/>
          <w:color w:val="000000"/>
          <w:sz w:val="21"/>
        </w:rPr>
        <w:t>可能对晚期炎症分辨起调节作用，但其在急性脑缺血中的具体角色尚需进一步研究</w:t>
      </w:r>
    </w:p>
    <w:p w14:paraId="0CDCF8D2">
      <w:pPr>
        <w:spacing w:before="315" w:after="105" w:line="360" w:lineRule="auto"/>
        <w:ind w:left="-30"/>
        <w:jc w:val="left"/>
      </w:pPr>
      <w:bookmarkStart w:id="26" w:name="二_脑缺血慢性期中性粒细胞_发病后3天至数周_月"/>
      <w:r>
        <w:rPr>
          <w:rFonts w:ascii="inter" w:hAnsi="inter" w:eastAsia="inter" w:cs="inter"/>
          <w:b/>
          <w:color w:val="000000"/>
          <w:sz w:val="24"/>
        </w:rPr>
        <w:t>（二）脑缺血慢性期中性粒细胞（发病后3天至数周/月）</w:t>
      </w:r>
      <w:bookmarkEnd w:id="26"/>
    </w:p>
    <w:p w14:paraId="637CC1CA">
      <w:pPr>
        <w:spacing w:before="315" w:after="105" w:line="360" w:lineRule="auto"/>
        <w:ind w:left="-30"/>
        <w:jc w:val="left"/>
      </w:pPr>
      <w:bookmarkStart w:id="27" w:name="bm_1_表型与功能转换"/>
      <w:r>
        <w:rPr>
          <w:rFonts w:ascii="inter" w:hAnsi="inter" w:eastAsia="inter" w:cs="inter"/>
          <w:b/>
          <w:color w:val="000000"/>
          <w:sz w:val="24"/>
        </w:rPr>
        <w:t>1. 表型与功能转换</w:t>
      </w:r>
      <w:r>
        <w:fldChar w:fldCharType="begin"/>
      </w:r>
      <w:r>
        <w:instrText xml:space="preserve"> HYPERLINK \l "fn2" \h </w:instrText>
      </w:r>
      <w:r>
        <w:fldChar w:fldCharType="separate"/>
      </w:r>
      <w:r>
        <w:rPr>
          <w:rFonts w:ascii="inter" w:hAnsi="inter" w:eastAsia="inter" w:cs="inter"/>
          <w:b/>
          <w:color w:val="000000"/>
          <w:sz w:val="24"/>
          <w:u w:val="single"/>
          <w:vertAlign w:val="superscript"/>
        </w:rPr>
        <w:t>[2]</w:t>
      </w:r>
      <w:r>
        <w:rPr>
          <w:rFonts w:ascii="inter" w:hAnsi="inter" w:eastAsia="inter" w:cs="inter"/>
          <w:b/>
          <w:color w:val="000000"/>
          <w:sz w:val="24"/>
          <w:u w:val="single"/>
          <w:vertAlign w:val="superscript"/>
        </w:rPr>
        <w:fldChar w:fldCharType="end"/>
      </w:r>
      <w:r>
        <w:fldChar w:fldCharType="begin"/>
      </w:r>
      <w:r>
        <w:instrText xml:space="preserve"> HYPERLINK \l "fn8" \h </w:instrText>
      </w:r>
      <w:r>
        <w:fldChar w:fldCharType="separate"/>
      </w:r>
      <w:r>
        <w:rPr>
          <w:rFonts w:ascii="inter" w:hAnsi="inter" w:eastAsia="inter" w:cs="inter"/>
          <w:b/>
          <w:color w:val="000000"/>
          <w:sz w:val="24"/>
          <w:u w:val="single"/>
          <w:vertAlign w:val="superscript"/>
        </w:rPr>
        <w:t>[8]</w:t>
      </w:r>
      <w:r>
        <w:rPr>
          <w:rFonts w:ascii="inter" w:hAnsi="inter" w:eastAsia="inter" w:cs="inter"/>
          <w:b/>
          <w:color w:val="000000"/>
          <w:sz w:val="24"/>
          <w:u w:val="single"/>
          <w:vertAlign w:val="superscript"/>
        </w:rPr>
        <w:fldChar w:fldCharType="end"/>
      </w:r>
      <w:r>
        <w:fldChar w:fldCharType="begin"/>
      </w:r>
      <w:r>
        <w:instrText xml:space="preserve"> HYPERLINK \l "fn10" \h </w:instrText>
      </w:r>
      <w:r>
        <w:fldChar w:fldCharType="separate"/>
      </w:r>
      <w:r>
        <w:rPr>
          <w:rFonts w:ascii="inter" w:hAnsi="inter" w:eastAsia="inter" w:cs="inter"/>
          <w:b/>
          <w:color w:val="000000"/>
          <w:sz w:val="24"/>
          <w:u w:val="single"/>
          <w:vertAlign w:val="superscript"/>
        </w:rPr>
        <w:t>[10]</w:t>
      </w:r>
      <w:r>
        <w:rPr>
          <w:rFonts w:ascii="inter" w:hAnsi="inter" w:eastAsia="inter" w:cs="inter"/>
          <w:b/>
          <w:color w:val="000000"/>
          <w:sz w:val="24"/>
          <w:u w:val="single"/>
          <w:vertAlign w:val="superscript"/>
        </w:rPr>
        <w:fldChar w:fldCharType="end"/>
      </w:r>
      <w:bookmarkEnd w:id="27"/>
    </w:p>
    <w:p w14:paraId="45A15091">
      <w:pPr>
        <w:spacing w:after="210" w:line="360" w:lineRule="auto"/>
      </w:pPr>
      <w:r>
        <w:rPr>
          <w:rFonts w:ascii="inter" w:hAnsi="inter" w:eastAsia="inter" w:cs="inter"/>
          <w:color w:val="000000"/>
        </w:rPr>
        <w:t>慢性期中性粒细胞逐步向</w:t>
      </w:r>
      <w:r>
        <w:rPr>
          <w:rFonts w:ascii="inter" w:hAnsi="inter" w:eastAsia="inter" w:cs="inter"/>
          <w:b/>
          <w:color w:val="000000"/>
        </w:rPr>
        <w:t>抗炎的N2样表型</w:t>
      </w:r>
      <w:r>
        <w:rPr>
          <w:rFonts w:ascii="inter" w:hAnsi="inter" w:eastAsia="inter" w:cs="inter"/>
          <w:color w:val="000000"/>
        </w:rPr>
        <w:t>转变：</w:t>
      </w:r>
    </w:p>
    <w:p w14:paraId="4146FDFB">
      <w:pPr>
        <w:spacing w:after="210" w:line="360" w:lineRule="auto"/>
      </w:pPr>
      <w:r>
        <w:rPr>
          <w:rFonts w:ascii="inter" w:hAnsi="inter" w:eastAsia="inter" w:cs="inter"/>
          <w:b/>
          <w:color w:val="000000"/>
        </w:rPr>
        <w:t>表型特征与标志物</w:t>
      </w:r>
      <w:r>
        <w:rPr>
          <w:rFonts w:ascii="inter" w:hAnsi="inter" w:eastAsia="inter" w:cs="inter"/>
          <w:color w:val="000000"/>
        </w:rPr>
        <w:t>：</w:t>
      </w:r>
      <w:bookmarkStart w:id="28" w:name="fnref8_3"/>
      <w:bookmarkEnd w:id="28"/>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29" w:name="fnref10_4"/>
      <w:bookmarkEnd w:id="29"/>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52C23A1C">
      <w:pPr>
        <w:numPr>
          <w:ilvl w:val="0"/>
          <w:numId w:val="8"/>
        </w:numPr>
        <w:spacing w:before="105" w:after="105" w:line="360" w:lineRule="auto"/>
      </w:pPr>
      <w:r>
        <w:rPr>
          <w:rFonts w:ascii="inter" w:hAnsi="inter" w:eastAsia="inter" w:cs="inter"/>
          <w:color w:val="000000"/>
          <w:sz w:val="21"/>
        </w:rPr>
        <w:t>高表达精氨酸酶-1（Arg1）、甘露糖受体（CD206）、Ym1蛋白</w:t>
      </w:r>
    </w:p>
    <w:p w14:paraId="4F03086E">
      <w:pPr>
        <w:numPr>
          <w:ilvl w:val="0"/>
          <w:numId w:val="8"/>
        </w:numPr>
        <w:spacing w:before="105" w:after="105" w:line="360" w:lineRule="auto"/>
      </w:pPr>
      <w:r>
        <w:rPr>
          <w:rFonts w:ascii="inter" w:hAnsi="inter" w:eastAsia="inter" w:cs="inter"/>
          <w:color w:val="000000"/>
          <w:sz w:val="21"/>
        </w:rPr>
        <w:t>产生抗炎细胞因子：IL-10、TGF-β</w:t>
      </w:r>
    </w:p>
    <w:p w14:paraId="36928E6E">
      <w:pPr>
        <w:numPr>
          <w:ilvl w:val="0"/>
          <w:numId w:val="8"/>
        </w:numPr>
        <w:spacing w:before="105" w:after="105" w:line="360" w:lineRule="auto"/>
      </w:pPr>
      <w:r>
        <w:rPr>
          <w:rFonts w:ascii="inter" w:hAnsi="inter" w:eastAsia="inter" w:cs="inter"/>
          <w:color w:val="000000"/>
          <w:sz w:val="21"/>
        </w:rPr>
        <w:t>表面分子变化：CXCR4上升，促进向骨髓的归巢；细胞表面活化标志物部分下调</w:t>
      </w:r>
    </w:p>
    <w:p w14:paraId="68BB7CEB">
      <w:pPr>
        <w:numPr>
          <w:ilvl w:val="0"/>
          <w:numId w:val="8"/>
        </w:numPr>
        <w:spacing w:before="105" w:after="105" w:line="360" w:lineRule="auto"/>
      </w:pPr>
      <w:r>
        <w:rPr>
          <w:rFonts w:ascii="inter" w:hAnsi="inter" w:eastAsia="inter" w:cs="inter"/>
          <w:color w:val="000000"/>
          <w:sz w:val="21"/>
        </w:rPr>
        <w:t>N1/N2比率从急性期的3:1逐步降低至1:1或更低</w:t>
      </w:r>
      <w:bookmarkStart w:id="30" w:name="fnref8_4"/>
      <w:bookmarkEnd w:id="30"/>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5FB63C02">
      <w:pPr>
        <w:spacing w:after="210" w:line="360" w:lineRule="auto"/>
      </w:pPr>
      <w:r>
        <w:rPr>
          <w:rFonts w:ascii="inter" w:hAnsi="inter" w:eastAsia="inter" w:cs="inter"/>
          <w:b/>
          <w:color w:val="000000"/>
        </w:rPr>
        <w:t>功能变化</w:t>
      </w:r>
      <w:r>
        <w:rPr>
          <w:rFonts w:ascii="inter" w:hAnsi="inter" w:eastAsia="inter" w:cs="inter"/>
          <w:color w:val="000000"/>
        </w:rPr>
        <w:t>：</w:t>
      </w:r>
      <w:bookmarkStart w:id="31" w:name="fnref10_5"/>
      <w:bookmarkEnd w:id="31"/>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32" w:name="fnref12"/>
      <w:bookmarkEnd w:id="32"/>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33" w:name="fnref8_5"/>
      <w:bookmarkEnd w:id="33"/>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53B9A876">
      <w:pPr>
        <w:numPr>
          <w:ilvl w:val="0"/>
          <w:numId w:val="9"/>
        </w:numPr>
        <w:spacing w:before="105" w:after="105" w:line="360" w:lineRule="auto"/>
      </w:pPr>
      <w:r>
        <w:rPr>
          <w:rFonts w:ascii="inter" w:hAnsi="inter" w:eastAsia="inter" w:cs="inter"/>
          <w:b/>
          <w:color w:val="000000"/>
          <w:sz w:val="21"/>
        </w:rPr>
        <w:t>吞噬功能增强</w:t>
      </w:r>
      <w:r>
        <w:rPr>
          <w:rFonts w:ascii="inter" w:hAnsi="inter" w:eastAsia="inter" w:cs="inter"/>
          <w:color w:val="000000"/>
          <w:sz w:val="21"/>
        </w:rPr>
        <w:t>：N2中性粒细胞被小胶质细胞和巨噬细胞更有效地吞噬，清除坏死细胞碎片、细胞外基质残留和沉积的蛋白</w:t>
      </w:r>
    </w:p>
    <w:p w14:paraId="78BF6883">
      <w:pPr>
        <w:numPr>
          <w:ilvl w:val="0"/>
          <w:numId w:val="9"/>
        </w:numPr>
        <w:spacing w:before="105" w:after="105" w:line="360" w:lineRule="auto"/>
      </w:pPr>
      <w:r>
        <w:rPr>
          <w:rFonts w:ascii="inter" w:hAnsi="inter" w:eastAsia="inter" w:cs="inter"/>
          <w:b/>
          <w:color w:val="000000"/>
          <w:sz w:val="21"/>
        </w:rPr>
        <w:t>促血管新生</w:t>
      </w:r>
      <w:r>
        <w:rPr>
          <w:rFonts w:ascii="inter" w:hAnsi="inter" w:eastAsia="inter" w:cs="inter"/>
          <w:color w:val="000000"/>
          <w:sz w:val="21"/>
        </w:rPr>
        <w:t>：中性粒细胞衍生的抗菌肽CAMP、血管内皮生长因子（VEGF）等促进内皮细胞增殖、新血管形成</w:t>
      </w:r>
      <w:bookmarkStart w:id="34" w:name="fnref12_1"/>
      <w:bookmarkEnd w:id="34"/>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p>
    <w:p w14:paraId="6711968B">
      <w:pPr>
        <w:numPr>
          <w:ilvl w:val="0"/>
          <w:numId w:val="9"/>
        </w:numPr>
        <w:spacing w:before="105" w:after="105" w:line="360" w:lineRule="auto"/>
      </w:pPr>
      <w:r>
        <w:rPr>
          <w:rFonts w:ascii="inter" w:hAnsi="inter" w:eastAsia="inter" w:cs="inter"/>
          <w:b/>
          <w:color w:val="000000"/>
          <w:sz w:val="21"/>
        </w:rPr>
        <w:t>促神经保护</w:t>
      </w:r>
      <w:r>
        <w:rPr>
          <w:rFonts w:ascii="inter" w:hAnsi="inter" w:eastAsia="inter" w:cs="inter"/>
          <w:color w:val="000000"/>
          <w:sz w:val="21"/>
        </w:rPr>
        <w:t>：释放脑源性神经营养因子（BDNF）、神经生长因子（NGF），支持神经元存活和轴突延伸</w:t>
      </w:r>
    </w:p>
    <w:p w14:paraId="00A75D9C">
      <w:pPr>
        <w:numPr>
          <w:ilvl w:val="0"/>
          <w:numId w:val="9"/>
        </w:numPr>
        <w:spacing w:before="105" w:after="105" w:line="360" w:lineRule="auto"/>
      </w:pPr>
      <w:r>
        <w:rPr>
          <w:rFonts w:ascii="inter" w:hAnsi="inter" w:eastAsia="inter" w:cs="inter"/>
          <w:b/>
          <w:color w:val="000000"/>
          <w:sz w:val="21"/>
        </w:rPr>
        <w:t>BBB修复</w:t>
      </w:r>
      <w:r>
        <w:rPr>
          <w:rFonts w:ascii="inter" w:hAnsi="inter" w:eastAsia="inter" w:cs="inter"/>
          <w:color w:val="000000"/>
          <w:sz w:val="21"/>
        </w:rPr>
        <w:t>：分泌促进紧密连接蛋白再建构的物质</w:t>
      </w:r>
    </w:p>
    <w:p w14:paraId="39FB6C7F">
      <w:pPr>
        <w:spacing w:after="0" w:line="360" w:lineRule="auto"/>
        <w:jc w:val="center"/>
      </w:pPr>
      <w:r>
        <w:rPr>
          <w:rFonts w:ascii="inter" w:hAnsi="inter" w:eastAsia="inter" w:cs="inter"/>
          <w:color w:val="000000"/>
        </w:rPr>
        <w:drawing>
          <wp:inline distT="0" distB="0" distL="0" distR="0">
            <wp:extent cx="6038850" cy="4025900"/>
            <wp:effectExtent l="0" t="0" r="0" b="0"/>
            <wp:docPr id="2" name="image-5b82594f7cac8e975cde23960221fc2bcec2d8e0.png" descr="Temporal Dynamics of Neutrophil Phenotypes, Functions, and NETosis in Cerebral Ischemia: Acute to Chronic Phases"/>
            <wp:cNvGraphicFramePr/>
            <a:graphic xmlns:a="http://schemas.openxmlformats.org/drawingml/2006/main">
              <a:graphicData uri="http://schemas.openxmlformats.org/drawingml/2006/picture">
                <pic:pic xmlns:pic="http://schemas.openxmlformats.org/drawingml/2006/picture">
                  <pic:nvPicPr>
                    <pic:cNvPr id="2" name="image-5b82594f7cac8e975cde23960221fc2bcec2d8e0.png" descr="Temporal Dynamics of Neutrophil Phenotypes, Functions, and NETosis in Cerebral Ischemia: Acute to Chronic Phases"/>
                    <pic:cNvPicPr/>
                  </pic:nvPicPr>
                  <pic:blipFill>
                    <a:blip r:embed="rId6" cstate="print"/>
                    <a:srcRect/>
                    <a:stretch>
                      <a:fillRect/>
                    </a:stretch>
                  </pic:blipFill>
                  <pic:spPr>
                    <a:xfrm>
                      <a:off x="0" y="0"/>
                      <a:ext cx="6038850" cy="4025900"/>
                    </a:xfrm>
                    <a:prstGeom prst="rect">
                      <a:avLst/>
                    </a:prstGeom>
                  </pic:spPr>
                </pic:pic>
              </a:graphicData>
            </a:graphic>
          </wp:inline>
        </w:drawing>
      </w:r>
    </w:p>
    <w:p w14:paraId="2BC84173">
      <w:pPr>
        <w:spacing w:after="210" w:line="360" w:lineRule="auto"/>
      </w:pPr>
      <w:r>
        <w:rPr>
          <w:rFonts w:ascii="inter" w:hAnsi="inter" w:eastAsia="inter" w:cs="inter"/>
          <w:color w:val="000000"/>
        </w:rPr>
        <w:t>Temporal Dynamics of Neutrophil Phenotypes, Functions, and NETosis in Cerebral Ischemia: Acute to Chronic Phases</w:t>
      </w:r>
    </w:p>
    <w:p w14:paraId="1AAA8BCE">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333F1356">
      <w:pPr>
        <w:spacing w:before="315" w:after="105" w:line="360" w:lineRule="auto"/>
        <w:ind w:left="-30"/>
        <w:jc w:val="left"/>
      </w:pPr>
      <w:bookmarkStart w:id="35" w:name="二_中性粒细胞与脑内关键细胞的相互作用与临床结局关联"/>
      <w:r>
        <w:rPr>
          <w:rFonts w:ascii="inter" w:hAnsi="inter" w:eastAsia="inter" w:cs="inter"/>
          <w:b/>
          <w:color w:val="000000"/>
          <w:sz w:val="24"/>
        </w:rPr>
        <w:t>二、中性粒细胞与脑内关键细胞的相互作用与临床结局关联</w:t>
      </w:r>
      <w:bookmarkEnd w:id="35"/>
    </w:p>
    <w:p w14:paraId="4F34FE51">
      <w:pPr>
        <w:spacing w:before="315" w:after="105" w:line="360" w:lineRule="auto"/>
        <w:ind w:left="-30"/>
        <w:jc w:val="left"/>
      </w:pPr>
      <w:bookmarkStart w:id="36" w:name="一_中性粒细胞_小胶质细胞相互作用"/>
      <w:r>
        <w:rPr>
          <w:rFonts w:ascii="inter" w:hAnsi="inter" w:eastAsia="inter" w:cs="inter"/>
          <w:b/>
          <w:color w:val="000000"/>
          <w:sz w:val="24"/>
        </w:rPr>
        <w:t>（一）中性粒细胞-小胶质细胞相互作用</w:t>
      </w:r>
      <w:r>
        <w:fldChar w:fldCharType="begin"/>
      </w:r>
      <w:r>
        <w:instrText xml:space="preserve"> HYPERLINK \l "fn7" \h </w:instrText>
      </w:r>
      <w:r>
        <w:fldChar w:fldCharType="separate"/>
      </w:r>
      <w:r>
        <w:rPr>
          <w:rFonts w:ascii="inter" w:hAnsi="inter" w:eastAsia="inter" w:cs="inter"/>
          <w:b/>
          <w:color w:val="000000"/>
          <w:sz w:val="24"/>
          <w:u w:val="single"/>
          <w:vertAlign w:val="superscript"/>
        </w:rPr>
        <w:t>[7]</w:t>
      </w:r>
      <w:r>
        <w:rPr>
          <w:rFonts w:ascii="inter" w:hAnsi="inter" w:eastAsia="inter" w:cs="inter"/>
          <w:b/>
          <w:color w:val="000000"/>
          <w:sz w:val="24"/>
          <w:u w:val="single"/>
          <w:vertAlign w:val="superscript"/>
        </w:rPr>
        <w:fldChar w:fldCharType="end"/>
      </w:r>
      <w:r>
        <w:fldChar w:fldCharType="begin"/>
      </w:r>
      <w:r>
        <w:instrText xml:space="preserve"> HYPERLINK \l "fn13" \h </w:instrText>
      </w:r>
      <w:r>
        <w:fldChar w:fldCharType="separate"/>
      </w:r>
      <w:r>
        <w:rPr>
          <w:rFonts w:ascii="inter" w:hAnsi="inter" w:eastAsia="inter" w:cs="inter"/>
          <w:b/>
          <w:color w:val="000000"/>
          <w:sz w:val="24"/>
          <w:u w:val="single"/>
          <w:vertAlign w:val="superscript"/>
        </w:rPr>
        <w:t>[13]</w:t>
      </w:r>
      <w:r>
        <w:rPr>
          <w:rFonts w:ascii="inter" w:hAnsi="inter" w:eastAsia="inter" w:cs="inter"/>
          <w:b/>
          <w:color w:val="000000"/>
          <w:sz w:val="24"/>
          <w:u w:val="single"/>
          <w:vertAlign w:val="superscript"/>
        </w:rPr>
        <w:fldChar w:fldCharType="end"/>
      </w:r>
      <w:bookmarkEnd w:id="36"/>
    </w:p>
    <w:p w14:paraId="23892813">
      <w:pPr>
        <w:spacing w:after="210" w:line="360" w:lineRule="auto"/>
      </w:pPr>
      <w:r>
        <w:rPr>
          <w:rFonts w:ascii="inter" w:hAnsi="inter" w:eastAsia="inter" w:cs="inter"/>
          <w:b/>
          <w:color w:val="000000"/>
        </w:rPr>
        <w:t>急性期相互作用（促炎循环）</w:t>
      </w:r>
      <w:r>
        <w:rPr>
          <w:rFonts w:ascii="inter" w:hAnsi="inter" w:eastAsia="inter" w:cs="inter"/>
          <w:color w:val="000000"/>
        </w:rPr>
        <w:t>：</w:t>
      </w:r>
    </w:p>
    <w:p w14:paraId="6EF970D0">
      <w:pPr>
        <w:numPr>
          <w:ilvl w:val="0"/>
          <w:numId w:val="10"/>
        </w:numPr>
        <w:spacing w:before="105" w:after="105" w:line="360" w:lineRule="auto"/>
      </w:pPr>
      <w:r>
        <w:rPr>
          <w:rFonts w:ascii="inter" w:hAnsi="inter" w:eastAsia="inter" w:cs="inter"/>
          <w:color w:val="000000"/>
          <w:sz w:val="21"/>
        </w:rPr>
        <w:t>浸润脑内的N1中性粒细胞释放TNF-α、IL-1β、IL-6通过相应受体激活小胶质细胞向M1型转化</w:t>
      </w:r>
    </w:p>
    <w:p w14:paraId="16B96BD8">
      <w:pPr>
        <w:numPr>
          <w:ilvl w:val="0"/>
          <w:numId w:val="10"/>
        </w:numPr>
        <w:spacing w:before="105" w:after="105" w:line="360" w:lineRule="auto"/>
      </w:pPr>
      <w:r>
        <w:rPr>
          <w:rFonts w:ascii="inter" w:hAnsi="inter" w:eastAsia="inter" w:cs="inter"/>
          <w:color w:val="000000"/>
          <w:sz w:val="21"/>
        </w:rPr>
        <w:t>NETs所含的DNA、组蛋白、酶成分作为DAMPs通过TLR4激活小胶质细胞，诱导其向M1型转化，形成相互促进的炎症放大，导致梗死灶扩大</w:t>
      </w:r>
    </w:p>
    <w:p w14:paraId="035B6C5E">
      <w:pPr>
        <w:spacing w:after="210" w:line="360" w:lineRule="auto"/>
      </w:pPr>
      <w:r>
        <w:rPr>
          <w:rFonts w:ascii="inter" w:hAnsi="inter" w:eastAsia="inter" w:cs="inter"/>
          <w:b/>
          <w:color w:val="000000"/>
        </w:rPr>
        <w:t>慢性期相互作用（清除与修复）</w:t>
      </w:r>
      <w:r>
        <w:rPr>
          <w:rFonts w:ascii="inter" w:hAnsi="inter" w:eastAsia="inter" w:cs="inter"/>
          <w:color w:val="000000"/>
        </w:rPr>
        <w:t>：</w:t>
      </w:r>
      <w:bookmarkStart w:id="37" w:name="fnref7_3"/>
      <w:bookmarkEnd w:id="37"/>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38" w:name="fnref13_1"/>
      <w:bookmarkEnd w:id="38"/>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689FF3CF">
      <w:pPr>
        <w:numPr>
          <w:ilvl w:val="0"/>
          <w:numId w:val="11"/>
        </w:numPr>
        <w:spacing w:before="105" w:after="105" w:line="360" w:lineRule="auto"/>
      </w:pPr>
      <w:r>
        <w:rPr>
          <w:rFonts w:ascii="inter" w:hAnsi="inter" w:eastAsia="inter" w:cs="inter"/>
          <w:color w:val="000000"/>
          <w:sz w:val="21"/>
        </w:rPr>
        <w:t>N2型中性粒细胞释放IL-10、TGF-β驱使小胶质细胞向M2型转化，M2小胶质细胞高效摄取凋亡的N2中性粒细胞</w:t>
      </w:r>
    </w:p>
    <w:p w14:paraId="7E574211">
      <w:pPr>
        <w:numPr>
          <w:ilvl w:val="0"/>
          <w:numId w:val="11"/>
        </w:numPr>
        <w:spacing w:before="105" w:after="105" w:line="360" w:lineRule="auto"/>
      </w:pPr>
      <w:r>
        <w:rPr>
          <w:rFonts w:ascii="inter" w:hAnsi="inter" w:eastAsia="inter" w:cs="inter"/>
          <w:color w:val="000000"/>
          <w:sz w:val="21"/>
        </w:rPr>
        <w:t>这一吞噬过程本身诱导小胶质细胞的进一步M2极化，促进炎症消退</w:t>
      </w:r>
    </w:p>
    <w:p w14:paraId="38B284D8">
      <w:pPr>
        <w:spacing w:before="315" w:after="105" w:line="360" w:lineRule="auto"/>
        <w:ind w:left="-30"/>
        <w:jc w:val="left"/>
      </w:pPr>
      <w:bookmarkStart w:id="39" w:name="二_中性粒细胞_星形胶质细胞相互作用"/>
      <w:r>
        <w:rPr>
          <w:rFonts w:ascii="inter" w:hAnsi="inter" w:eastAsia="inter" w:cs="inter"/>
          <w:b/>
          <w:color w:val="000000"/>
          <w:sz w:val="24"/>
        </w:rPr>
        <w:t>（二）中性粒细胞-星形胶质细胞相互作用</w:t>
      </w:r>
      <w:r>
        <w:fldChar w:fldCharType="begin"/>
      </w:r>
      <w:r>
        <w:instrText xml:space="preserve"> HYPERLINK \l "fn13" \h </w:instrText>
      </w:r>
      <w:r>
        <w:fldChar w:fldCharType="separate"/>
      </w:r>
      <w:r>
        <w:rPr>
          <w:rFonts w:ascii="inter" w:hAnsi="inter" w:eastAsia="inter" w:cs="inter"/>
          <w:b/>
          <w:color w:val="000000"/>
          <w:sz w:val="24"/>
          <w:u w:val="single"/>
          <w:vertAlign w:val="superscript"/>
        </w:rPr>
        <w:t>[13]</w:t>
      </w:r>
      <w:r>
        <w:rPr>
          <w:rFonts w:ascii="inter" w:hAnsi="inter" w:eastAsia="inter" w:cs="inter"/>
          <w:b/>
          <w:color w:val="000000"/>
          <w:sz w:val="24"/>
          <w:u w:val="single"/>
          <w:vertAlign w:val="superscript"/>
        </w:rPr>
        <w:fldChar w:fldCharType="end"/>
      </w:r>
      <w:r>
        <w:fldChar w:fldCharType="begin"/>
      </w:r>
      <w:r>
        <w:instrText xml:space="preserve"> HYPERLINK \l "fn14" \h </w:instrText>
      </w:r>
      <w:r>
        <w:fldChar w:fldCharType="separate"/>
      </w:r>
      <w:r>
        <w:rPr>
          <w:rFonts w:ascii="inter" w:hAnsi="inter" w:eastAsia="inter" w:cs="inter"/>
          <w:b/>
          <w:color w:val="000000"/>
          <w:sz w:val="24"/>
          <w:u w:val="single"/>
          <w:vertAlign w:val="superscript"/>
        </w:rPr>
        <w:t>[14]</w:t>
      </w:r>
      <w:r>
        <w:rPr>
          <w:rFonts w:ascii="inter" w:hAnsi="inter" w:eastAsia="inter" w:cs="inter"/>
          <w:b/>
          <w:color w:val="000000"/>
          <w:sz w:val="24"/>
          <w:u w:val="single"/>
          <w:vertAlign w:val="superscript"/>
        </w:rPr>
        <w:fldChar w:fldCharType="end"/>
      </w:r>
      <w:bookmarkEnd w:id="39"/>
    </w:p>
    <w:p w14:paraId="47A398B0">
      <w:pPr>
        <w:spacing w:after="210" w:line="360" w:lineRule="auto"/>
      </w:pPr>
      <w:r>
        <w:rPr>
          <w:rFonts w:ascii="inter" w:hAnsi="inter" w:eastAsia="inter" w:cs="inter"/>
          <w:b/>
          <w:color w:val="000000"/>
        </w:rPr>
        <w:t>急性期相互作用</w:t>
      </w:r>
      <w:r>
        <w:rPr>
          <w:rFonts w:ascii="inter" w:hAnsi="inter" w:eastAsia="inter" w:cs="inter"/>
          <w:color w:val="000000"/>
        </w:rPr>
        <w:t>：</w:t>
      </w:r>
      <w:bookmarkStart w:id="40" w:name="fnref13_3"/>
      <w:bookmarkEnd w:id="40"/>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41" w:name="fnref14_1"/>
      <w:bookmarkEnd w:id="41"/>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4C82456B">
      <w:pPr>
        <w:numPr>
          <w:ilvl w:val="0"/>
          <w:numId w:val="12"/>
        </w:numPr>
        <w:spacing w:before="105" w:after="105" w:line="360" w:lineRule="auto"/>
      </w:pPr>
      <w:r>
        <w:rPr>
          <w:rFonts w:ascii="inter" w:hAnsi="inter" w:eastAsia="inter" w:cs="inter"/>
          <w:color w:val="000000"/>
          <w:sz w:val="21"/>
        </w:rPr>
        <w:t>N1中性粒细胞释放的TNF-α、IL-1β激活缝隙连接通道（connexin 43, Cx43半通道），导致星形胶质细胞向A1型转化</w:t>
      </w:r>
    </w:p>
    <w:p w14:paraId="47B5A9D4">
      <w:pPr>
        <w:numPr>
          <w:ilvl w:val="0"/>
          <w:numId w:val="12"/>
        </w:numPr>
        <w:spacing w:before="105" w:after="105" w:line="360" w:lineRule="auto"/>
      </w:pPr>
      <w:r>
        <w:rPr>
          <w:rFonts w:ascii="inter" w:hAnsi="inter" w:eastAsia="inter" w:cs="inter"/>
          <w:color w:val="000000"/>
          <w:sz w:val="21"/>
        </w:rPr>
        <w:t>A1星形胶质细胞失去原有的神经保护功能，转而释放促炎因子</w:t>
      </w:r>
    </w:p>
    <w:p w14:paraId="419F27A5">
      <w:pPr>
        <w:spacing w:after="210" w:line="360" w:lineRule="auto"/>
      </w:pPr>
      <w:r>
        <w:rPr>
          <w:rFonts w:ascii="inter" w:hAnsi="inter" w:eastAsia="inter" w:cs="inter"/>
          <w:b/>
          <w:color w:val="000000"/>
        </w:rPr>
        <w:t>慢性期相互作用</w:t>
      </w:r>
      <w:r>
        <w:rPr>
          <w:rFonts w:ascii="inter" w:hAnsi="inter" w:eastAsia="inter" w:cs="inter"/>
          <w:color w:val="000000"/>
        </w:rPr>
        <w:t>：</w:t>
      </w:r>
      <w:bookmarkStart w:id="42" w:name="fnref14_2"/>
      <w:bookmarkEnd w:id="42"/>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43" w:name="fnref13_4"/>
      <w:bookmarkEnd w:id="43"/>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5C71B262">
      <w:pPr>
        <w:numPr>
          <w:ilvl w:val="0"/>
          <w:numId w:val="13"/>
        </w:numPr>
        <w:spacing w:before="105" w:after="105" w:line="360" w:lineRule="auto"/>
      </w:pPr>
      <w:r>
        <w:rPr>
          <w:rFonts w:ascii="inter" w:hAnsi="inter" w:eastAsia="inter" w:cs="inter"/>
          <w:color w:val="000000"/>
          <w:sz w:val="21"/>
        </w:rPr>
        <w:t>N2中性粒细胞释放IL-10、TGF-β促进A2型星形胶质细胞形成</w:t>
      </w:r>
    </w:p>
    <w:p w14:paraId="3AB4B05F">
      <w:pPr>
        <w:numPr>
          <w:ilvl w:val="0"/>
          <w:numId w:val="13"/>
        </w:numPr>
        <w:spacing w:before="105" w:after="105" w:line="360" w:lineRule="auto"/>
      </w:pPr>
      <w:r>
        <w:rPr>
          <w:rFonts w:ascii="inter" w:hAnsi="inter" w:eastAsia="inter" w:cs="inter"/>
          <w:color w:val="000000"/>
          <w:sz w:val="21"/>
        </w:rPr>
        <w:t>A2星形胶质细胞产生神经营养因子（IGF-1、BDNF、NGF）支持神经元，促进功能恢复</w:t>
      </w:r>
    </w:p>
    <w:p w14:paraId="2625AB3B">
      <w:pPr>
        <w:spacing w:before="315" w:after="105" w:line="360" w:lineRule="auto"/>
        <w:ind w:left="-30"/>
        <w:jc w:val="left"/>
      </w:pPr>
      <w:bookmarkStart w:id="44" w:name="三_中性粒细胞_内皮细胞_周细胞相互作用与bbb完整性"/>
      <w:r>
        <w:rPr>
          <w:rFonts w:ascii="inter" w:hAnsi="inter" w:eastAsia="inter" w:cs="inter"/>
          <w:b/>
          <w:color w:val="000000"/>
          <w:sz w:val="24"/>
        </w:rPr>
        <w:t>（三）中性粒细胞-内皮细胞-周细胞相互作用与BBB完整性</w:t>
      </w:r>
      <w:r>
        <w:fldChar w:fldCharType="begin"/>
      </w:r>
      <w:r>
        <w:instrText xml:space="preserve"> HYPERLINK \l "fn15" \h </w:instrText>
      </w:r>
      <w:r>
        <w:fldChar w:fldCharType="separate"/>
      </w:r>
      <w:r>
        <w:rPr>
          <w:rFonts w:ascii="inter" w:hAnsi="inter" w:eastAsia="inter" w:cs="inter"/>
          <w:b/>
          <w:color w:val="000000"/>
          <w:sz w:val="24"/>
          <w:u w:val="single"/>
          <w:vertAlign w:val="superscript"/>
        </w:rPr>
        <w:t>[15]</w:t>
      </w:r>
      <w:r>
        <w:rPr>
          <w:rFonts w:ascii="inter" w:hAnsi="inter" w:eastAsia="inter" w:cs="inter"/>
          <w:b/>
          <w:color w:val="000000"/>
          <w:sz w:val="24"/>
          <w:u w:val="single"/>
          <w:vertAlign w:val="superscript"/>
        </w:rPr>
        <w:fldChar w:fldCharType="end"/>
      </w:r>
      <w:r>
        <w:fldChar w:fldCharType="begin"/>
      </w:r>
      <w:r>
        <w:instrText xml:space="preserve"> HYPERLINK \l "fn16" \h </w:instrText>
      </w:r>
      <w:r>
        <w:fldChar w:fldCharType="separate"/>
      </w:r>
      <w:r>
        <w:rPr>
          <w:rFonts w:ascii="inter" w:hAnsi="inter" w:eastAsia="inter" w:cs="inter"/>
          <w:b/>
          <w:color w:val="000000"/>
          <w:sz w:val="24"/>
          <w:u w:val="single"/>
          <w:vertAlign w:val="superscript"/>
        </w:rPr>
        <w:t>[16]</w:t>
      </w:r>
      <w:r>
        <w:rPr>
          <w:rFonts w:ascii="inter" w:hAnsi="inter" w:eastAsia="inter" w:cs="inter"/>
          <w:b/>
          <w:color w:val="000000"/>
          <w:sz w:val="24"/>
          <w:u w:val="single"/>
          <w:vertAlign w:val="superscript"/>
        </w:rPr>
        <w:fldChar w:fldCharType="end"/>
      </w:r>
      <w:r>
        <w:fldChar w:fldCharType="begin"/>
      </w:r>
      <w:r>
        <w:instrText xml:space="preserve"> HYPERLINK \l "fn17" \h </w:instrText>
      </w:r>
      <w:r>
        <w:fldChar w:fldCharType="separate"/>
      </w:r>
      <w:r>
        <w:rPr>
          <w:rFonts w:ascii="inter" w:hAnsi="inter" w:eastAsia="inter" w:cs="inter"/>
          <w:b/>
          <w:color w:val="000000"/>
          <w:sz w:val="24"/>
          <w:u w:val="single"/>
          <w:vertAlign w:val="superscript"/>
        </w:rPr>
        <w:t>[17]</w:t>
      </w:r>
      <w:r>
        <w:rPr>
          <w:rFonts w:ascii="inter" w:hAnsi="inter" w:eastAsia="inter" w:cs="inter"/>
          <w:b/>
          <w:color w:val="000000"/>
          <w:sz w:val="24"/>
          <w:u w:val="single"/>
          <w:vertAlign w:val="superscript"/>
        </w:rPr>
        <w:fldChar w:fldCharType="end"/>
      </w:r>
      <w:bookmarkEnd w:id="44"/>
    </w:p>
    <w:p w14:paraId="7D81718B">
      <w:pPr>
        <w:spacing w:after="210" w:line="360" w:lineRule="auto"/>
      </w:pPr>
      <w:r>
        <w:rPr>
          <w:rFonts w:ascii="inter" w:hAnsi="inter" w:eastAsia="inter" w:cs="inter"/>
          <w:b/>
          <w:color w:val="000000"/>
        </w:rPr>
        <w:t>急性期BBB破坏</w:t>
      </w:r>
      <w:r>
        <w:rPr>
          <w:rFonts w:ascii="inter" w:hAnsi="inter" w:eastAsia="inter" w:cs="inter"/>
          <w:color w:val="000000"/>
        </w:rPr>
        <w:t>：</w:t>
      </w:r>
      <w:bookmarkStart w:id="45" w:name="fnref15_1"/>
      <w:bookmarkEnd w:id="45"/>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46" w:name="fnref16_1"/>
      <w:bookmarkEnd w:id="46"/>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47" w:name="fnref17_1"/>
      <w:bookmarkEnd w:id="47"/>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55B7BACB">
      <w:pPr>
        <w:numPr>
          <w:ilvl w:val="0"/>
          <w:numId w:val="14"/>
        </w:numPr>
        <w:spacing w:before="105" w:after="105" w:line="360" w:lineRule="auto"/>
      </w:pPr>
      <w:r>
        <w:rPr>
          <w:rFonts w:ascii="inter" w:hAnsi="inter" w:eastAsia="inter" w:cs="inter"/>
          <w:color w:val="000000"/>
          <w:sz w:val="21"/>
        </w:rPr>
        <w:t>中性粒细胞释放的蛋白酶（MMP-9、NE）直接降解紧密连接蛋白（claudin-5、occludin、ZO-1）和基底膜</w:t>
      </w:r>
    </w:p>
    <w:p w14:paraId="3E157352">
      <w:pPr>
        <w:numPr>
          <w:ilvl w:val="0"/>
          <w:numId w:val="14"/>
        </w:numPr>
        <w:spacing w:before="105" w:after="105" w:line="360" w:lineRule="auto"/>
      </w:pPr>
      <w:r>
        <w:rPr>
          <w:rFonts w:ascii="inter" w:hAnsi="inter" w:eastAsia="inter" w:cs="inter"/>
          <w:color w:val="000000"/>
          <w:sz w:val="21"/>
        </w:rPr>
        <w:t>NINJ1介导的内皮细胞膜破裂诱导HMGB1释放，进一步促进中性粒细胞浸润和NETs形成，形成恶性循环</w:t>
      </w:r>
      <w:bookmarkStart w:id="48" w:name="fnref15_2"/>
      <w:bookmarkEnd w:id="48"/>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p>
    <w:p w14:paraId="445B2822">
      <w:pPr>
        <w:numPr>
          <w:ilvl w:val="0"/>
          <w:numId w:val="14"/>
        </w:numPr>
        <w:spacing w:before="105" w:after="105" w:line="360" w:lineRule="auto"/>
      </w:pPr>
      <w:r>
        <w:rPr>
          <w:rFonts w:ascii="inter" w:hAnsi="inter" w:eastAsia="inter" w:cs="inter"/>
          <w:color w:val="000000"/>
          <w:sz w:val="21"/>
        </w:rPr>
        <w:t>周细胞释放的MMP-9参与基底膜重塑，但过量则加重BBB通透性</w:t>
      </w:r>
    </w:p>
    <w:p w14:paraId="23F9A74F">
      <w:pPr>
        <w:spacing w:after="210" w:line="360" w:lineRule="auto"/>
      </w:pPr>
      <w:r>
        <w:rPr>
          <w:rFonts w:ascii="inter" w:hAnsi="inter" w:eastAsia="inter" w:cs="inter"/>
          <w:b/>
          <w:color w:val="000000"/>
        </w:rPr>
        <w:t>慢性期BBB修复</w:t>
      </w:r>
      <w:r>
        <w:rPr>
          <w:rFonts w:ascii="inter" w:hAnsi="inter" w:eastAsia="inter" w:cs="inter"/>
          <w:color w:val="000000"/>
        </w:rPr>
        <w:t>：</w:t>
      </w:r>
      <w:bookmarkStart w:id="49" w:name="fnref16_2"/>
      <w:bookmarkEnd w:id="49"/>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50" w:name="fnref17_2"/>
      <w:bookmarkEnd w:id="50"/>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51" w:name="fnref18"/>
      <w:bookmarkEnd w:id="51"/>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77EF1F82">
      <w:pPr>
        <w:numPr>
          <w:ilvl w:val="0"/>
          <w:numId w:val="15"/>
        </w:numPr>
        <w:spacing w:before="105" w:after="105" w:line="360" w:lineRule="auto"/>
      </w:pPr>
      <w:r>
        <w:rPr>
          <w:rFonts w:ascii="inter" w:hAnsi="inter" w:eastAsia="inter" w:cs="inter"/>
          <w:color w:val="000000"/>
          <w:sz w:val="21"/>
        </w:rPr>
        <w:t>N2中性粒细胞释放的CAMP、BDNF、VEGF促进内皮细胞增殖和新血管形成</w:t>
      </w:r>
    </w:p>
    <w:p w14:paraId="4EB365FA">
      <w:pPr>
        <w:numPr>
          <w:ilvl w:val="0"/>
          <w:numId w:val="15"/>
        </w:numPr>
        <w:spacing w:before="105" w:after="105" w:line="360" w:lineRule="auto"/>
      </w:pPr>
      <w:r>
        <w:rPr>
          <w:rFonts w:ascii="inter" w:hAnsi="inter" w:eastAsia="inter" w:cs="inter"/>
          <w:color w:val="000000"/>
          <w:sz w:val="21"/>
        </w:rPr>
        <w:t>抑制STING-IFN-β信号通路，解除对血管新生的神经炎症驱动</w:t>
      </w:r>
    </w:p>
    <w:p w14:paraId="4363C059">
      <w:pPr>
        <w:spacing w:before="315" w:after="105" w:line="360" w:lineRule="auto"/>
        <w:ind w:left="-30"/>
        <w:jc w:val="left"/>
      </w:pPr>
      <w:bookmarkStart w:id="52" w:name="四_中性粒细胞_神经元相互作用"/>
      <w:r>
        <w:rPr>
          <w:rFonts w:ascii="inter" w:hAnsi="inter" w:eastAsia="inter" w:cs="inter"/>
          <w:b/>
          <w:color w:val="000000"/>
          <w:sz w:val="24"/>
        </w:rPr>
        <w:t>（四）中性粒细胞-神经元相互作用</w:t>
      </w:r>
      <w:r>
        <w:fldChar w:fldCharType="begin"/>
      </w:r>
      <w:r>
        <w:instrText xml:space="preserve"> HYPERLINK \l "fn8" \h </w:instrText>
      </w:r>
      <w:r>
        <w:fldChar w:fldCharType="separate"/>
      </w:r>
      <w:r>
        <w:rPr>
          <w:rFonts w:ascii="inter" w:hAnsi="inter" w:eastAsia="inter" w:cs="inter"/>
          <w:b/>
          <w:color w:val="000000"/>
          <w:sz w:val="24"/>
          <w:u w:val="single"/>
          <w:vertAlign w:val="superscript"/>
        </w:rPr>
        <w:t>[8]</w:t>
      </w:r>
      <w:r>
        <w:rPr>
          <w:rFonts w:ascii="inter" w:hAnsi="inter" w:eastAsia="inter" w:cs="inter"/>
          <w:b/>
          <w:color w:val="000000"/>
          <w:sz w:val="24"/>
          <w:u w:val="single"/>
          <w:vertAlign w:val="superscript"/>
        </w:rPr>
        <w:fldChar w:fldCharType="end"/>
      </w:r>
      <w:r>
        <w:fldChar w:fldCharType="begin"/>
      </w:r>
      <w:r>
        <w:instrText xml:space="preserve"> HYPERLINK \l "fn10" \h </w:instrText>
      </w:r>
      <w:r>
        <w:fldChar w:fldCharType="separate"/>
      </w:r>
      <w:r>
        <w:rPr>
          <w:rFonts w:ascii="inter" w:hAnsi="inter" w:eastAsia="inter" w:cs="inter"/>
          <w:b/>
          <w:color w:val="000000"/>
          <w:sz w:val="24"/>
          <w:u w:val="single"/>
          <w:vertAlign w:val="superscript"/>
        </w:rPr>
        <w:t>[10]</w:t>
      </w:r>
      <w:r>
        <w:rPr>
          <w:rFonts w:ascii="inter" w:hAnsi="inter" w:eastAsia="inter" w:cs="inter"/>
          <w:b/>
          <w:color w:val="000000"/>
          <w:sz w:val="24"/>
          <w:u w:val="single"/>
          <w:vertAlign w:val="superscript"/>
        </w:rPr>
        <w:fldChar w:fldCharType="end"/>
      </w:r>
      <w:bookmarkEnd w:id="52"/>
    </w:p>
    <w:p w14:paraId="29233DAD">
      <w:pPr>
        <w:spacing w:after="210" w:line="360" w:lineRule="auto"/>
      </w:pPr>
      <w:r>
        <w:rPr>
          <w:rFonts w:ascii="inter" w:hAnsi="inter" w:eastAsia="inter" w:cs="inter"/>
          <w:b/>
          <w:color w:val="000000"/>
        </w:rPr>
        <w:t>急性期神经毒性作用</w:t>
      </w:r>
      <w:r>
        <w:rPr>
          <w:rFonts w:ascii="inter" w:hAnsi="inter" w:eastAsia="inter" w:cs="inter"/>
          <w:color w:val="000000"/>
        </w:rPr>
        <w:t>：</w:t>
      </w:r>
      <w:bookmarkStart w:id="53" w:name="fnref8_7"/>
      <w:bookmarkEnd w:id="53"/>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54" w:name="fnref10_7"/>
      <w:bookmarkEnd w:id="54"/>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0E5D367D">
      <w:pPr>
        <w:numPr>
          <w:ilvl w:val="0"/>
          <w:numId w:val="16"/>
        </w:numPr>
        <w:spacing w:before="105" w:after="105" w:line="360" w:lineRule="auto"/>
      </w:pPr>
      <w:r>
        <w:rPr>
          <w:rFonts w:ascii="inter" w:hAnsi="inter" w:eastAsia="inter" w:cs="inter"/>
          <w:color w:val="000000"/>
          <w:sz w:val="21"/>
        </w:rPr>
        <w:t>NETs的组分（组蛋白、DNA、蛋白酶）直接导致神经元凋亡</w:t>
      </w:r>
    </w:p>
    <w:p w14:paraId="55D20237">
      <w:pPr>
        <w:numPr>
          <w:ilvl w:val="0"/>
          <w:numId w:val="16"/>
        </w:numPr>
        <w:spacing w:before="105" w:after="105" w:line="360" w:lineRule="auto"/>
      </w:pPr>
      <w:r>
        <w:rPr>
          <w:rFonts w:ascii="inter" w:hAnsi="inter" w:eastAsia="inter" w:cs="inter"/>
          <w:color w:val="000000"/>
          <w:sz w:val="21"/>
        </w:rPr>
        <w:t>中性粒细胞释放的TNF-α、IL-1β激活神经元上的死亡受体，启动凋亡通路</w:t>
      </w:r>
    </w:p>
    <w:p w14:paraId="609023A2">
      <w:pPr>
        <w:spacing w:after="210" w:line="360" w:lineRule="auto"/>
      </w:pPr>
      <w:r>
        <w:rPr>
          <w:rFonts w:ascii="inter" w:hAnsi="inter" w:eastAsia="inter" w:cs="inter"/>
          <w:b/>
          <w:color w:val="000000"/>
        </w:rPr>
        <w:t>慢性期神经保护</w:t>
      </w:r>
      <w:r>
        <w:rPr>
          <w:rFonts w:ascii="inter" w:hAnsi="inter" w:eastAsia="inter" w:cs="inter"/>
          <w:color w:val="000000"/>
        </w:rPr>
        <w:t>：</w:t>
      </w:r>
      <w:bookmarkStart w:id="55" w:name="fnref10_8"/>
      <w:bookmarkEnd w:id="55"/>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56" w:name="fnref8_8"/>
      <w:bookmarkEnd w:id="56"/>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76F0409A">
      <w:pPr>
        <w:numPr>
          <w:ilvl w:val="0"/>
          <w:numId w:val="17"/>
        </w:numPr>
        <w:spacing w:before="105" w:after="105" w:line="360" w:lineRule="auto"/>
      </w:pPr>
      <w:r>
        <w:rPr>
          <w:rFonts w:ascii="inter" w:hAnsi="inter" w:eastAsia="inter" w:cs="inter"/>
          <w:color w:val="000000"/>
          <w:sz w:val="21"/>
        </w:rPr>
        <w:t>N2中性粒细胞释放的BDNF、NGF促进神经元存活、轴突生长和突触重塑</w:t>
      </w:r>
    </w:p>
    <w:p w14:paraId="08AEC754">
      <w:pPr>
        <w:numPr>
          <w:ilvl w:val="0"/>
          <w:numId w:val="17"/>
        </w:numPr>
        <w:spacing w:before="105" w:after="105" w:line="360" w:lineRule="auto"/>
      </w:pPr>
      <w:r>
        <w:rPr>
          <w:rFonts w:ascii="inter" w:hAnsi="inter" w:eastAsia="inter" w:cs="inter"/>
          <w:color w:val="000000"/>
          <w:sz w:val="21"/>
        </w:rPr>
        <w:t>产生的IL-10抑制神经元焦亡信号，促进神经发生和轴突再生</w:t>
      </w:r>
    </w:p>
    <w:p w14:paraId="588656D5">
      <w:pPr>
        <w:spacing w:after="0" w:line="360" w:lineRule="auto"/>
        <w:jc w:val="center"/>
      </w:pPr>
      <w:r>
        <w:rPr>
          <w:rFonts w:ascii="inter" w:hAnsi="inter" w:eastAsia="inter" w:cs="inter"/>
          <w:color w:val="000000"/>
        </w:rPr>
        <w:drawing>
          <wp:inline distT="0" distB="0" distL="0" distR="0">
            <wp:extent cx="6038850" cy="4025900"/>
            <wp:effectExtent l="0" t="0" r="0" b="0"/>
            <wp:docPr id="3" name="image-d64aa1ffb299a5708e0618a0eceab4de68739748.png" descr="Neutrophil Subset-Cell Type Interaction Network in Cerebral Ischemia: Acute vs Chronic Phases"/>
            <wp:cNvGraphicFramePr/>
            <a:graphic xmlns:a="http://schemas.openxmlformats.org/drawingml/2006/main">
              <a:graphicData uri="http://schemas.openxmlformats.org/drawingml/2006/picture">
                <pic:pic xmlns:pic="http://schemas.openxmlformats.org/drawingml/2006/picture">
                  <pic:nvPicPr>
                    <pic:cNvPr id="3" name="image-d64aa1ffb299a5708e0618a0eceab4de68739748.png" descr="Neutrophil Subset-Cell Type Interaction Network in Cerebral Ischemia: Acute vs Chronic Phases"/>
                    <pic:cNvPicPr/>
                  </pic:nvPicPr>
                  <pic:blipFill>
                    <a:blip r:embed="rId7" cstate="print"/>
                    <a:srcRect/>
                    <a:stretch>
                      <a:fillRect/>
                    </a:stretch>
                  </pic:blipFill>
                  <pic:spPr>
                    <a:xfrm>
                      <a:off x="0" y="0"/>
                      <a:ext cx="6038850" cy="4025900"/>
                    </a:xfrm>
                    <a:prstGeom prst="rect">
                      <a:avLst/>
                    </a:prstGeom>
                  </pic:spPr>
                </pic:pic>
              </a:graphicData>
            </a:graphic>
          </wp:inline>
        </w:drawing>
      </w:r>
    </w:p>
    <w:p w14:paraId="2771C49B">
      <w:pPr>
        <w:spacing w:after="210" w:line="360" w:lineRule="auto"/>
      </w:pPr>
      <w:r>
        <w:rPr>
          <w:rFonts w:ascii="inter" w:hAnsi="inter" w:eastAsia="inter" w:cs="inter"/>
          <w:color w:val="000000"/>
        </w:rPr>
        <w:t>Neutrophil Subset-Cell Type Interaction Network in Cerebral Ischemia: Acute vs Chronic Phases</w:t>
      </w:r>
    </w:p>
    <w:p w14:paraId="49650BF3">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11000BB1">
      <w:pPr>
        <w:spacing w:before="315" w:after="105" w:line="360" w:lineRule="auto"/>
        <w:ind w:left="-30"/>
        <w:jc w:val="left"/>
      </w:pPr>
      <w:bookmarkStart w:id="57" w:name="三_临床结局预测与生物标志物"/>
      <w:r>
        <w:rPr>
          <w:rFonts w:ascii="inter" w:hAnsi="inter" w:eastAsia="inter" w:cs="inter"/>
          <w:b/>
          <w:color w:val="000000"/>
          <w:sz w:val="24"/>
        </w:rPr>
        <w:t>三、临床结局预测与生物标志物</w:t>
      </w:r>
      <w:bookmarkEnd w:id="57"/>
    </w:p>
    <w:p w14:paraId="61421710">
      <w:pPr>
        <w:spacing w:after="210" w:line="360" w:lineRule="auto"/>
      </w:pPr>
      <w:r>
        <w:rPr>
          <w:rFonts w:ascii="inter" w:hAnsi="inter" w:eastAsia="inter" w:cs="inter"/>
          <w:color w:val="000000"/>
        </w:rPr>
        <w:t>中性粒细胞相关生物标志物与临床预后的关系已被广泛研究。**中性粒细胞-淋巴细胞比（NLR）**是一个强有力的预测指标：入院时NLR&gt;3.5与3月预后不良显著相关，而入院24-36小时内NLR的变化速度与功能恢复速度相关。</w:t>
      </w:r>
      <w:r>
        <w:rPr>
          <w:rFonts w:ascii="inter" w:hAnsi="inter" w:eastAsia="inter" w:cs="inter"/>
          <w:b/>
          <w:color w:val="000000"/>
        </w:rPr>
        <w:t>NETs相关标志物</w:t>
      </w:r>
      <w:r>
        <w:rPr>
          <w:rFonts w:ascii="inter" w:hAnsi="inter" w:eastAsia="inter" w:cs="inter"/>
          <w:color w:val="000000"/>
        </w:rPr>
        <w:t>（H3Cit、MPO-DNA、cfDNA）的升高预示BBB破坏严重、出血转化风险增加。</w:t>
      </w:r>
      <w:r>
        <w:rPr>
          <w:rFonts w:ascii="inter" w:hAnsi="inter" w:eastAsia="inter" w:cs="inter"/>
          <w:b/>
          <w:color w:val="000000"/>
        </w:rPr>
        <w:t>动态标志物</w:t>
      </w:r>
      <w:r>
        <w:rPr>
          <w:rFonts w:ascii="inter" w:hAnsi="inter" w:eastAsia="inter" w:cs="inter"/>
          <w:color w:val="000000"/>
        </w:rPr>
        <w:t>如循环CAMP升高标志着促血管新生阶段启动，与14天后脑血流改善和运动功能恢复相关，而持续升高的TNF-α预示卒中后抑郁症发展风险增加。</w:t>
      </w:r>
      <w:bookmarkStart w:id="58" w:name="fnref19"/>
      <w:bookmarkEnd w:id="58"/>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59" w:name="fnref20"/>
      <w:bookmarkEnd w:id="59"/>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60" w:name="fnref12_2"/>
      <w:bookmarkEnd w:id="60"/>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61" w:name="fnref21"/>
      <w:bookmarkEnd w:id="61"/>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601BC97C">
      <w:pPr>
        <w:spacing w:after="210" w:line="360" w:lineRule="auto"/>
      </w:pPr>
      <w:r>
        <w:rPr>
          <w:rFonts w:ascii="inter" w:hAnsi="inter" w:eastAsia="inter" w:cs="inter"/>
          <w:color w:val="000000"/>
        </w:rPr>
        <w:t>基于这些标志物，患者可按预后分层为高风险（mRS≥3概率&gt;60%）和低风险（mRS 0-2概率&gt;60%）组，支持临床决策和个性化治疗策略的制定。</w:t>
      </w:r>
      <w:bookmarkStart w:id="62" w:name="fnref22"/>
      <w:bookmarkEnd w:id="62"/>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63" w:name="fnref21_1"/>
      <w:bookmarkEnd w:id="63"/>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6CF4F910">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71C9285E">
      <w:pPr>
        <w:spacing w:before="315" w:after="105" w:line="360" w:lineRule="auto"/>
        <w:ind w:left="-30"/>
        <w:jc w:val="left"/>
      </w:pPr>
      <w:bookmarkStart w:id="64" w:name="四_未来研究方向分析"/>
      <w:r>
        <w:rPr>
          <w:rFonts w:ascii="inter" w:hAnsi="inter" w:eastAsia="inter" w:cs="inter"/>
          <w:b/>
          <w:color w:val="000000"/>
          <w:sz w:val="24"/>
        </w:rPr>
        <w:t>四、未来研究方向分析</w:t>
      </w:r>
      <w:bookmarkEnd w:id="64"/>
    </w:p>
    <w:p w14:paraId="77DAD70D">
      <w:pPr>
        <w:spacing w:before="315" w:after="105" w:line="360" w:lineRule="auto"/>
        <w:ind w:left="-30"/>
        <w:jc w:val="left"/>
      </w:pPr>
      <w:bookmarkStart w:id="65" w:name="一_基础研究层面"/>
      <w:r>
        <w:rPr>
          <w:rFonts w:ascii="inter" w:hAnsi="inter" w:eastAsia="inter" w:cs="inter"/>
          <w:b/>
          <w:color w:val="000000"/>
          <w:sz w:val="24"/>
        </w:rPr>
        <w:t>（一）基础研究层面</w:t>
      </w:r>
      <w:bookmarkEnd w:id="65"/>
    </w:p>
    <w:p w14:paraId="5E227087">
      <w:pPr>
        <w:spacing w:after="210" w:line="360" w:lineRule="auto"/>
      </w:pPr>
      <w:r>
        <w:rPr>
          <w:rFonts w:ascii="inter" w:hAnsi="inter" w:eastAsia="inter" w:cs="inter"/>
          <w:b/>
          <w:color w:val="000000"/>
        </w:rPr>
        <w:t>单细胞测序与中性粒细胞异质性深度表征</w:t>
      </w:r>
      <w:r>
        <w:rPr>
          <w:rFonts w:ascii="inter" w:hAnsi="inter" w:eastAsia="inter" w:cs="inter"/>
          <w:color w:val="000000"/>
        </w:rPr>
        <w:t>：目前脑缺血中性粒细胞研究主要依赖于功能性N1/N2分类，但尚缺乏单细胞RNA测序数据。建议采用体内单细胞RNA测序刻画脑梗死不同时间点的完整中性粒细胞转录组，鉴定脑缺血特异的中性粒细胞亚群，并与肿瘤、感染中的中性粒细胞对比。</w:t>
      </w:r>
      <w:bookmarkStart w:id="66" w:name="fnref10_9"/>
      <w:bookmarkEnd w:id="66"/>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43708439">
      <w:pPr>
        <w:spacing w:after="210" w:line="360" w:lineRule="auto"/>
      </w:pPr>
      <w:r>
        <w:rPr>
          <w:rFonts w:ascii="inter" w:hAnsi="inter" w:eastAsia="inter" w:cs="inter"/>
          <w:b/>
          <w:color w:val="000000"/>
        </w:rPr>
        <w:t>关键信号通路的深度机制探讨</w:t>
      </w:r>
      <w:r>
        <w:rPr>
          <w:rFonts w:ascii="inter" w:hAnsi="inter" w:eastAsia="inter" w:cs="inter"/>
          <w:color w:val="000000"/>
        </w:rPr>
        <w:t>：特别是Wnt/β-连环蛋白通路在BBB维护与修复中的角色，NETs释放的蛋白酶是否直接降解Wnt共受体或β-catenin，以及PAD4是否通过拮抗Wnt信号促进病理性BBB破坏。此外，长链非编码RNA（lncRNA）如NEAT1在中性粒细胞表型极化中的作用也需深入探索。</w:t>
      </w:r>
      <w:bookmarkStart w:id="67" w:name="fnref23"/>
      <w:bookmarkEnd w:id="67"/>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73F7ACEA">
      <w:pPr>
        <w:spacing w:after="210" w:line="360" w:lineRule="auto"/>
      </w:pPr>
      <w:r>
        <w:rPr>
          <w:rFonts w:ascii="inter" w:hAnsi="inter" w:eastAsia="inter" w:cs="inter"/>
          <w:b/>
          <w:color w:val="000000"/>
        </w:rPr>
        <w:t>新型技术应用</w:t>
      </w:r>
      <w:r>
        <w:rPr>
          <w:rFonts w:ascii="inter" w:hAnsi="inter" w:eastAsia="inter" w:cs="inter"/>
          <w:color w:val="000000"/>
        </w:rPr>
        <w:t>：原位蛋白酶活性成像、单分子实时监测、体内中性粒细胞功能成像等前沿技术可精确刻画NETs在脑组织和血管中的行为，阐明NETs在血栓中的构型变化如何影响其血栓稳定性和tPA可及性。</w:t>
      </w:r>
    </w:p>
    <w:p w14:paraId="75BC11F4">
      <w:pPr>
        <w:spacing w:before="315" w:after="105" w:line="360" w:lineRule="auto"/>
        <w:ind w:left="-30"/>
        <w:jc w:val="left"/>
      </w:pPr>
      <w:bookmarkStart w:id="68" w:name="二_转化研究层面"/>
      <w:r>
        <w:rPr>
          <w:rFonts w:ascii="inter" w:hAnsi="inter" w:eastAsia="inter" w:cs="inter"/>
          <w:b/>
          <w:color w:val="000000"/>
          <w:sz w:val="24"/>
        </w:rPr>
        <w:t>（二）转化研究层面</w:t>
      </w:r>
      <w:bookmarkEnd w:id="68"/>
    </w:p>
    <w:p w14:paraId="634E05D7">
      <w:pPr>
        <w:spacing w:after="210" w:line="360" w:lineRule="auto"/>
      </w:pPr>
      <w:r>
        <w:rPr>
          <w:rFonts w:ascii="inter" w:hAnsi="inter" w:eastAsia="inter" w:cs="inter"/>
          <w:b/>
          <w:color w:val="000000"/>
        </w:rPr>
        <w:t>NETs特异性靶点开发</w:t>
      </w:r>
      <w:r>
        <w:rPr>
          <w:rFonts w:ascii="inter" w:hAnsi="inter" w:eastAsia="inter" w:cs="inter"/>
          <w:color w:val="000000"/>
        </w:rPr>
        <w:t>：</w:t>
      </w:r>
      <w:bookmarkStart w:id="69" w:name="fnref3_3"/>
      <w:bookmarkEnd w:id="69"/>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70" w:name="fnref24"/>
      <w:bookmarkEnd w:id="70"/>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054C482A">
      <w:pPr>
        <w:numPr>
          <w:ilvl w:val="0"/>
          <w:numId w:val="18"/>
        </w:numPr>
        <w:spacing w:before="105" w:after="105" w:line="360" w:lineRule="auto"/>
      </w:pPr>
      <w:r>
        <w:rPr>
          <w:rFonts w:ascii="inter" w:hAnsi="inter" w:eastAsia="inter" w:cs="inter"/>
          <w:b/>
          <w:color w:val="000000"/>
          <w:sz w:val="21"/>
        </w:rPr>
        <w:t>PAD4抑制剂</w:t>
      </w:r>
      <w:r>
        <w:rPr>
          <w:rFonts w:ascii="inter" w:hAnsi="inter" w:eastAsia="inter" w:cs="inter"/>
          <w:color w:val="000000"/>
          <w:sz w:val="21"/>
        </w:rPr>
        <w:t>：脑靶向制剂（脂质体、胶质体）开发，临床I/II期试验启动</w:t>
      </w:r>
    </w:p>
    <w:p w14:paraId="00D2465D">
      <w:pPr>
        <w:numPr>
          <w:ilvl w:val="0"/>
          <w:numId w:val="18"/>
        </w:numPr>
        <w:spacing w:before="105" w:after="105" w:line="360" w:lineRule="auto"/>
      </w:pPr>
      <w:r>
        <w:rPr>
          <w:rFonts w:ascii="inter" w:hAnsi="inter" w:eastAsia="inter" w:cs="inter"/>
          <w:b/>
          <w:color w:val="000000"/>
          <w:sz w:val="21"/>
        </w:rPr>
        <w:t>DNase I优化</w:t>
      </w:r>
      <w:r>
        <w:rPr>
          <w:rFonts w:ascii="inter" w:hAnsi="inter" w:eastAsia="inter" w:cs="inter"/>
          <w:color w:val="000000"/>
          <w:sz w:val="21"/>
        </w:rPr>
        <w:t>：基因治疗方法表达脑组织特异性DNase，与tPA联合用药评估</w:t>
      </w:r>
    </w:p>
    <w:p w14:paraId="2865E751">
      <w:pPr>
        <w:numPr>
          <w:ilvl w:val="0"/>
          <w:numId w:val="18"/>
        </w:numPr>
        <w:spacing w:before="105" w:after="105" w:line="360" w:lineRule="auto"/>
      </w:pPr>
      <w:r>
        <w:rPr>
          <w:rFonts w:ascii="inter" w:hAnsi="inter" w:eastAsia="inter" w:cs="inter"/>
          <w:b/>
          <w:color w:val="000000"/>
          <w:sz w:val="21"/>
        </w:rPr>
        <w:t>TLR4拮抗剂与HMGB1特异拮抗剂</w:t>
      </w:r>
      <w:r>
        <w:rPr>
          <w:rFonts w:ascii="inter" w:hAnsi="inter" w:eastAsia="inter" w:cs="inter"/>
          <w:color w:val="000000"/>
          <w:sz w:val="21"/>
        </w:rPr>
        <w:t>：已有初步临床数据支持进一步发展</w:t>
      </w:r>
    </w:p>
    <w:p w14:paraId="3D94BC6B">
      <w:pPr>
        <w:spacing w:after="210" w:line="360" w:lineRule="auto"/>
      </w:pPr>
      <w:r>
        <w:rPr>
          <w:rFonts w:ascii="inter" w:hAnsi="inter" w:eastAsia="inter" w:cs="inter"/>
          <w:b/>
          <w:color w:val="000000"/>
        </w:rPr>
        <w:t>N1→N2转变促进剂</w:t>
      </w:r>
      <w:r>
        <w:rPr>
          <w:rFonts w:ascii="inter" w:hAnsi="inter" w:eastAsia="inter" w:cs="inter"/>
          <w:color w:val="000000"/>
        </w:rPr>
        <w:t>：</w:t>
      </w:r>
      <w:bookmarkStart w:id="71" w:name="fnref8_9"/>
      <w:bookmarkEnd w:id="71"/>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72" w:name="fnref25"/>
      <w:bookmarkEnd w:id="72"/>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bookmarkStart w:id="73" w:name="fnref12_3"/>
      <w:bookmarkEnd w:id="73"/>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45A56021">
      <w:pPr>
        <w:numPr>
          <w:ilvl w:val="0"/>
          <w:numId w:val="19"/>
        </w:numPr>
        <w:spacing w:before="105" w:after="105" w:line="360" w:lineRule="auto"/>
      </w:pPr>
      <w:r>
        <w:rPr>
          <w:rFonts w:ascii="inter" w:hAnsi="inter" w:eastAsia="inter" w:cs="inter"/>
          <w:b/>
          <w:color w:val="000000"/>
          <w:sz w:val="21"/>
        </w:rPr>
        <w:t>PPAR-γ激动剂</w:t>
      </w:r>
      <w:r>
        <w:rPr>
          <w:rFonts w:ascii="inter" w:hAnsi="inter" w:eastAsia="inter" w:cs="inter"/>
          <w:color w:val="000000"/>
          <w:sz w:val="21"/>
        </w:rPr>
        <w:t>：罗格列酮等已在MCAO模型中验证有效，可快速转化应用，建议开发脑靶向PPAR-γ激动剂</w:t>
      </w:r>
    </w:p>
    <w:p w14:paraId="625137E5">
      <w:pPr>
        <w:numPr>
          <w:ilvl w:val="0"/>
          <w:numId w:val="19"/>
        </w:numPr>
        <w:spacing w:before="105" w:after="105" w:line="360" w:lineRule="auto"/>
      </w:pPr>
      <w:r>
        <w:rPr>
          <w:rFonts w:ascii="inter" w:hAnsi="inter" w:eastAsia="inter" w:cs="inter"/>
          <w:b/>
          <w:color w:val="000000"/>
          <w:sz w:val="21"/>
        </w:rPr>
        <w:t>RXR激动剂</w:t>
      </w:r>
      <w:r>
        <w:rPr>
          <w:rFonts w:ascii="inter" w:hAnsi="inter" w:eastAsia="inter" w:cs="inter"/>
          <w:color w:val="000000"/>
          <w:sz w:val="21"/>
        </w:rPr>
        <w:t>：贝沙罗汀(FDA批准)在小鼠模型中改善长期恢复，已有临床安全性数据</w:t>
      </w:r>
    </w:p>
    <w:p w14:paraId="64AC2A58">
      <w:pPr>
        <w:numPr>
          <w:ilvl w:val="0"/>
          <w:numId w:val="19"/>
        </w:numPr>
        <w:spacing w:before="105" w:after="105" w:line="360" w:lineRule="auto"/>
      </w:pPr>
      <w:r>
        <w:rPr>
          <w:rFonts w:ascii="inter" w:hAnsi="inter" w:eastAsia="inter" w:cs="inter"/>
          <w:b/>
          <w:color w:val="000000"/>
          <w:sz w:val="21"/>
        </w:rPr>
        <w:t>atRA（全反式维甲酸）</w:t>
      </w:r>
      <w:r>
        <w:rPr>
          <w:rFonts w:ascii="inter" w:hAnsi="inter" w:eastAsia="inter" w:cs="inter"/>
          <w:color w:val="000000"/>
          <w:sz w:val="21"/>
        </w:rPr>
        <w:t>：安全性数据完善，促N2极化同时抑制NETs</w:t>
      </w:r>
    </w:p>
    <w:p w14:paraId="3C8B37AA">
      <w:pPr>
        <w:spacing w:after="210" w:line="360" w:lineRule="auto"/>
      </w:pPr>
      <w:r>
        <w:rPr>
          <w:rFonts w:ascii="inter" w:hAnsi="inter" w:eastAsia="inter" w:cs="inter"/>
          <w:b/>
          <w:color w:val="000000"/>
        </w:rPr>
        <w:t>患者分层与个性化治疗</w:t>
      </w:r>
      <w:r>
        <w:rPr>
          <w:rFonts w:ascii="inter" w:hAnsi="inter" w:eastAsia="inter" w:cs="inter"/>
          <w:color w:val="000000"/>
        </w:rPr>
        <w:t>：</w:t>
      </w:r>
      <w:bookmarkStart w:id="74" w:name="fnref1_5"/>
      <w:bookmarkEnd w:id="74"/>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75" w:name="fnref19_1"/>
      <w:bookmarkEnd w:id="75"/>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76" w:name="fnref20_1"/>
      <w:bookmarkEnd w:id="76"/>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77" w:name="fnref22_1"/>
      <w:bookmarkEnd w:id="77"/>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50A8A559">
      <w:pPr>
        <w:numPr>
          <w:ilvl w:val="0"/>
          <w:numId w:val="20"/>
        </w:numPr>
        <w:spacing w:before="105" w:after="105" w:line="360" w:lineRule="auto"/>
      </w:pPr>
      <w:r>
        <w:rPr>
          <w:rFonts w:ascii="inter" w:hAnsi="inter" w:eastAsia="inter" w:cs="inter"/>
          <w:color w:val="000000"/>
          <w:sz w:val="21"/>
        </w:rPr>
        <w:t>基于NETs生物标志物的快速评估系统：入院&lt;30分钟内测定NLR、H3Cit、NE-DNA</w:t>
      </w:r>
    </w:p>
    <w:p w14:paraId="7B65CE6D">
      <w:pPr>
        <w:numPr>
          <w:ilvl w:val="0"/>
          <w:numId w:val="20"/>
        </w:numPr>
        <w:spacing w:before="105" w:after="105" w:line="360" w:lineRule="auto"/>
      </w:pPr>
      <w:r>
        <w:rPr>
          <w:rFonts w:ascii="inter" w:hAnsi="inter" w:eastAsia="inter" w:cs="inter"/>
          <w:color w:val="000000"/>
          <w:sz w:val="21"/>
        </w:rPr>
        <w:t>基因型分析：PAD4多态性、PPAR-γ多态性与治疗响应的关联</w:t>
      </w:r>
    </w:p>
    <w:p w14:paraId="7036EE87">
      <w:pPr>
        <w:numPr>
          <w:ilvl w:val="0"/>
          <w:numId w:val="20"/>
        </w:numPr>
        <w:spacing w:before="105" w:after="105" w:line="360" w:lineRule="auto"/>
      </w:pPr>
      <w:r>
        <w:rPr>
          <w:rFonts w:ascii="inter" w:hAnsi="inter" w:eastAsia="inter" w:cs="inter"/>
          <w:color w:val="000000"/>
          <w:sz w:val="21"/>
        </w:rPr>
        <w:t>表型分类：高NETs型优先PAD4抑制，高炎症型优先PPAR-γ激动，高凝血型两者联合</w:t>
      </w:r>
    </w:p>
    <w:p w14:paraId="0537BE59">
      <w:pPr>
        <w:spacing w:before="315" w:after="105" w:line="360" w:lineRule="auto"/>
        <w:ind w:left="-30"/>
        <w:jc w:val="left"/>
      </w:pPr>
      <w:bookmarkStart w:id="78" w:name="三_临床研究层面"/>
      <w:r>
        <w:rPr>
          <w:rFonts w:ascii="inter" w:hAnsi="inter" w:eastAsia="inter" w:cs="inter"/>
          <w:b/>
          <w:color w:val="000000"/>
          <w:sz w:val="24"/>
        </w:rPr>
        <w:t>（三）临床研究层面</w:t>
      </w:r>
      <w:bookmarkEnd w:id="78"/>
    </w:p>
    <w:p w14:paraId="68B1400C">
      <w:pPr>
        <w:spacing w:after="210" w:line="360" w:lineRule="auto"/>
      </w:pPr>
      <w:r>
        <w:rPr>
          <w:rFonts w:ascii="inter" w:hAnsi="inter" w:eastAsia="inter" w:cs="inter"/>
          <w:b/>
          <w:color w:val="000000"/>
        </w:rPr>
        <w:t>多臂并行临床试验设计</w:t>
      </w:r>
      <w:r>
        <w:rPr>
          <w:rFonts w:ascii="inter" w:hAnsi="inter" w:eastAsia="inter" w:cs="inter"/>
          <w:color w:val="000000"/>
        </w:rPr>
        <w:t>：</w:t>
      </w:r>
      <w:bookmarkStart w:id="79" w:name="fnref1_6"/>
      <w:bookmarkEnd w:id="79"/>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80" w:name="fnref2_5"/>
      <w:bookmarkEnd w:id="80"/>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5C90D95F">
      <w:pPr>
        <w:numPr>
          <w:ilvl w:val="0"/>
          <w:numId w:val="21"/>
        </w:numPr>
        <w:spacing w:before="105" w:after="105" w:line="360" w:lineRule="auto"/>
      </w:pPr>
      <w:r>
        <w:rPr>
          <w:rFonts w:ascii="inter" w:hAnsi="inter" w:eastAsia="inter" w:cs="inter"/>
          <w:color w:val="000000"/>
          <w:sz w:val="21"/>
        </w:rPr>
        <w:t>试验臂包括：对照、PAD4抑制剂、DNase-I、PPAR-γ激动剂、联合治疗</w:t>
      </w:r>
    </w:p>
    <w:p w14:paraId="5FC95A70">
      <w:pPr>
        <w:numPr>
          <w:ilvl w:val="0"/>
          <w:numId w:val="21"/>
        </w:numPr>
        <w:spacing w:before="105" w:after="105" w:line="360" w:lineRule="auto"/>
      </w:pPr>
      <w:r>
        <w:rPr>
          <w:rFonts w:ascii="inter" w:hAnsi="inter" w:eastAsia="inter" w:cs="inter"/>
          <w:color w:val="000000"/>
          <w:sz w:val="21"/>
        </w:rPr>
        <w:t>主要终点：90天mRS 0-2优良预后率</w:t>
      </w:r>
    </w:p>
    <w:p w14:paraId="052987BC">
      <w:pPr>
        <w:numPr>
          <w:ilvl w:val="0"/>
          <w:numId w:val="21"/>
        </w:numPr>
        <w:spacing w:before="105" w:after="105" w:line="360" w:lineRule="auto"/>
      </w:pPr>
      <w:r>
        <w:rPr>
          <w:rFonts w:ascii="inter" w:hAnsi="inter" w:eastAsia="inter" w:cs="inter"/>
          <w:color w:val="000000"/>
          <w:sz w:val="21"/>
        </w:rPr>
        <w:t>次要终点：梗死体积增长、NIHSS改善、脑水肿程度、出血转化、认知功能、生物标志物动态</w:t>
      </w:r>
    </w:p>
    <w:p w14:paraId="5C1C0C24">
      <w:pPr>
        <w:numPr>
          <w:ilvl w:val="0"/>
          <w:numId w:val="21"/>
        </w:numPr>
        <w:spacing w:before="105" w:after="105" w:line="360" w:lineRule="auto"/>
      </w:pPr>
      <w:r>
        <w:rPr>
          <w:rFonts w:ascii="inter" w:hAnsi="inter" w:eastAsia="inter" w:cs="inter"/>
          <w:color w:val="000000"/>
          <w:sz w:val="21"/>
        </w:rPr>
        <w:t>样本量：总体约1000-1200例患者</w:t>
      </w:r>
    </w:p>
    <w:p w14:paraId="12360EDA">
      <w:pPr>
        <w:spacing w:after="210" w:line="360" w:lineRule="auto"/>
      </w:pPr>
      <w:r>
        <w:rPr>
          <w:rFonts w:ascii="inter" w:hAnsi="inter" w:eastAsia="inter" w:cs="inter"/>
          <w:b/>
          <w:color w:val="000000"/>
        </w:rPr>
        <w:t>纵向队列研究</w:t>
      </w:r>
      <w:r>
        <w:rPr>
          <w:rFonts w:ascii="inter" w:hAnsi="inter" w:eastAsia="inter" w:cs="inter"/>
          <w:color w:val="000000"/>
        </w:rPr>
        <w:t>：建立脑缺血中性粒细胞与慢性结局的队列，纵向随访至3年，评估NLR与卒中后认知障碍、痴呆的因果关系，探讨二级预防策略的长期有效性。</w:t>
      </w:r>
    </w:p>
    <w:p w14:paraId="3838F8EB">
      <w:pPr>
        <w:spacing w:after="210" w:line="360" w:lineRule="auto"/>
      </w:pPr>
      <w:r>
        <w:rPr>
          <w:rFonts w:ascii="inter" w:hAnsi="inter" w:eastAsia="inter" w:cs="inter"/>
          <w:b/>
          <w:color w:val="000000"/>
        </w:rPr>
        <w:t>特殊人群的针对性研究</w:t>
      </w:r>
      <w:r>
        <w:rPr>
          <w:rFonts w:ascii="inter" w:hAnsi="inter" w:eastAsia="inter" w:cs="inter"/>
          <w:color w:val="000000"/>
        </w:rPr>
        <w:t>：</w:t>
      </w:r>
      <w:bookmarkStart w:id="81" w:name="fnref9_3"/>
      <w:bookmarkEnd w:id="81"/>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82" w:name="fnref19_2"/>
      <w:bookmarkEnd w:id="82"/>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53D46F6C">
      <w:pPr>
        <w:numPr>
          <w:ilvl w:val="0"/>
          <w:numId w:val="22"/>
        </w:numPr>
        <w:spacing w:before="105" w:after="105" w:line="360" w:lineRule="auto"/>
      </w:pPr>
      <w:r>
        <w:rPr>
          <w:rFonts w:ascii="inter" w:hAnsi="inter" w:eastAsia="inter" w:cs="inter"/>
          <w:color w:val="000000"/>
          <w:sz w:val="21"/>
        </w:rPr>
        <w:t>高龄患者（&gt;65岁）衰老中性粒细胞更具病理性，需要更强的NETs抑制</w:t>
      </w:r>
    </w:p>
    <w:p w14:paraId="51E07348">
      <w:pPr>
        <w:numPr>
          <w:ilvl w:val="0"/>
          <w:numId w:val="22"/>
        </w:numPr>
        <w:spacing w:before="105" w:after="105" w:line="360" w:lineRule="auto"/>
      </w:pPr>
      <w:r>
        <w:rPr>
          <w:rFonts w:ascii="inter" w:hAnsi="inter" w:eastAsia="inter" w:cs="inter"/>
          <w:color w:val="000000"/>
          <w:sz w:val="21"/>
        </w:rPr>
        <w:t>合并代谢疾病患者（糖尿病、肥胖）的"预启动"中性粒细胞需更激进的干预</w:t>
      </w:r>
    </w:p>
    <w:p w14:paraId="53D43D28">
      <w:pPr>
        <w:numPr>
          <w:ilvl w:val="0"/>
          <w:numId w:val="22"/>
        </w:numPr>
        <w:spacing w:before="105" w:after="105" w:line="360" w:lineRule="auto"/>
      </w:pPr>
      <w:r>
        <w:rPr>
          <w:rFonts w:ascii="inter" w:hAnsi="inter" w:eastAsia="inter" w:cs="inter"/>
          <w:color w:val="000000"/>
          <w:sz w:val="21"/>
        </w:rPr>
        <w:t>女性患者激素水平变化影响中性粒细胞功能，需性别特异性分析</w:t>
      </w:r>
    </w:p>
    <w:p w14:paraId="3B8468AC">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3EE5BDF3">
      <w:pPr>
        <w:spacing w:before="315" w:after="105" w:line="360" w:lineRule="auto"/>
        <w:ind w:left="-30"/>
        <w:jc w:val="left"/>
      </w:pPr>
      <w:bookmarkStart w:id="83" w:name="五_总结与展望"/>
      <w:r>
        <w:rPr>
          <w:rFonts w:ascii="inter" w:hAnsi="inter" w:eastAsia="inter" w:cs="inter"/>
          <w:b/>
          <w:color w:val="000000"/>
          <w:sz w:val="24"/>
        </w:rPr>
        <w:t>五、总结与展望</w:t>
      </w:r>
      <w:bookmarkEnd w:id="83"/>
    </w:p>
    <w:p w14:paraId="60BE7A59">
      <w:pPr>
        <w:spacing w:after="210" w:line="360" w:lineRule="auto"/>
      </w:pPr>
      <w:r>
        <w:rPr>
          <w:rFonts w:ascii="inter" w:hAnsi="inter" w:eastAsia="inter" w:cs="inter"/>
          <w:color w:val="000000"/>
        </w:rPr>
        <w:t>本综述系统整合了2021-2025年脑缺血中性粒细胞研究的最新进展，从急性期的N1主导促炎状态到慢性期的N2转变促进修复，阐述了中性粒细胞表型的时间-空间演变规律。关键创新包括：</w:t>
      </w:r>
    </w:p>
    <w:p w14:paraId="72404ADE">
      <w:pPr>
        <w:numPr>
          <w:ilvl w:val="0"/>
          <w:numId w:val="23"/>
        </w:numPr>
        <w:spacing w:after="210" w:line="360" w:lineRule="auto"/>
      </w:pPr>
      <w:r>
        <w:rPr>
          <w:rFonts w:ascii="inter" w:hAnsi="inter" w:eastAsia="inter" w:cs="inter"/>
          <w:b/>
          <w:color w:val="000000"/>
          <w:sz w:val="21"/>
        </w:rPr>
        <w:t>明确的时间-表型对应关系</w:t>
      </w:r>
      <w:r>
        <w:rPr>
          <w:rFonts w:ascii="inter" w:hAnsi="inter" w:eastAsia="inter" w:cs="inter"/>
          <w:color w:val="000000"/>
          <w:sz w:val="21"/>
        </w:rPr>
        <w:t>：N1/N2比率从3:1（急性期）→1:1（3-7天）→0.1-0.2（慢性期），每个阶段对应特定的临床结局</w:t>
      </w:r>
    </w:p>
    <w:p w14:paraId="2FD6FB65">
      <w:pPr>
        <w:numPr>
          <w:ilvl w:val="0"/>
          <w:numId w:val="23"/>
        </w:numPr>
        <w:spacing w:after="210" w:line="360" w:lineRule="auto"/>
      </w:pPr>
      <w:r>
        <w:rPr>
          <w:rFonts w:ascii="inter" w:hAnsi="inter" w:eastAsia="inter" w:cs="inter"/>
          <w:b/>
          <w:color w:val="000000"/>
          <w:sz w:val="21"/>
        </w:rPr>
        <w:t>复杂的细胞相互作用网络</w:t>
      </w:r>
      <w:r>
        <w:rPr>
          <w:rFonts w:ascii="inter" w:hAnsi="inter" w:eastAsia="inter" w:cs="inter"/>
          <w:color w:val="000000"/>
          <w:sz w:val="21"/>
        </w:rPr>
        <w:t>：不同N1/N2亚群与脑内各细胞类型的双向互作决定了炎症分辨的效率和修复的质量</w:t>
      </w:r>
    </w:p>
    <w:p w14:paraId="3FB9E33D">
      <w:pPr>
        <w:numPr>
          <w:ilvl w:val="0"/>
          <w:numId w:val="23"/>
        </w:numPr>
        <w:spacing w:after="210" w:line="360" w:lineRule="auto"/>
      </w:pPr>
      <w:r>
        <w:rPr>
          <w:rFonts w:ascii="inter" w:hAnsi="inter" w:eastAsia="inter" w:cs="inter"/>
          <w:b/>
          <w:color w:val="000000"/>
          <w:sz w:val="21"/>
        </w:rPr>
        <w:t>生物标志物-预后的因果链</w:t>
      </w:r>
      <w:r>
        <w:rPr>
          <w:rFonts w:ascii="inter" w:hAnsi="inter" w:eastAsia="inter" w:cs="inter"/>
          <w:color w:val="000000"/>
          <w:sz w:val="21"/>
        </w:rPr>
        <w:t>：NLR、H3Cit、CAMP等标志物的动态变化可预测功能恢复轨迹和长期认知功能</w:t>
      </w:r>
    </w:p>
    <w:p w14:paraId="64BCA236">
      <w:pPr>
        <w:numPr>
          <w:ilvl w:val="0"/>
          <w:numId w:val="23"/>
        </w:numPr>
        <w:spacing w:after="210" w:line="360" w:lineRule="auto"/>
      </w:pPr>
      <w:r>
        <w:rPr>
          <w:rFonts w:ascii="inter" w:hAnsi="inter" w:eastAsia="inter" w:cs="inter"/>
          <w:b/>
          <w:color w:val="000000"/>
          <w:sz w:val="21"/>
        </w:rPr>
        <w:t>分时-个性化的治疗策略</w:t>
      </w:r>
      <w:r>
        <w:rPr>
          <w:rFonts w:ascii="inter" w:hAnsi="inter" w:eastAsia="inter" w:cs="inter"/>
          <w:color w:val="000000"/>
          <w:sz w:val="21"/>
        </w:rPr>
        <w:t>：从急性期的"NETs压制"到慢性期的"N2诱导"，基于患者生物标志物和遗传背景进行精准干预</w:t>
      </w:r>
    </w:p>
    <w:p w14:paraId="3BD1B7C8">
      <w:pPr>
        <w:spacing w:after="210" w:line="360" w:lineRule="auto"/>
      </w:pPr>
      <w:r>
        <w:rPr>
          <w:rFonts w:ascii="inter" w:hAnsi="inter" w:eastAsia="inter" w:cs="inter"/>
          <w:color w:val="000000"/>
        </w:rPr>
        <w:t>这一综合认识预期将在未来3-5年内转化为临床实践，显著改进脑缺血患者的短期功能预后和长期认知功能。</w:t>
      </w:r>
    </w:p>
    <w:p w14:paraId="410F66B8">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76A0A78A">
      <w:pPr>
        <w:spacing w:before="315" w:after="105" w:line="360" w:lineRule="auto"/>
        <w:ind w:left="-30"/>
        <w:jc w:val="left"/>
      </w:pPr>
      <w:bookmarkStart w:id="84" w:name="数据可视化辅助理解"/>
      <w:r>
        <w:rPr>
          <w:rFonts w:ascii="inter" w:hAnsi="inter" w:eastAsia="inter" w:cs="inter"/>
          <w:b/>
          <w:color w:val="000000"/>
          <w:sz w:val="24"/>
        </w:rPr>
        <w:t>数据可视化辅助理解</w:t>
      </w:r>
      <w:bookmarkEnd w:id="84"/>
    </w:p>
    <w:p w14:paraId="700D54FF">
      <w:pPr>
        <w:spacing w:after="0" w:line="360" w:lineRule="auto"/>
        <w:jc w:val="center"/>
      </w:pPr>
      <w:r>
        <w:rPr>
          <w:rFonts w:ascii="inter" w:hAnsi="inter" w:eastAsia="inter" w:cs="inter"/>
          <w:color w:val="000000"/>
        </w:rPr>
        <w:drawing>
          <wp:inline distT="0" distB="0" distL="0" distR="0">
            <wp:extent cx="6038850" cy="4025900"/>
            <wp:effectExtent l="0" t="0" r="0" b="0"/>
            <wp:docPr id="4" name="image-5b82594f7cac8e975cde23960221fc2bcec2d8e0.png" descr="Temporal Dynamics of Neutrophil Phenotypes, Functions, and NETosis in Cerebral Ischemia: Acute to Chronic Phases"/>
            <wp:cNvGraphicFramePr/>
            <a:graphic xmlns:a="http://schemas.openxmlformats.org/drawingml/2006/main">
              <a:graphicData uri="http://schemas.openxmlformats.org/drawingml/2006/picture">
                <pic:pic xmlns:pic="http://schemas.openxmlformats.org/drawingml/2006/picture">
                  <pic:nvPicPr>
                    <pic:cNvPr id="4" name="image-5b82594f7cac8e975cde23960221fc2bcec2d8e0.png" descr="Temporal Dynamics of Neutrophil Phenotypes, Functions, and NETosis in Cerebral Ischemia: Acute to Chronic Phases"/>
                    <pic:cNvPicPr/>
                  </pic:nvPicPr>
                  <pic:blipFill>
                    <a:blip r:embed="rId6" cstate="print"/>
                    <a:srcRect/>
                    <a:stretch>
                      <a:fillRect/>
                    </a:stretch>
                  </pic:blipFill>
                  <pic:spPr>
                    <a:xfrm>
                      <a:off x="0" y="0"/>
                      <a:ext cx="6038850" cy="4025900"/>
                    </a:xfrm>
                    <a:prstGeom prst="rect">
                      <a:avLst/>
                    </a:prstGeom>
                  </pic:spPr>
                </pic:pic>
              </a:graphicData>
            </a:graphic>
          </wp:inline>
        </w:drawing>
      </w:r>
    </w:p>
    <w:p w14:paraId="22BD4DB4">
      <w:pPr>
        <w:spacing w:after="210" w:line="360" w:lineRule="auto"/>
      </w:pPr>
      <w:r>
        <w:rPr>
          <w:rFonts w:ascii="inter" w:hAnsi="inter" w:eastAsia="inter" w:cs="inter"/>
          <w:color w:val="000000"/>
        </w:rPr>
        <w:t>Temporal Dynamics of Neutrophil Phenotypes, Functions, and NETosis in Cerebral Ischemia: Acute to Chronic Phases</w:t>
      </w:r>
    </w:p>
    <w:p w14:paraId="52DB79BB">
      <w:pPr>
        <w:spacing w:after="0" w:line="360" w:lineRule="auto"/>
        <w:jc w:val="center"/>
      </w:pPr>
      <w:r>
        <w:rPr>
          <w:rFonts w:ascii="inter" w:hAnsi="inter" w:eastAsia="inter" w:cs="inter"/>
          <w:color w:val="000000"/>
        </w:rPr>
        <w:drawing>
          <wp:inline distT="0" distB="0" distL="0" distR="0">
            <wp:extent cx="6038850" cy="4025900"/>
            <wp:effectExtent l="0" t="0" r="0" b="0"/>
            <wp:docPr id="5" name="image-d64aa1ffb299a5708e0618a0eceab4de68739748.png" descr="Neutrophil Subset-Cell Type Interaction Network in Cerebral Ischemia: Acute vs Chronic Phases"/>
            <wp:cNvGraphicFramePr/>
            <a:graphic xmlns:a="http://schemas.openxmlformats.org/drawingml/2006/main">
              <a:graphicData uri="http://schemas.openxmlformats.org/drawingml/2006/picture">
                <pic:pic xmlns:pic="http://schemas.openxmlformats.org/drawingml/2006/picture">
                  <pic:nvPicPr>
                    <pic:cNvPr id="5" name="image-d64aa1ffb299a5708e0618a0eceab4de68739748.png" descr="Neutrophil Subset-Cell Type Interaction Network in Cerebral Ischemia: Acute vs Chronic Phases"/>
                    <pic:cNvPicPr/>
                  </pic:nvPicPr>
                  <pic:blipFill>
                    <a:blip r:embed="rId7" cstate="print"/>
                    <a:srcRect/>
                    <a:stretch>
                      <a:fillRect/>
                    </a:stretch>
                  </pic:blipFill>
                  <pic:spPr>
                    <a:xfrm>
                      <a:off x="0" y="0"/>
                      <a:ext cx="6038850" cy="4025900"/>
                    </a:xfrm>
                    <a:prstGeom prst="rect">
                      <a:avLst/>
                    </a:prstGeom>
                  </pic:spPr>
                </pic:pic>
              </a:graphicData>
            </a:graphic>
          </wp:inline>
        </w:drawing>
      </w:r>
    </w:p>
    <w:p w14:paraId="34DED69A">
      <w:pPr>
        <w:spacing w:after="210" w:line="360" w:lineRule="auto"/>
      </w:pPr>
      <w:r>
        <w:rPr>
          <w:rFonts w:ascii="inter" w:hAnsi="inter" w:eastAsia="inter" w:cs="inter"/>
          <w:color w:val="000000"/>
        </w:rPr>
        <w:t>Neutrophil Subset-Cell Type Interaction Network in Cerebral Ischemia: Acute vs Chronic Phases</w:t>
      </w:r>
    </w:p>
    <w:p w14:paraId="3E812DB8">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6364F19D">
      <w:pPr>
        <w:spacing w:before="315" w:after="105" w:line="360" w:lineRule="auto"/>
        <w:ind w:left="-30"/>
        <w:jc w:val="left"/>
      </w:pPr>
      <w:bookmarkStart w:id="85" w:name="参考文献标注说明"/>
      <w:r>
        <w:rPr>
          <w:rFonts w:ascii="inter" w:hAnsi="inter" w:eastAsia="inter" w:cs="inter"/>
          <w:b/>
          <w:color w:val="000000"/>
          <w:sz w:val="24"/>
        </w:rPr>
        <w:t>参考文献标注说明</w:t>
      </w:r>
      <w:bookmarkEnd w:id="85"/>
    </w:p>
    <w:p w14:paraId="0C0570D0">
      <w:pPr>
        <w:spacing w:after="210" w:line="360" w:lineRule="auto"/>
      </w:pPr>
      <w:r>
        <w:rPr>
          <w:rFonts w:ascii="inter" w:hAnsi="inter" w:eastAsia="inter" w:cs="inter"/>
          <w:color w:val="000000"/>
        </w:rPr>
        <w:t>本综述主要依据2021-2025年发表的高质量研究文献，包括Frontiers Neurology、Nature、PMC等权威期刊，特别是关于NETs机制、中性粒细胞异质性、细胞间相互作用和临床转化的最新成果。所有科学结论都有相应文献支持，标注在相关句子后。</w:t>
      </w:r>
      <w:r>
        <w:rPr>
          <w:rFonts w:ascii="inter" w:hAnsi="inter" w:eastAsia="inter" w:cs="inter"/>
          <w:color w:val="000000"/>
        </w:rPr>
        <w:br w:type="textWrapping"/>
      </w:r>
    </w:p>
    <w:p w14:paraId="40358E63">
      <w:pPr>
        <w:spacing w:line="360" w:lineRule="auto"/>
      </w:pPr>
      <w:r>
        <w:rPr>
          <w:rFonts w:ascii="inter" w:hAnsi="inter" w:eastAsia="inter" w:cs="inter"/>
          <w:color w:val="000000"/>
        </w:rPr>
        <w:t>⁂</w:t>
      </w:r>
    </w:p>
    <w:p w14:paraId="45CD0A46">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7A652455">
      <w:pPr>
        <w:numPr>
          <w:ilvl w:val="0"/>
          <w:numId w:val="24"/>
        </w:numPr>
        <w:spacing w:after="210" w:line="360" w:lineRule="auto"/>
      </w:pPr>
      <w:bookmarkStart w:id="86" w:name="fn1"/>
      <w:bookmarkEnd w:id="86"/>
      <w:r>
        <w:fldChar w:fldCharType="begin"/>
      </w:r>
      <w:r>
        <w:instrText xml:space="preserve"> HYPERLINK "https://www.frontiersin.org/journals/neurology/articles/10.3389/fneur.2025.1641985/full" \h </w:instrText>
      </w:r>
      <w:r>
        <w:fldChar w:fldCharType="separate"/>
      </w:r>
      <w:r>
        <w:rPr>
          <w:rFonts w:ascii="inter" w:hAnsi="inter" w:eastAsia="inter" w:cs="inter"/>
          <w:color w:val="000000"/>
          <w:sz w:val="18"/>
          <w:u w:val="single"/>
        </w:rPr>
        <w:t>https://www.frontiersin.org/journals/neurology/articles/10.3389/fneur.2025.1641985/full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96FE82">
      <w:pPr>
        <w:numPr>
          <w:ilvl w:val="0"/>
          <w:numId w:val="24"/>
        </w:numPr>
        <w:spacing w:after="210" w:line="360" w:lineRule="auto"/>
      </w:pPr>
      <w:bookmarkStart w:id="87" w:name="fn2"/>
      <w:bookmarkEnd w:id="87"/>
      <w:r>
        <w:fldChar w:fldCharType="begin"/>
      </w:r>
      <w:r>
        <w:instrText xml:space="preserve"> HYPERLINK "https://www.neurology.org/doi/10.1212/NXI.0000000000000571" \h </w:instrText>
      </w:r>
      <w:r>
        <w:fldChar w:fldCharType="separate"/>
      </w:r>
      <w:r>
        <w:rPr>
          <w:rFonts w:ascii="inter" w:hAnsi="inter" w:eastAsia="inter" w:cs="inter"/>
          <w:color w:val="000000"/>
          <w:sz w:val="18"/>
          <w:u w:val="single"/>
        </w:rPr>
        <w:t>https://www.neurology.org/doi/10.1212/NXI.0000000000000571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B119B3">
      <w:pPr>
        <w:numPr>
          <w:ilvl w:val="0"/>
          <w:numId w:val="24"/>
        </w:numPr>
        <w:spacing w:after="210" w:line="360" w:lineRule="auto"/>
      </w:pPr>
      <w:bookmarkStart w:id="88" w:name="fn3"/>
      <w:bookmarkEnd w:id="88"/>
      <w:r>
        <w:fldChar w:fldCharType="begin"/>
      </w:r>
      <w:r>
        <w:instrText xml:space="preserve"> HYPERLINK "https://pmc.ncbi.nlm.nih.gov/articles/PMC10556361/" \h </w:instrText>
      </w:r>
      <w:r>
        <w:fldChar w:fldCharType="separate"/>
      </w:r>
      <w:r>
        <w:rPr>
          <w:rFonts w:ascii="inter" w:hAnsi="inter" w:eastAsia="inter" w:cs="inter"/>
          <w:color w:val="000000"/>
          <w:sz w:val="18"/>
          <w:u w:val="single"/>
        </w:rPr>
        <w:t>https://pmc.ncbi.nlm.nih.gov/articles/PMC10556361/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045DCF1">
      <w:pPr>
        <w:numPr>
          <w:ilvl w:val="0"/>
          <w:numId w:val="24"/>
        </w:numPr>
        <w:spacing w:after="210" w:line="360" w:lineRule="auto"/>
      </w:pPr>
      <w:bookmarkStart w:id="89" w:name="fn4"/>
      <w:bookmarkEnd w:id="89"/>
      <w:r>
        <w:fldChar w:fldCharType="begin"/>
      </w:r>
      <w:r>
        <w:instrText xml:space="preserve"> HYPERLINK "https://pmc.ncbi.nlm.nih.gov/articles/PMC4640255/" \h </w:instrText>
      </w:r>
      <w:r>
        <w:fldChar w:fldCharType="separate"/>
      </w:r>
      <w:r>
        <w:rPr>
          <w:rFonts w:ascii="inter" w:hAnsi="inter" w:eastAsia="inter" w:cs="inter"/>
          <w:color w:val="000000"/>
          <w:sz w:val="18"/>
          <w:u w:val="single"/>
        </w:rPr>
        <w:t>https://pmc.ncbi.nlm.nih.gov/articles/PMC4640255/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C6CC30">
      <w:pPr>
        <w:numPr>
          <w:ilvl w:val="0"/>
          <w:numId w:val="24"/>
        </w:numPr>
        <w:spacing w:after="210" w:line="360" w:lineRule="auto"/>
      </w:pPr>
      <w:bookmarkStart w:id="90" w:name="fn5"/>
      <w:bookmarkEnd w:id="90"/>
      <w:r>
        <w:fldChar w:fldCharType="begin"/>
      </w:r>
      <w:r>
        <w:instrText xml:space="preserve"> HYPERLINK "https://www.nature.com/articles/s41467-020-16191-y" \h </w:instrText>
      </w:r>
      <w:r>
        <w:fldChar w:fldCharType="separate"/>
      </w:r>
      <w:r>
        <w:rPr>
          <w:rFonts w:ascii="inter" w:hAnsi="inter" w:eastAsia="inter" w:cs="inter"/>
          <w:color w:val="000000"/>
          <w:sz w:val="18"/>
          <w:u w:val="single"/>
        </w:rPr>
        <w:t>https://www.nature.com/articles/s41467-020-16191-y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C29236">
      <w:pPr>
        <w:numPr>
          <w:ilvl w:val="0"/>
          <w:numId w:val="24"/>
        </w:numPr>
        <w:spacing w:after="210" w:line="360" w:lineRule="auto"/>
      </w:pPr>
      <w:bookmarkStart w:id="91" w:name="fn6"/>
      <w:bookmarkEnd w:id="91"/>
      <w:r>
        <w:fldChar w:fldCharType="begin"/>
      </w:r>
      <w:r>
        <w:instrText xml:space="preserve"> HYPERLINK "https://www.biorxiv.org/content/biorxiv/early/2025/03/13/2025.03.09.639714.full.pdf" \h </w:instrText>
      </w:r>
      <w:r>
        <w:fldChar w:fldCharType="separate"/>
      </w:r>
      <w:r>
        <w:rPr>
          <w:rFonts w:ascii="inter" w:hAnsi="inter" w:eastAsia="inter" w:cs="inter"/>
          <w:color w:val="000000"/>
          <w:sz w:val="18"/>
          <w:u w:val="single"/>
        </w:rPr>
        <w:t>https://www.biorxiv.org/content/biorxiv/early/2025/03/13/2025.03.09.639714.full.pdf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8E12812">
      <w:pPr>
        <w:numPr>
          <w:ilvl w:val="0"/>
          <w:numId w:val="24"/>
        </w:numPr>
        <w:spacing w:after="210" w:line="360" w:lineRule="auto"/>
      </w:pPr>
      <w:bookmarkStart w:id="92" w:name="fn7"/>
      <w:bookmarkEnd w:id="92"/>
      <w:r>
        <w:fldChar w:fldCharType="begin"/>
      </w:r>
      <w:r>
        <w:instrText xml:space="preserve"> HYPERLINK "https://pmc.ncbi.nlm.nih.gov/articles/PMC9106355/" \h </w:instrText>
      </w:r>
      <w:r>
        <w:fldChar w:fldCharType="separate"/>
      </w:r>
      <w:r>
        <w:rPr>
          <w:rFonts w:ascii="inter" w:hAnsi="inter" w:eastAsia="inter" w:cs="inter"/>
          <w:color w:val="000000"/>
          <w:sz w:val="18"/>
          <w:u w:val="single"/>
        </w:rPr>
        <w:t>https://pmc.ncbi.nlm.nih.gov/articles/PMC9106355/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616095">
      <w:pPr>
        <w:numPr>
          <w:ilvl w:val="0"/>
          <w:numId w:val="24"/>
        </w:numPr>
        <w:spacing w:after="210" w:line="360" w:lineRule="auto"/>
      </w:pPr>
      <w:bookmarkStart w:id="93" w:name="fn8"/>
      <w:bookmarkEnd w:id="93"/>
      <w:r>
        <w:fldChar w:fldCharType="begin"/>
      </w:r>
      <w:r>
        <w:instrText xml:space="preserve"> HYPERLINK "https://pubmed.ncbi.nlm.nih.gov/30847778/" \h </w:instrText>
      </w:r>
      <w:r>
        <w:fldChar w:fldCharType="separate"/>
      </w:r>
      <w:r>
        <w:rPr>
          <w:rFonts w:ascii="inter" w:hAnsi="inter" w:eastAsia="inter" w:cs="inter"/>
          <w:color w:val="000000"/>
          <w:sz w:val="18"/>
          <w:u w:val="single"/>
        </w:rPr>
        <w:t>https://pubmed.ncbi.nlm.nih.gov/30847778/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F5A06F">
      <w:pPr>
        <w:numPr>
          <w:ilvl w:val="0"/>
          <w:numId w:val="24"/>
        </w:numPr>
        <w:spacing w:after="210" w:line="360" w:lineRule="auto"/>
      </w:pPr>
      <w:bookmarkStart w:id="94" w:name="fn9"/>
      <w:bookmarkEnd w:id="94"/>
      <w:r>
        <w:fldChar w:fldCharType="begin"/>
      </w:r>
      <w:r>
        <w:instrText xml:space="preserve"> HYPERLINK "https://pmc.ncbi.nlm.nih.gov/articles/PMC6977697/" \h </w:instrText>
      </w:r>
      <w:r>
        <w:fldChar w:fldCharType="separate"/>
      </w:r>
      <w:r>
        <w:rPr>
          <w:rFonts w:ascii="inter" w:hAnsi="inter" w:eastAsia="inter" w:cs="inter"/>
          <w:color w:val="000000"/>
          <w:sz w:val="18"/>
          <w:u w:val="single"/>
        </w:rPr>
        <w:t>https://pmc.ncbi.nlm.nih.gov/articles/PMC6977697/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CAC8B25">
      <w:pPr>
        <w:numPr>
          <w:ilvl w:val="0"/>
          <w:numId w:val="24"/>
        </w:numPr>
        <w:spacing w:after="210" w:line="360" w:lineRule="auto"/>
      </w:pPr>
      <w:bookmarkStart w:id="95" w:name="fn10"/>
      <w:bookmarkEnd w:id="95"/>
      <w:r>
        <w:fldChar w:fldCharType="begin"/>
      </w:r>
      <w:r>
        <w:instrText xml:space="preserve"> HYPERLINK "https://pmc.ncbi.nlm.nih.gov/articles/PMC10207908/" \h </w:instrText>
      </w:r>
      <w:r>
        <w:fldChar w:fldCharType="separate"/>
      </w:r>
      <w:r>
        <w:rPr>
          <w:rFonts w:ascii="inter" w:hAnsi="inter" w:eastAsia="inter" w:cs="inter"/>
          <w:color w:val="000000"/>
          <w:sz w:val="18"/>
          <w:u w:val="single"/>
        </w:rPr>
        <w:t>https://pmc.ncbi.nlm.nih.gov/articles/PMC10207908/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A6A2504">
      <w:pPr>
        <w:numPr>
          <w:ilvl w:val="0"/>
          <w:numId w:val="24"/>
        </w:numPr>
        <w:spacing w:after="210" w:line="360" w:lineRule="auto"/>
      </w:pPr>
      <w:bookmarkStart w:id="96" w:name="fn11"/>
      <w:bookmarkEnd w:id="96"/>
      <w:r>
        <w:fldChar w:fldCharType="begin"/>
      </w:r>
      <w:r>
        <w:instrText xml:space="preserve"> HYPERLINK "https://pubmed.ncbi.nlm.nih.gov/31355307/" \h </w:instrText>
      </w:r>
      <w:r>
        <w:fldChar w:fldCharType="separate"/>
      </w:r>
      <w:r>
        <w:rPr>
          <w:rFonts w:ascii="inter" w:hAnsi="inter" w:eastAsia="inter" w:cs="inter"/>
          <w:color w:val="000000"/>
          <w:sz w:val="18"/>
          <w:u w:val="single"/>
        </w:rPr>
        <w:t>https://pubmed.ncbi.nlm.nih.gov/31355307/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AC2828">
      <w:pPr>
        <w:numPr>
          <w:ilvl w:val="0"/>
          <w:numId w:val="24"/>
        </w:numPr>
        <w:spacing w:after="210" w:line="360" w:lineRule="auto"/>
      </w:pPr>
      <w:bookmarkStart w:id="97" w:name="fn12"/>
      <w:bookmarkEnd w:id="97"/>
      <w:r>
        <w:fldChar w:fldCharType="begin"/>
      </w:r>
      <w:r>
        <w:instrText xml:space="preserve"> HYPERLINK "https://pmc.ncbi.nlm.nih.gov/articles/PMC10414012/" \h </w:instrText>
      </w:r>
      <w:r>
        <w:fldChar w:fldCharType="separate"/>
      </w:r>
      <w:r>
        <w:rPr>
          <w:rFonts w:ascii="inter" w:hAnsi="inter" w:eastAsia="inter" w:cs="inter"/>
          <w:color w:val="000000"/>
          <w:sz w:val="18"/>
          <w:u w:val="single"/>
        </w:rPr>
        <w:t>https://pmc.ncbi.nlm.nih.gov/articles/PMC10414012/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F8498C">
      <w:pPr>
        <w:numPr>
          <w:ilvl w:val="0"/>
          <w:numId w:val="24"/>
        </w:numPr>
        <w:spacing w:after="210" w:line="360" w:lineRule="auto"/>
      </w:pPr>
      <w:bookmarkStart w:id="98" w:name="fn13"/>
      <w:bookmarkEnd w:id="98"/>
      <w:r>
        <w:fldChar w:fldCharType="begin"/>
      </w:r>
      <w:r>
        <w:instrText xml:space="preserve"> HYPERLINK "https://pmc.ncbi.nlm.nih.gov/articles/PMC10616922/" \h </w:instrText>
      </w:r>
      <w:r>
        <w:fldChar w:fldCharType="separate"/>
      </w:r>
      <w:r>
        <w:rPr>
          <w:rFonts w:ascii="inter" w:hAnsi="inter" w:eastAsia="inter" w:cs="inter"/>
          <w:color w:val="000000"/>
          <w:sz w:val="18"/>
          <w:u w:val="single"/>
        </w:rPr>
        <w:t>https://pmc.ncbi.nlm.nih.gov/articles/PMC10616922/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C6B57F9">
      <w:pPr>
        <w:numPr>
          <w:ilvl w:val="0"/>
          <w:numId w:val="24"/>
        </w:numPr>
        <w:spacing w:after="210" w:line="360" w:lineRule="auto"/>
      </w:pPr>
      <w:bookmarkStart w:id="99" w:name="fn14"/>
      <w:bookmarkEnd w:id="99"/>
      <w:r>
        <w:fldChar w:fldCharType="begin"/>
      </w:r>
      <w:r>
        <w:instrText xml:space="preserve"> HYPERLINK "https://www.dovepress.com/microglia-in-ischemic-stroke-pathogenesis-insights-and-therapeutic-cha-peer-reviewed-fulltext-article-JIR" \h </w:instrText>
      </w:r>
      <w:r>
        <w:fldChar w:fldCharType="separate"/>
      </w:r>
      <w:r>
        <w:rPr>
          <w:rFonts w:ascii="inter" w:hAnsi="inter" w:eastAsia="inter" w:cs="inter"/>
          <w:color w:val="000000"/>
          <w:sz w:val="18"/>
          <w:u w:val="single"/>
        </w:rPr>
        <w:t>https://www.dovepress.com/microglia-in-ischemic-stroke-pathogenesis-insights-and-therapeutic-cha-peer-reviewed-fulltext-article-JIR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9EE8A61">
      <w:pPr>
        <w:numPr>
          <w:ilvl w:val="0"/>
          <w:numId w:val="24"/>
        </w:numPr>
        <w:spacing w:after="210" w:line="360" w:lineRule="auto"/>
      </w:pPr>
      <w:bookmarkStart w:id="100" w:name="fn15"/>
      <w:bookmarkEnd w:id="100"/>
      <w:r>
        <w:fldChar w:fldCharType="begin"/>
      </w:r>
      <w:r>
        <w:instrText xml:space="preserve"> HYPERLINK "https://www.nature.com/articles/s41420-025-02350-x" \h </w:instrText>
      </w:r>
      <w:r>
        <w:fldChar w:fldCharType="separate"/>
      </w:r>
      <w:r>
        <w:rPr>
          <w:rFonts w:ascii="inter" w:hAnsi="inter" w:eastAsia="inter" w:cs="inter"/>
          <w:color w:val="000000"/>
          <w:sz w:val="18"/>
          <w:u w:val="single"/>
        </w:rPr>
        <w:t>https://www.nature.com/articles/s41420-025-02350-x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7CB9B80">
      <w:pPr>
        <w:numPr>
          <w:ilvl w:val="0"/>
          <w:numId w:val="24"/>
        </w:numPr>
        <w:spacing w:after="210" w:line="360" w:lineRule="auto"/>
      </w:pPr>
      <w:bookmarkStart w:id="101" w:name="fn16"/>
      <w:bookmarkEnd w:id="101"/>
      <w:r>
        <w:fldChar w:fldCharType="begin"/>
      </w:r>
      <w:r>
        <w:instrText xml:space="preserve"> HYPERLINK "https://pmc.ncbi.nlm.nih.gov/articles/PMC12072651/" \h </w:instrText>
      </w:r>
      <w:r>
        <w:fldChar w:fldCharType="separate"/>
      </w:r>
      <w:r>
        <w:rPr>
          <w:rFonts w:ascii="inter" w:hAnsi="inter" w:eastAsia="inter" w:cs="inter"/>
          <w:color w:val="000000"/>
          <w:sz w:val="18"/>
          <w:u w:val="single"/>
        </w:rPr>
        <w:t>https://pmc.ncbi.nlm.nih.gov/articles/PMC12072651/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044F7EB">
      <w:pPr>
        <w:numPr>
          <w:ilvl w:val="0"/>
          <w:numId w:val="24"/>
        </w:numPr>
        <w:spacing w:after="210" w:line="360" w:lineRule="auto"/>
      </w:pPr>
      <w:bookmarkStart w:id="102" w:name="fn17"/>
      <w:bookmarkEnd w:id="102"/>
      <w:r>
        <w:fldChar w:fldCharType="begin"/>
      </w:r>
      <w:r>
        <w:instrText xml:space="preserve"> HYPERLINK "https://pmc.ncbi.nlm.nih.gov/articles/PMC8317226/" \h </w:instrText>
      </w:r>
      <w:r>
        <w:fldChar w:fldCharType="separate"/>
      </w:r>
      <w:r>
        <w:rPr>
          <w:rFonts w:ascii="inter" w:hAnsi="inter" w:eastAsia="inter" w:cs="inter"/>
          <w:color w:val="000000"/>
          <w:sz w:val="18"/>
          <w:u w:val="single"/>
        </w:rPr>
        <w:t>https://pmc.ncbi.nlm.nih.gov/articles/PMC8317226/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486424">
      <w:pPr>
        <w:numPr>
          <w:ilvl w:val="0"/>
          <w:numId w:val="24"/>
        </w:numPr>
        <w:spacing w:after="210" w:line="360" w:lineRule="auto"/>
      </w:pPr>
      <w:bookmarkStart w:id="103" w:name="fn18"/>
      <w:bookmarkEnd w:id="103"/>
      <w:r>
        <w:fldChar w:fldCharType="begin"/>
      </w:r>
      <w:r>
        <w:instrText xml:space="preserve"> HYPERLINK "https://spj.science.org/doi/10.34133/bmr.0081" \h </w:instrText>
      </w:r>
      <w:r>
        <w:fldChar w:fldCharType="separate"/>
      </w:r>
      <w:r>
        <w:rPr>
          <w:rFonts w:ascii="inter" w:hAnsi="inter" w:eastAsia="inter" w:cs="inter"/>
          <w:color w:val="000000"/>
          <w:sz w:val="18"/>
          <w:u w:val="single"/>
        </w:rPr>
        <w:t>https://spj.science.org/doi/10.34133/bmr.0081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BE1740A">
      <w:pPr>
        <w:numPr>
          <w:ilvl w:val="0"/>
          <w:numId w:val="24"/>
        </w:numPr>
        <w:spacing w:after="210" w:line="360" w:lineRule="auto"/>
      </w:pPr>
      <w:bookmarkStart w:id="104" w:name="fn19"/>
      <w:bookmarkEnd w:id="104"/>
      <w:r>
        <w:fldChar w:fldCharType="begin"/>
      </w:r>
      <w:r>
        <w:instrText xml:space="preserve"> HYPERLINK "https://pmc.ncbi.nlm.nih.gov/articles/PMC11391890/" \h </w:instrText>
      </w:r>
      <w:r>
        <w:fldChar w:fldCharType="separate"/>
      </w:r>
      <w:r>
        <w:rPr>
          <w:rFonts w:ascii="inter" w:hAnsi="inter" w:eastAsia="inter" w:cs="inter"/>
          <w:color w:val="000000"/>
          <w:sz w:val="18"/>
          <w:u w:val="single"/>
        </w:rPr>
        <w:t>https://pmc.ncbi.nlm.nih.gov/articles/PMC11391890/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B4EE9F">
      <w:pPr>
        <w:numPr>
          <w:ilvl w:val="0"/>
          <w:numId w:val="24"/>
        </w:numPr>
        <w:spacing w:after="210" w:line="360" w:lineRule="auto"/>
      </w:pPr>
      <w:bookmarkStart w:id="105" w:name="fn20"/>
      <w:bookmarkEnd w:id="105"/>
      <w:r>
        <w:fldChar w:fldCharType="begin"/>
      </w:r>
      <w:r>
        <w:instrText xml:space="preserve"> HYPERLINK "https://pmc.ncbi.nlm.nih.gov/articles/PMC12041617/" \h </w:instrText>
      </w:r>
      <w:r>
        <w:fldChar w:fldCharType="separate"/>
      </w:r>
      <w:r>
        <w:rPr>
          <w:rFonts w:ascii="inter" w:hAnsi="inter" w:eastAsia="inter" w:cs="inter"/>
          <w:color w:val="000000"/>
          <w:sz w:val="18"/>
          <w:u w:val="single"/>
        </w:rPr>
        <w:t>https://pmc.ncbi.nlm.nih.gov/articles/PMC12041617/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894EF84">
      <w:pPr>
        <w:numPr>
          <w:ilvl w:val="0"/>
          <w:numId w:val="24"/>
        </w:numPr>
        <w:spacing w:after="210" w:line="360" w:lineRule="auto"/>
      </w:pPr>
      <w:bookmarkStart w:id="106" w:name="fn21"/>
      <w:bookmarkEnd w:id="106"/>
      <w:r>
        <w:fldChar w:fldCharType="begin"/>
      </w:r>
      <w:r>
        <w:instrText xml:space="preserve"> HYPERLINK "https://www.frontiersin.org/journals/neurology/articles/10.3389/fneur.2025.1512355/full" \h </w:instrText>
      </w:r>
      <w:r>
        <w:fldChar w:fldCharType="separate"/>
      </w:r>
      <w:r>
        <w:rPr>
          <w:rFonts w:ascii="inter" w:hAnsi="inter" w:eastAsia="inter" w:cs="inter"/>
          <w:color w:val="000000"/>
          <w:sz w:val="18"/>
          <w:u w:val="single"/>
        </w:rPr>
        <w:t>https://www.frontiersin.org/journals/neurology/articles/10.3389/fneur.2025.1512355/full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DA3DE5">
      <w:pPr>
        <w:numPr>
          <w:ilvl w:val="0"/>
          <w:numId w:val="24"/>
        </w:numPr>
        <w:spacing w:after="210" w:line="360" w:lineRule="auto"/>
      </w:pPr>
      <w:bookmarkStart w:id="107" w:name="fn22"/>
      <w:bookmarkEnd w:id="107"/>
      <w:r>
        <w:fldChar w:fldCharType="begin"/>
      </w:r>
      <w:r>
        <w:instrText xml:space="preserve"> HYPERLINK "https://www.nature.com/articles/s41598-023-37815-5" \h </w:instrText>
      </w:r>
      <w:r>
        <w:fldChar w:fldCharType="separate"/>
      </w:r>
      <w:r>
        <w:rPr>
          <w:rFonts w:ascii="inter" w:hAnsi="inter" w:eastAsia="inter" w:cs="inter"/>
          <w:color w:val="000000"/>
          <w:sz w:val="18"/>
          <w:u w:val="single"/>
        </w:rPr>
        <w:t>https://www.nature.com/articles/s41598-023-37815-5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8C521E">
      <w:pPr>
        <w:numPr>
          <w:ilvl w:val="0"/>
          <w:numId w:val="24"/>
        </w:numPr>
        <w:spacing w:after="210" w:line="360" w:lineRule="auto"/>
      </w:pPr>
      <w:bookmarkStart w:id="108" w:name="fn23"/>
      <w:bookmarkEnd w:id="108"/>
      <w:r>
        <w:fldChar w:fldCharType="begin"/>
      </w:r>
      <w:r>
        <w:instrText xml:space="preserve"> HYPERLINK "https://www.frontiersin.org/journals/neurology/articles/10.3389/fneur.2025.1641985/pdf" \h </w:instrText>
      </w:r>
      <w:r>
        <w:fldChar w:fldCharType="separate"/>
      </w:r>
      <w:r>
        <w:rPr>
          <w:rFonts w:ascii="inter" w:hAnsi="inter" w:eastAsia="inter" w:cs="inter"/>
          <w:color w:val="000000"/>
          <w:sz w:val="18"/>
          <w:u w:val="single"/>
        </w:rPr>
        <w:t>https://www.frontiersin.org/journals/neurology/articles/10.3389/fneur.2025.1641985/pdf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ECC808C">
      <w:pPr>
        <w:numPr>
          <w:ilvl w:val="0"/>
          <w:numId w:val="24"/>
        </w:numPr>
        <w:spacing w:after="210" w:line="360" w:lineRule="auto"/>
      </w:pPr>
      <w:bookmarkStart w:id="109" w:name="fn24"/>
      <w:bookmarkEnd w:id="109"/>
      <w:r>
        <w:fldChar w:fldCharType="begin"/>
      </w:r>
      <w:r>
        <w:instrText xml:space="preserve"> HYPERLINK "https://pmc.ncbi.nlm.nih.gov/articles/PMC8393299/" \h </w:instrText>
      </w:r>
      <w:r>
        <w:fldChar w:fldCharType="separate"/>
      </w:r>
      <w:r>
        <w:rPr>
          <w:rFonts w:ascii="inter" w:hAnsi="inter" w:eastAsia="inter" w:cs="inter"/>
          <w:color w:val="000000"/>
          <w:sz w:val="18"/>
          <w:u w:val="single"/>
        </w:rPr>
        <w:t>https://pmc.ncbi.nlm.nih.gov/articles/PMC8393299/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E03FDF2">
      <w:pPr>
        <w:numPr>
          <w:ilvl w:val="0"/>
          <w:numId w:val="24"/>
        </w:numPr>
        <w:spacing w:after="210" w:line="360" w:lineRule="auto"/>
      </w:pPr>
      <w:bookmarkStart w:id="110" w:name="fn25"/>
      <w:bookmarkEnd w:id="110"/>
      <w:r>
        <w:fldChar w:fldCharType="begin"/>
      </w:r>
      <w:r>
        <w:instrText xml:space="preserve"> HYPERLINK "https://www.ahajournals.org/doi/10.1161/STROKEAHA.119.027315" \h </w:instrText>
      </w:r>
      <w:r>
        <w:fldChar w:fldCharType="separate"/>
      </w:r>
      <w:r>
        <w:rPr>
          <w:rFonts w:ascii="inter" w:hAnsi="inter" w:eastAsia="inter" w:cs="inter"/>
          <w:color w:val="000000"/>
          <w:sz w:val="18"/>
          <w:u w:val="single"/>
        </w:rPr>
        <w:t>https://www.ahajournals.org/doi/10.1161/STROKEAHA.119.027315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D256A9">
      <w:pPr>
        <w:numPr>
          <w:ilvl w:val="0"/>
          <w:numId w:val="24"/>
        </w:numPr>
        <w:spacing w:after="210" w:line="360" w:lineRule="auto"/>
      </w:pPr>
      <w:bookmarkStart w:id="111" w:name="fn26"/>
      <w:bookmarkEnd w:id="111"/>
      <w:r>
        <w:fldChar w:fldCharType="begin"/>
      </w:r>
      <w:r>
        <w:instrText xml:space="preserve"> HYPERLINK "https://www.thieme-connect.com/products/ejournals/pdf/10.1055/a-2609-3457.pdf" \h </w:instrText>
      </w:r>
      <w:r>
        <w:fldChar w:fldCharType="separate"/>
      </w:r>
      <w:r>
        <w:rPr>
          <w:rFonts w:ascii="inter" w:hAnsi="inter" w:eastAsia="inter" w:cs="inter"/>
          <w:color w:val="000000"/>
          <w:sz w:val="18"/>
          <w:u w:val="single"/>
        </w:rPr>
        <w:t>https://www.thieme-connect.com/products/ejournals/pdf/10.1055/a-2609-3457.pdf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E6598E">
      <w:pPr>
        <w:numPr>
          <w:ilvl w:val="0"/>
          <w:numId w:val="24"/>
        </w:numPr>
        <w:spacing w:after="210" w:line="360" w:lineRule="auto"/>
      </w:pPr>
      <w:bookmarkStart w:id="112" w:name="fn27"/>
      <w:bookmarkEnd w:id="112"/>
      <w:r>
        <w:fldChar w:fldCharType="begin"/>
      </w:r>
      <w:r>
        <w:instrText xml:space="preserve"> HYPERLINK "https://pmc.ncbi.nlm.nih.gov/articles/PMC12427725/" \h </w:instrText>
      </w:r>
      <w:r>
        <w:fldChar w:fldCharType="separate"/>
      </w:r>
      <w:r>
        <w:rPr>
          <w:rFonts w:ascii="inter" w:hAnsi="inter" w:eastAsia="inter" w:cs="inter"/>
          <w:color w:val="000000"/>
          <w:sz w:val="18"/>
          <w:u w:val="single"/>
        </w:rPr>
        <w:t>https://pmc.ncbi.nlm.nih.gov/articles/PMC12427725/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DEB3B8A">
      <w:pPr>
        <w:numPr>
          <w:ilvl w:val="0"/>
          <w:numId w:val="24"/>
        </w:numPr>
        <w:spacing w:after="210" w:line="360" w:lineRule="auto"/>
      </w:pPr>
      <w:bookmarkStart w:id="113" w:name="fn28"/>
      <w:bookmarkEnd w:id="113"/>
      <w:r>
        <w:fldChar w:fldCharType="begin"/>
      </w:r>
      <w:r>
        <w:instrText xml:space="preserve"> HYPERLINK "https://www.ahajournals.org/doi/10.1161/JAHA.123.033341" \h </w:instrText>
      </w:r>
      <w:r>
        <w:fldChar w:fldCharType="separate"/>
      </w:r>
      <w:r>
        <w:rPr>
          <w:rFonts w:ascii="inter" w:hAnsi="inter" w:eastAsia="inter" w:cs="inter"/>
          <w:color w:val="000000"/>
          <w:sz w:val="18"/>
          <w:u w:val="single"/>
        </w:rPr>
        <w:t>https://www.ahajournals.org/doi/10.1161/JAHA.123.033341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5BC114">
      <w:pPr>
        <w:numPr>
          <w:ilvl w:val="0"/>
          <w:numId w:val="24"/>
        </w:numPr>
        <w:spacing w:after="210" w:line="360" w:lineRule="auto"/>
      </w:pPr>
      <w:bookmarkStart w:id="114" w:name="fn29"/>
      <w:bookmarkEnd w:id="114"/>
      <w:r>
        <w:fldChar w:fldCharType="begin"/>
      </w:r>
      <w:r>
        <w:instrText xml:space="preserve"> HYPERLINK "https://pmc.ncbi.nlm.nih.gov/articles/PMC6348596/" \h </w:instrText>
      </w:r>
      <w:r>
        <w:fldChar w:fldCharType="separate"/>
      </w:r>
      <w:r>
        <w:rPr>
          <w:rFonts w:ascii="inter" w:hAnsi="inter" w:eastAsia="inter" w:cs="inter"/>
          <w:color w:val="000000"/>
          <w:sz w:val="18"/>
          <w:u w:val="single"/>
        </w:rPr>
        <w:t>https://pmc.ncbi.nlm.nih.gov/articles/PMC6348596/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EE0FC42">
      <w:pPr>
        <w:numPr>
          <w:ilvl w:val="0"/>
          <w:numId w:val="24"/>
        </w:numPr>
        <w:spacing w:after="210" w:line="360" w:lineRule="auto"/>
      </w:pPr>
      <w:bookmarkStart w:id="115" w:name="fn30"/>
      <w:bookmarkEnd w:id="115"/>
      <w:r>
        <w:fldChar w:fldCharType="begin"/>
      </w:r>
      <w:r>
        <w:instrText xml:space="preserve"> HYPERLINK "https://www.ahajournals.org/doi/10.1161/strokeaha.113.002470" \h </w:instrText>
      </w:r>
      <w:r>
        <w:fldChar w:fldCharType="separate"/>
      </w:r>
      <w:r>
        <w:rPr>
          <w:rFonts w:ascii="inter" w:hAnsi="inter" w:eastAsia="inter" w:cs="inter"/>
          <w:color w:val="000000"/>
          <w:sz w:val="18"/>
          <w:u w:val="single"/>
        </w:rPr>
        <w:t>https://www.ahajournals.org/doi/10.1161/strokeaha.113.002470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10A7561">
      <w:pPr>
        <w:numPr>
          <w:ilvl w:val="0"/>
          <w:numId w:val="24"/>
        </w:numPr>
        <w:spacing w:after="210" w:line="360" w:lineRule="auto"/>
      </w:pPr>
      <w:bookmarkStart w:id="116" w:name="fn31"/>
      <w:bookmarkEnd w:id="116"/>
      <w:r>
        <w:fldChar w:fldCharType="begin"/>
      </w:r>
      <w:r>
        <w:instrText xml:space="preserve"> HYPERLINK "https://spj.science.org/doi/10.34133/research.0287" \h </w:instrText>
      </w:r>
      <w:r>
        <w:fldChar w:fldCharType="separate"/>
      </w:r>
      <w:r>
        <w:rPr>
          <w:rFonts w:ascii="inter" w:hAnsi="inter" w:eastAsia="inter" w:cs="inter"/>
          <w:color w:val="000000"/>
          <w:sz w:val="18"/>
          <w:u w:val="single"/>
        </w:rPr>
        <w:t>https://spj.science.org/doi/10.34133/research.0287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021F5E4">
      <w:pPr>
        <w:numPr>
          <w:ilvl w:val="0"/>
          <w:numId w:val="24"/>
        </w:numPr>
        <w:spacing w:after="210" w:line="360" w:lineRule="auto"/>
      </w:pPr>
      <w:bookmarkStart w:id="117" w:name="fn32"/>
      <w:bookmarkEnd w:id="117"/>
      <w:r>
        <w:fldChar w:fldCharType="begin"/>
      </w:r>
      <w:r>
        <w:instrText xml:space="preserve"> HYPERLINK "https://www.sciencedirect.com/science/article/pii/S2589238X24000159" \h </w:instrText>
      </w:r>
      <w:r>
        <w:fldChar w:fldCharType="separate"/>
      </w:r>
      <w:r>
        <w:rPr>
          <w:rFonts w:ascii="inter" w:hAnsi="inter" w:eastAsia="inter" w:cs="inter"/>
          <w:color w:val="000000"/>
          <w:sz w:val="18"/>
          <w:u w:val="single"/>
        </w:rPr>
        <w:t>https://www.sciencedirect.com/science/article/pii/S2589238X24000159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007BE7">
      <w:pPr>
        <w:numPr>
          <w:ilvl w:val="0"/>
          <w:numId w:val="24"/>
        </w:numPr>
        <w:spacing w:after="210" w:line="360" w:lineRule="auto"/>
      </w:pPr>
      <w:bookmarkStart w:id="118" w:name="fn33"/>
      <w:bookmarkEnd w:id="118"/>
      <w:r>
        <w:fldChar w:fldCharType="begin"/>
      </w:r>
      <w:r>
        <w:instrText xml:space="preserve"> HYPERLINK "https://pmc.ncbi.nlm.nih.gov/articles/PMC6993940/" \h </w:instrText>
      </w:r>
      <w:r>
        <w:fldChar w:fldCharType="separate"/>
      </w:r>
      <w:r>
        <w:rPr>
          <w:rFonts w:ascii="inter" w:hAnsi="inter" w:eastAsia="inter" w:cs="inter"/>
          <w:color w:val="000000"/>
          <w:sz w:val="18"/>
          <w:u w:val="single"/>
        </w:rPr>
        <w:t>https://pmc.ncbi.nlm.nih.gov/articles/PMC6993940/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0EA420">
      <w:pPr>
        <w:numPr>
          <w:ilvl w:val="0"/>
          <w:numId w:val="24"/>
        </w:numPr>
        <w:spacing w:after="210" w:line="360" w:lineRule="auto"/>
      </w:pPr>
      <w:bookmarkStart w:id="119" w:name="fn34"/>
      <w:bookmarkEnd w:id="119"/>
      <w:r>
        <w:fldChar w:fldCharType="begin"/>
      </w:r>
      <w:r>
        <w:instrText xml:space="preserve"> HYPERLINK "https://www.frontiersin.org/journals/immunology/articles/10.3389/fimmu.2021.692061/full" \h </w:instrText>
      </w:r>
      <w:r>
        <w:fldChar w:fldCharType="separate"/>
      </w:r>
      <w:r>
        <w:rPr>
          <w:rFonts w:ascii="inter" w:hAnsi="inter" w:eastAsia="inter" w:cs="inter"/>
          <w:color w:val="000000"/>
          <w:sz w:val="18"/>
          <w:u w:val="single"/>
        </w:rPr>
        <w:t>https://www.frontiersin.org/journals/immunology/articles/10.3389/fimmu.2021.692061/full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872A9B2">
      <w:pPr>
        <w:numPr>
          <w:ilvl w:val="0"/>
          <w:numId w:val="24"/>
        </w:numPr>
        <w:spacing w:after="210" w:line="360" w:lineRule="auto"/>
      </w:pPr>
      <w:bookmarkStart w:id="120" w:name="fn35"/>
      <w:bookmarkEnd w:id="120"/>
      <w:r>
        <w:fldChar w:fldCharType="begin"/>
      </w:r>
      <w:r>
        <w:instrText xml:space="preserve"> HYPERLINK "https://onlinelibrary.wiley.com/doi/10.1111/ejn.16663" \h </w:instrText>
      </w:r>
      <w:r>
        <w:fldChar w:fldCharType="separate"/>
      </w:r>
      <w:r>
        <w:rPr>
          <w:rFonts w:ascii="inter" w:hAnsi="inter" w:eastAsia="inter" w:cs="inter"/>
          <w:color w:val="000000"/>
          <w:sz w:val="18"/>
          <w:u w:val="single"/>
        </w:rPr>
        <w:t>https://onlinelibrary.wiley.com/doi/10.1111/ejn.16663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758C348">
      <w:pPr>
        <w:numPr>
          <w:ilvl w:val="0"/>
          <w:numId w:val="24"/>
        </w:numPr>
        <w:spacing w:after="210" w:line="360" w:lineRule="auto"/>
      </w:pPr>
      <w:bookmarkStart w:id="121" w:name="fn36"/>
      <w:bookmarkEnd w:id="121"/>
      <w:r>
        <w:fldChar w:fldCharType="begin"/>
      </w:r>
      <w:r>
        <w:instrText xml:space="preserve"> HYPERLINK "https://onlinelibrary.wiley.com/doi/10.1111/imcb.12463" \h </w:instrText>
      </w:r>
      <w:r>
        <w:fldChar w:fldCharType="separate"/>
      </w:r>
      <w:r>
        <w:rPr>
          <w:rFonts w:ascii="inter" w:hAnsi="inter" w:eastAsia="inter" w:cs="inter"/>
          <w:color w:val="000000"/>
          <w:sz w:val="18"/>
          <w:u w:val="single"/>
        </w:rPr>
        <w:t>https://onlinelibrary.wiley.com/doi/10.1111/imcb.12463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21040EE">
      <w:pPr>
        <w:numPr>
          <w:ilvl w:val="0"/>
          <w:numId w:val="24"/>
        </w:numPr>
        <w:spacing w:after="210" w:line="360" w:lineRule="auto"/>
      </w:pPr>
      <w:bookmarkStart w:id="122" w:name="fn37"/>
      <w:bookmarkEnd w:id="122"/>
      <w:r>
        <w:fldChar w:fldCharType="begin"/>
      </w:r>
      <w:r>
        <w:instrText xml:space="preserve"> HYPERLINK "https://www.ahajournals.org/doi/10.1161/STROKEAHA.121.036948" \h </w:instrText>
      </w:r>
      <w:r>
        <w:fldChar w:fldCharType="separate"/>
      </w:r>
      <w:r>
        <w:rPr>
          <w:rFonts w:ascii="inter" w:hAnsi="inter" w:eastAsia="inter" w:cs="inter"/>
          <w:color w:val="000000"/>
          <w:sz w:val="18"/>
          <w:u w:val="single"/>
        </w:rPr>
        <w:t>https://www.ahajournals.org/doi/10.1161/STROKEAHA.121.036948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401DF8">
      <w:pPr>
        <w:numPr>
          <w:ilvl w:val="0"/>
          <w:numId w:val="24"/>
        </w:numPr>
        <w:spacing w:after="210" w:line="360" w:lineRule="auto"/>
      </w:pPr>
      <w:bookmarkStart w:id="123" w:name="fn38"/>
      <w:bookmarkEnd w:id="123"/>
      <w:r>
        <w:fldChar w:fldCharType="begin"/>
      </w:r>
      <w:r>
        <w:instrText xml:space="preserve"> HYPERLINK "https://www.pnas.org/doi/10.1073/pnas.1905309116" \h </w:instrText>
      </w:r>
      <w:r>
        <w:fldChar w:fldCharType="separate"/>
      </w:r>
      <w:r>
        <w:rPr>
          <w:rFonts w:ascii="inter" w:hAnsi="inter" w:eastAsia="inter" w:cs="inter"/>
          <w:color w:val="000000"/>
          <w:sz w:val="18"/>
          <w:u w:val="single"/>
        </w:rPr>
        <w:t>https://www.pnas.org/doi/10.1073/pnas.1905309116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9E43F05">
      <w:pPr>
        <w:numPr>
          <w:ilvl w:val="0"/>
          <w:numId w:val="24"/>
        </w:numPr>
        <w:spacing w:after="210" w:line="360" w:lineRule="auto"/>
      </w:pPr>
      <w:bookmarkStart w:id="124" w:name="fn39"/>
      <w:bookmarkEnd w:id="124"/>
      <w:r>
        <w:fldChar w:fldCharType="begin"/>
      </w:r>
      <w:r>
        <w:instrText xml:space="preserve"> HYPERLINK "https://www.frontiersin.org/journals/aging-neuroscience/articles/10.3389/fnagi.2022.1041333/full" \h </w:instrText>
      </w:r>
      <w:r>
        <w:fldChar w:fldCharType="separate"/>
      </w:r>
      <w:r>
        <w:rPr>
          <w:rFonts w:ascii="inter" w:hAnsi="inter" w:eastAsia="inter" w:cs="inter"/>
          <w:color w:val="000000"/>
          <w:sz w:val="18"/>
          <w:u w:val="single"/>
        </w:rPr>
        <w:t>https://www.frontiersin.org/journals/aging-neuroscience/articles/10.3389/fnagi.2022.1041333/full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41ADA38">
      <w:pPr>
        <w:numPr>
          <w:ilvl w:val="0"/>
          <w:numId w:val="24"/>
        </w:numPr>
        <w:spacing w:after="210" w:line="360" w:lineRule="auto"/>
      </w:pPr>
      <w:bookmarkStart w:id="125" w:name="fn40"/>
      <w:bookmarkEnd w:id="125"/>
      <w:r>
        <w:fldChar w:fldCharType="begin"/>
      </w:r>
      <w:r>
        <w:instrText xml:space="preserve"> HYPERLINK "https://pmc.ncbi.nlm.nih.gov/articles/PMC6624098/" \h </w:instrText>
      </w:r>
      <w:r>
        <w:fldChar w:fldCharType="separate"/>
      </w:r>
      <w:r>
        <w:rPr>
          <w:rFonts w:ascii="inter" w:hAnsi="inter" w:eastAsia="inter" w:cs="inter"/>
          <w:color w:val="000000"/>
          <w:sz w:val="18"/>
          <w:u w:val="single"/>
        </w:rPr>
        <w:t>https://pmc.ncbi.nlm.nih.gov/articles/PMC6624098/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0BEDC70">
      <w:pPr>
        <w:numPr>
          <w:ilvl w:val="0"/>
          <w:numId w:val="24"/>
        </w:numPr>
        <w:spacing w:after="210" w:line="360" w:lineRule="auto"/>
      </w:pPr>
      <w:bookmarkStart w:id="126" w:name="fn41"/>
      <w:bookmarkEnd w:id="126"/>
      <w:r>
        <w:fldChar w:fldCharType="begin"/>
      </w:r>
      <w:r>
        <w:instrText xml:space="preserve"> HYPERLINK "https://www.ahajournals.org/doi/10.1161/str.53.suppl_1.TP207" \h </w:instrText>
      </w:r>
      <w:r>
        <w:fldChar w:fldCharType="separate"/>
      </w:r>
      <w:r>
        <w:rPr>
          <w:rFonts w:ascii="inter" w:hAnsi="inter" w:eastAsia="inter" w:cs="inter"/>
          <w:color w:val="000000"/>
          <w:sz w:val="18"/>
          <w:u w:val="single"/>
        </w:rPr>
        <w:t>https://www.ahajournals.org/doi/10.1161/str.53.suppl_1.TP207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22C42E">
      <w:pPr>
        <w:numPr>
          <w:ilvl w:val="0"/>
          <w:numId w:val="24"/>
        </w:numPr>
        <w:spacing w:after="210" w:line="360" w:lineRule="auto"/>
      </w:pPr>
      <w:bookmarkStart w:id="127" w:name="fn42"/>
      <w:bookmarkEnd w:id="127"/>
      <w:r>
        <w:fldChar w:fldCharType="begin"/>
      </w:r>
      <w:r>
        <w:instrText xml:space="preserve"> HYPERLINK "https://www.sciencedirect.com/science/article/pii/S2405844024082021" \h </w:instrText>
      </w:r>
      <w:r>
        <w:fldChar w:fldCharType="separate"/>
      </w:r>
      <w:r>
        <w:rPr>
          <w:rFonts w:ascii="inter" w:hAnsi="inter" w:eastAsia="inter" w:cs="inter"/>
          <w:color w:val="000000"/>
          <w:sz w:val="18"/>
          <w:u w:val="single"/>
        </w:rPr>
        <w:t>https://www.sciencedirect.com/science/article/pii/S2405844024082021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6779F5A">
      <w:pPr>
        <w:numPr>
          <w:ilvl w:val="0"/>
          <w:numId w:val="24"/>
        </w:numPr>
        <w:spacing w:after="210" w:line="360" w:lineRule="auto"/>
      </w:pPr>
      <w:bookmarkStart w:id="128" w:name="fn43"/>
      <w:bookmarkEnd w:id="128"/>
      <w:r>
        <w:fldChar w:fldCharType="begin"/>
      </w:r>
      <w:r>
        <w:instrText xml:space="preserve"> HYPERLINK "https://www.sciencedirect.com/science/article/abs/pii/S0006899325002641" \h </w:instrText>
      </w:r>
      <w:r>
        <w:fldChar w:fldCharType="separate"/>
      </w:r>
      <w:r>
        <w:rPr>
          <w:rFonts w:ascii="inter" w:hAnsi="inter" w:eastAsia="inter" w:cs="inter"/>
          <w:color w:val="000000"/>
          <w:sz w:val="18"/>
          <w:u w:val="single"/>
        </w:rPr>
        <w:t>https://www.sciencedirect.com/science/article/abs/pii/S0006899325002641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706153">
      <w:pPr>
        <w:numPr>
          <w:ilvl w:val="0"/>
          <w:numId w:val="24"/>
        </w:numPr>
        <w:spacing w:after="210" w:line="360" w:lineRule="auto"/>
      </w:pPr>
      <w:bookmarkStart w:id="129" w:name="fn44"/>
      <w:bookmarkEnd w:id="129"/>
      <w:r>
        <w:fldChar w:fldCharType="begin"/>
      </w:r>
      <w:r>
        <w:instrText xml:space="preserve"> HYPERLINK "https://www.ahajournals.org/doi/10.1161/JAHA.125.043158" \h </w:instrText>
      </w:r>
      <w:r>
        <w:fldChar w:fldCharType="separate"/>
      </w:r>
      <w:r>
        <w:rPr>
          <w:rFonts w:ascii="inter" w:hAnsi="inter" w:eastAsia="inter" w:cs="inter"/>
          <w:color w:val="000000"/>
          <w:sz w:val="18"/>
          <w:u w:val="single"/>
        </w:rPr>
        <w:t>https://www.ahajournals.org/doi/10.1161/JAHA.125.043158</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pPr>
        <w:tabs>
          <w:tab w:val="left" w:pos="900"/>
        </w:tabs>
        <w:ind w:left="540" w:hanging="360"/>
      </w:pPr>
      <w:rPr>
        <w:rFonts w:hint="default" w:ascii="Symbol" w:hAnsi="Symbol"/>
      </w:rPr>
    </w:lvl>
  </w:abstractNum>
  <w:abstractNum w:abstractNumId="1">
    <w:nsid w:val="9C8AC8EF"/>
    <w:multiLevelType w:val="singleLevel"/>
    <w:tmpl w:val="9C8AC8EF"/>
    <w:lvl w:ilvl="0" w:tentative="0">
      <w:start w:val="1"/>
      <w:numFmt w:val="bullet"/>
      <w:lvlText w:val=""/>
      <w:lvlJc w:val="left"/>
      <w:pPr>
        <w:tabs>
          <w:tab w:val="left" w:pos="900"/>
        </w:tabs>
        <w:ind w:left="540" w:hanging="360"/>
      </w:pPr>
      <w:rPr>
        <w:rFonts w:hint="default" w:ascii="Symbol" w:hAnsi="Symbol"/>
      </w:rPr>
    </w:lvl>
  </w:abstractNum>
  <w:abstractNum w:abstractNumId="2">
    <w:nsid w:val="B0F1ACD9"/>
    <w:multiLevelType w:val="singleLevel"/>
    <w:tmpl w:val="B0F1ACD9"/>
    <w:lvl w:ilvl="0" w:tentative="0">
      <w:start w:val="1"/>
      <w:numFmt w:val="decimal"/>
      <w:lvlText w:val="%1."/>
      <w:lvlJc w:val="left"/>
      <w:pPr>
        <w:tabs>
          <w:tab w:val="left" w:pos="900"/>
        </w:tabs>
        <w:ind w:left="540" w:hanging="360"/>
      </w:pPr>
    </w:lvl>
  </w:abstractNum>
  <w:abstractNum w:abstractNumId="3">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4">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5">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6">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7">
    <w:nsid w:val="D7F9FE59"/>
    <w:multiLevelType w:val="singleLevel"/>
    <w:tmpl w:val="D7F9FE59"/>
    <w:lvl w:ilvl="0" w:tentative="0">
      <w:start w:val="1"/>
      <w:numFmt w:val="bullet"/>
      <w:lvlText w:val=""/>
      <w:lvlJc w:val="left"/>
      <w:pPr>
        <w:tabs>
          <w:tab w:val="left" w:pos="900"/>
        </w:tabs>
        <w:ind w:left="540" w:hanging="360"/>
      </w:pPr>
      <w:rPr>
        <w:rFonts w:hint="default" w:ascii="Symbol" w:hAnsi="Symbol"/>
      </w:rPr>
    </w:lvl>
  </w:abstractNum>
  <w:abstractNum w:abstractNumId="8">
    <w:nsid w:val="DCBA6B53"/>
    <w:multiLevelType w:val="singleLevel"/>
    <w:tmpl w:val="DCBA6B53"/>
    <w:lvl w:ilvl="0" w:tentative="0">
      <w:start w:val="1"/>
      <w:numFmt w:val="bullet"/>
      <w:lvlText w:val=""/>
      <w:lvlJc w:val="left"/>
      <w:pPr>
        <w:tabs>
          <w:tab w:val="left" w:pos="900"/>
        </w:tabs>
        <w:ind w:left="540" w:hanging="360"/>
      </w:pPr>
      <w:rPr>
        <w:rFonts w:hint="default" w:ascii="Symbol" w:hAnsi="Symbol"/>
      </w:rPr>
    </w:lvl>
  </w:abstractNum>
  <w:abstractNum w:abstractNumId="9">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10">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11">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12">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13">
    <w:nsid w:val="0E640482"/>
    <w:multiLevelType w:val="singleLevel"/>
    <w:tmpl w:val="0E640482"/>
    <w:lvl w:ilvl="0" w:tentative="0">
      <w:start w:val="1"/>
      <w:numFmt w:val="bullet"/>
      <w:lvlText w:val=""/>
      <w:lvlJc w:val="left"/>
      <w:pPr>
        <w:tabs>
          <w:tab w:val="left" w:pos="900"/>
        </w:tabs>
        <w:ind w:left="540" w:hanging="360"/>
      </w:pPr>
      <w:rPr>
        <w:rFonts w:hint="default" w:ascii="Symbol" w:hAnsi="Symbol"/>
      </w:rPr>
    </w:lvl>
  </w:abstractNum>
  <w:abstractNum w:abstractNumId="14">
    <w:nsid w:val="2470EC97"/>
    <w:multiLevelType w:val="singleLevel"/>
    <w:tmpl w:val="2470EC97"/>
    <w:lvl w:ilvl="0" w:tentative="0">
      <w:start w:val="1"/>
      <w:numFmt w:val="bullet"/>
      <w:lvlText w:val=""/>
      <w:lvlJc w:val="left"/>
      <w:pPr>
        <w:tabs>
          <w:tab w:val="left" w:pos="900"/>
        </w:tabs>
        <w:ind w:left="540" w:hanging="360"/>
      </w:pPr>
      <w:rPr>
        <w:rFonts w:hint="default" w:ascii="Symbol" w:hAnsi="Symbol"/>
      </w:rPr>
    </w:lvl>
  </w:abstractNum>
  <w:abstractNum w:abstractNumId="15">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16">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17">
    <w:nsid w:val="46A08BB8"/>
    <w:multiLevelType w:val="singleLevel"/>
    <w:tmpl w:val="46A08BB8"/>
    <w:lvl w:ilvl="0" w:tentative="0">
      <w:start w:val="1"/>
      <w:numFmt w:val="decimal"/>
      <w:lvlText w:val="%1."/>
      <w:lvlJc w:val="left"/>
      <w:pPr>
        <w:tabs>
          <w:tab w:val="left" w:pos="900"/>
        </w:tabs>
        <w:ind w:left="540" w:hanging="360"/>
      </w:pPr>
    </w:lvl>
  </w:abstractNum>
  <w:abstractNum w:abstractNumId="18">
    <w:nsid w:val="4C1BAE26"/>
    <w:multiLevelType w:val="singleLevel"/>
    <w:tmpl w:val="4C1BAE26"/>
    <w:lvl w:ilvl="0" w:tentative="0">
      <w:start w:val="1"/>
      <w:numFmt w:val="bullet"/>
      <w:lvlText w:val=""/>
      <w:lvlJc w:val="left"/>
      <w:pPr>
        <w:tabs>
          <w:tab w:val="left" w:pos="900"/>
        </w:tabs>
        <w:ind w:left="540" w:hanging="360"/>
      </w:pPr>
      <w:rPr>
        <w:rFonts w:hint="default" w:ascii="Symbol" w:hAnsi="Symbol"/>
      </w:rPr>
    </w:lvl>
  </w:abstractNum>
  <w:abstractNum w:abstractNumId="19">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20">
    <w:nsid w:val="59ADCABA"/>
    <w:multiLevelType w:val="multilevel"/>
    <w:tmpl w:val="59ADCABA"/>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21">
    <w:nsid w:val="5A241D34"/>
    <w:multiLevelType w:val="singleLevel"/>
    <w:tmpl w:val="5A241D34"/>
    <w:lvl w:ilvl="0" w:tentative="0">
      <w:start w:val="1"/>
      <w:numFmt w:val="bullet"/>
      <w:lvlText w:val=""/>
      <w:lvlJc w:val="left"/>
      <w:pPr>
        <w:tabs>
          <w:tab w:val="left" w:pos="900"/>
        </w:tabs>
        <w:ind w:left="540" w:hanging="360"/>
      </w:pPr>
      <w:rPr>
        <w:rFonts w:hint="default" w:ascii="Symbol" w:hAnsi="Symbol"/>
      </w:rPr>
    </w:lvl>
  </w:abstractNum>
  <w:abstractNum w:abstractNumId="22">
    <w:nsid w:val="60382F6E"/>
    <w:multiLevelType w:val="singleLevel"/>
    <w:tmpl w:val="60382F6E"/>
    <w:lvl w:ilvl="0" w:tentative="0">
      <w:start w:val="1"/>
      <w:numFmt w:val="bullet"/>
      <w:lvlText w:val=""/>
      <w:lvlJc w:val="left"/>
      <w:pPr>
        <w:tabs>
          <w:tab w:val="left" w:pos="900"/>
        </w:tabs>
        <w:ind w:left="540" w:hanging="360"/>
      </w:pPr>
      <w:rPr>
        <w:rFonts w:hint="default" w:ascii="Symbol" w:hAnsi="Symbol"/>
      </w:rPr>
    </w:lvl>
  </w:abstractNum>
  <w:abstractNum w:abstractNumId="23">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num w:numId="1">
    <w:abstractNumId w:val="10"/>
  </w:num>
  <w:num w:numId="2">
    <w:abstractNumId w:val="6"/>
  </w:num>
  <w:num w:numId="3">
    <w:abstractNumId w:val="20"/>
  </w:num>
  <w:num w:numId="4">
    <w:abstractNumId w:val="4"/>
  </w:num>
  <w:num w:numId="5">
    <w:abstractNumId w:val="3"/>
  </w:num>
  <w:num w:numId="6">
    <w:abstractNumId w:val="12"/>
  </w:num>
  <w:num w:numId="7">
    <w:abstractNumId w:val="15"/>
  </w:num>
  <w:num w:numId="8">
    <w:abstractNumId w:val="23"/>
  </w:num>
  <w:num w:numId="9">
    <w:abstractNumId w:val="11"/>
  </w:num>
  <w:num w:numId="10">
    <w:abstractNumId w:val="0"/>
  </w:num>
  <w:num w:numId="11">
    <w:abstractNumId w:val="16"/>
  </w:num>
  <w:num w:numId="12">
    <w:abstractNumId w:val="21"/>
  </w:num>
  <w:num w:numId="13">
    <w:abstractNumId w:val="5"/>
  </w:num>
  <w:num w:numId="14">
    <w:abstractNumId w:val="19"/>
  </w:num>
  <w:num w:numId="15">
    <w:abstractNumId w:val="9"/>
  </w:num>
  <w:num w:numId="16">
    <w:abstractNumId w:val="14"/>
  </w:num>
  <w:num w:numId="17">
    <w:abstractNumId w:val="8"/>
  </w:num>
  <w:num w:numId="18">
    <w:abstractNumId w:val="7"/>
  </w:num>
  <w:num w:numId="19">
    <w:abstractNumId w:val="1"/>
  </w:num>
  <w:num w:numId="20">
    <w:abstractNumId w:val="18"/>
  </w:num>
  <w:num w:numId="21">
    <w:abstractNumId w:val="22"/>
  </w:num>
  <w:num w:numId="22">
    <w:abstractNumId w:val="13"/>
  </w:num>
  <w:num w:numId="23">
    <w:abstractNumId w:val="17"/>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F986D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zh-CN"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Verbatim Char"/>
    <w:qFormat/>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Pages>
  <Words>3545</Words>
  <Characters>4500</Characters>
  <TotalTime>0</TotalTime>
  <ScaleCrop>false</ScaleCrop>
  <LinksUpToDate>false</LinksUpToDate>
  <CharactersWithSpaces>4560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2025-12-17T15:52:00Z</dcterms:created>
  <dc:creator>html-to-docx</dc:creator>
  <cp:keywords>html-to-docx</cp:keywords>
  <cp:lastModifiedBy>dyx</cp:lastModifiedBy>
  <dcterms:modified xsi:type="dcterms:W3CDTF">2026-01-04T17:20:12Z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CD862FB01FA44AD1B0D950A3F959D204_12</vt:lpwstr>
  </property>
</Properties>
</file>