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03B59">
      <w:pPr>
        <w:spacing w:after="0" w:line="360" w:lineRule="auto"/>
      </w:pPr>
      <w:bookmarkStart w:id="125" w:name="_GoBack"/>
      <w:bookmarkEnd w:id="125"/>
    </w:p>
    <w:p w14:paraId="2A05B3D4">
      <w:pPr>
        <w:spacing w:before="157" w:after="157" w:line="270" w:lineRule="auto"/>
        <w:jc w:val="left"/>
      </w:pPr>
      <w:bookmarkStart w:id="0" w:name="中性粒细胞在脑缺血中的作用_从急性期到慢性期的功能谱系与研究展望"/>
      <w:r>
        <w:rPr>
          <w:rFonts w:ascii="inter" w:hAnsi="inter" w:eastAsia="inter" w:cs="inter"/>
          <w:b/>
          <w:color w:val="000000"/>
          <w:sz w:val="39"/>
        </w:rPr>
        <w:t>中性粒细胞在脑缺血中的作用：从急性期到慢性期的功能谱系与研究展望</w:t>
      </w:r>
      <w:bookmarkEnd w:id="0"/>
    </w:p>
    <w:p w14:paraId="79E1E2FD">
      <w:pPr>
        <w:spacing w:before="315" w:after="105" w:line="360" w:lineRule="auto"/>
        <w:ind w:left="-30"/>
        <w:jc w:val="left"/>
      </w:pPr>
      <w:bookmarkStart w:id="1" w:name="一_近期研究发现概述_脑缺血不同阶段中性粒细胞的动态角色"/>
      <w:r>
        <w:rPr>
          <w:rFonts w:ascii="inter" w:hAnsi="inter" w:eastAsia="inter" w:cs="inter"/>
          <w:b/>
          <w:color w:val="000000"/>
          <w:sz w:val="24"/>
        </w:rPr>
        <w:t>一、近期研究发现概述：脑缺血不同阶段中性粒细胞的动态角色</w:t>
      </w:r>
      <w:bookmarkEnd w:id="1"/>
    </w:p>
    <w:p w14:paraId="64E3D700">
      <w:pPr>
        <w:spacing w:before="315" w:after="105" w:line="360" w:lineRule="auto"/>
        <w:ind w:left="-30"/>
        <w:jc w:val="left"/>
      </w:pPr>
      <w:bookmarkStart w:id="2" w:name="一_急性期_数小时_数天_从_首批应急兵_到放大损伤的关键放大器"/>
      <w:r>
        <w:rPr>
          <w:rFonts w:ascii="inter" w:hAnsi="inter" w:eastAsia="inter" w:cs="inter"/>
          <w:b/>
          <w:color w:val="000000"/>
          <w:sz w:val="24"/>
        </w:rPr>
        <w:t>（一）急性期（数小时–数天）：从“首批应急兵”到放大损伤的关键放大器</w:t>
      </w:r>
      <w:bookmarkEnd w:id="2"/>
    </w:p>
    <w:p w14:paraId="6F8288E3">
      <w:pPr>
        <w:spacing w:after="210" w:line="360" w:lineRule="auto"/>
      </w:pPr>
      <w:r>
        <w:rPr>
          <w:rFonts w:ascii="inter" w:hAnsi="inter" w:eastAsia="inter" w:cs="inter"/>
          <w:color w:val="000000"/>
        </w:rPr>
        <w:t>急性脑缺血后，中性粒细胞是最早被大量动员、并进入中枢神经系统（CNS）的外周免疫细胞之一，可在发病后数小时内在外周血中显著升高，并在24–72小时内大量浸润缺血半暗带及血管周围区域。在这一阶段，中性粒细胞主要表现为高度激活、以促炎和组织破坏为主的“有害”表型，具体表现在：</w:t>
      </w:r>
      <w:bookmarkStart w:id="3" w:name="fnref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471D1A2">
      <w:pPr>
        <w:numPr>
          <w:ilvl w:val="0"/>
          <w:numId w:val="1"/>
        </w:numPr>
        <w:spacing w:after="210" w:line="360" w:lineRule="auto"/>
      </w:pPr>
      <w:r>
        <w:rPr>
          <w:rFonts w:ascii="inter" w:hAnsi="inter" w:eastAsia="inter" w:cs="inter"/>
          <w:b/>
          <w:color w:val="000000"/>
          <w:sz w:val="21"/>
        </w:rPr>
        <w:t>循环中性粒细胞的激活与表型改变</w:t>
      </w:r>
      <w:r>
        <w:rPr>
          <w:rFonts w:ascii="inter" w:hAnsi="inter" w:eastAsia="inter" w:cs="inter"/>
          <w:color w:val="000000"/>
          <w:sz w:val="21"/>
        </w:rPr>
        <w:br w:type="textWrapping"/>
      </w:r>
      <w:r>
        <w:rPr>
          <w:rFonts w:ascii="inter" w:hAnsi="inter" w:eastAsia="inter" w:cs="inter"/>
          <w:color w:val="000000"/>
          <w:sz w:val="21"/>
        </w:rPr>
        <w:t>急性缺血性卒中患者外周血中性粒细胞呈持续的基础性高激活状态，其表面黏附分子和活化标志明显改变：L‑selectin（CD62L）下调、CD11b/CD18（β2整合素）上调，伴随更高的活性氧（ROS）产生及中性粒细胞弹性蛋白酶（neutrophil elastase）释出。这类改变与中性粒细胞凋亡/坏死平衡被打破、坏死样死亡增加密切相关，从而促进细胞内容物外泄，放大炎症级联反应。</w:t>
      </w:r>
      <w:bookmarkStart w:id="6" w:name="fnref4"/>
      <w:bookmarkEnd w:id="6"/>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7" w:name="fnref5"/>
      <w:bookmarkEnd w:id="7"/>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7303983A">
      <w:pPr>
        <w:numPr>
          <w:ilvl w:val="0"/>
          <w:numId w:val="1"/>
        </w:numPr>
        <w:spacing w:after="210" w:line="360" w:lineRule="auto"/>
      </w:pPr>
      <w:r>
        <w:rPr>
          <w:rFonts w:ascii="inter" w:hAnsi="inter" w:eastAsia="inter" w:cs="inter"/>
          <w:b/>
          <w:color w:val="000000"/>
          <w:sz w:val="21"/>
        </w:rPr>
        <w:t>血脑屏障（BBB）破坏与脑水肿形成</w:t>
      </w:r>
      <w:r>
        <w:rPr>
          <w:rFonts w:ascii="inter" w:hAnsi="inter" w:eastAsia="inter" w:cs="inter"/>
          <w:color w:val="000000"/>
          <w:sz w:val="21"/>
        </w:rPr>
        <w:br w:type="textWrapping"/>
      </w:r>
      <w:r>
        <w:rPr>
          <w:rFonts w:ascii="inter" w:hAnsi="inter" w:eastAsia="inter" w:cs="inter"/>
          <w:color w:val="000000"/>
          <w:sz w:val="21"/>
        </w:rPr>
        <w:t>中性粒细胞通过多种机制促发BBB损伤并加重脑水肿：</w:t>
      </w:r>
    </w:p>
    <w:p w14:paraId="3A06AE7C">
      <w:pPr>
        <w:numPr>
          <w:ilvl w:val="1"/>
          <w:numId w:val="1"/>
        </w:numPr>
        <w:spacing w:before="105" w:after="105" w:line="360" w:lineRule="auto"/>
      </w:pPr>
      <w:r>
        <w:rPr>
          <w:rFonts w:ascii="inter" w:hAnsi="inter" w:eastAsia="inter" w:cs="inter"/>
          <w:color w:val="000000"/>
          <w:sz w:val="21"/>
        </w:rPr>
        <w:t>分泌中性粒细胞弹性蛋白酶和多种蛋白酶，降解基底膜成分和紧密连接蛋白，导致屏障通透性升高。</w:t>
      </w:r>
      <w:bookmarkStart w:id="8" w:name="fnref6"/>
      <w:bookmarkEnd w:id="8"/>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9" w:name="fnref2_1"/>
      <w:bookmarkEnd w:id="9"/>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2C5D210B">
      <w:pPr>
        <w:numPr>
          <w:ilvl w:val="1"/>
          <w:numId w:val="1"/>
        </w:numPr>
        <w:spacing w:before="105" w:after="105" w:line="360" w:lineRule="auto"/>
      </w:pPr>
      <w:r>
        <w:rPr>
          <w:rFonts w:ascii="inter" w:hAnsi="inter" w:eastAsia="inter" w:cs="inter"/>
          <w:color w:val="000000"/>
          <w:sz w:val="21"/>
        </w:rPr>
        <w:t>释放基质金属蛋白酶（MMPs，如MMP‑9）和诱导型一氧化氮合酶（iNOS），进一步破坏血管结构，加重脑水肿与出血性转化风险。</w:t>
      </w:r>
      <w:bookmarkStart w:id="10" w:name="fnref2_2"/>
      <w:bookmarkEnd w:id="10"/>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临床研究显示，急性期中性粒细胞数量或中性粒细胞/淋巴细胞比值升高与恶性脑水肿、出血性转换及预后不良相关。</w:t>
      </w:r>
      <w:bookmarkStart w:id="11" w:name="fnref6_1"/>
      <w:bookmarkEnd w:id="1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2" w:name="fnref2_3"/>
      <w:bookmarkEnd w:id="12"/>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07755DC6">
      <w:pPr>
        <w:numPr>
          <w:ilvl w:val="0"/>
          <w:numId w:val="1"/>
        </w:numPr>
        <w:spacing w:after="210" w:line="360" w:lineRule="auto"/>
      </w:pPr>
      <w:r>
        <w:rPr>
          <w:rFonts w:ascii="inter" w:hAnsi="inter" w:eastAsia="inter" w:cs="inter"/>
          <w:b/>
          <w:color w:val="000000"/>
          <w:sz w:val="21"/>
        </w:rPr>
        <w:t>炎性介质与细胞外陷阱（NETs）释放</w:t>
      </w:r>
      <w:r>
        <w:rPr>
          <w:rFonts w:ascii="inter" w:hAnsi="inter" w:eastAsia="inter" w:cs="inter"/>
          <w:color w:val="000000"/>
          <w:sz w:val="21"/>
        </w:rPr>
        <w:br w:type="textWrapping"/>
      </w:r>
      <w:r>
        <w:rPr>
          <w:rFonts w:ascii="inter" w:hAnsi="inter" w:eastAsia="inter" w:cs="inter"/>
          <w:color w:val="000000"/>
          <w:sz w:val="21"/>
        </w:rPr>
        <w:t>急性期中性粒细胞大量释放促炎细胞因子（如TNF‑α、IL‑1β）、趋化因子（如CXCL1/2）、ROS和蛋白酶，形成强烈的局灶性炎性微环境。</w:t>
      </w:r>
      <w:bookmarkStart w:id="13" w:name="fnref3_1"/>
      <w:bookmarkEnd w:id="13"/>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14" w:name="fnref1_1"/>
      <w:bookmarkEnd w:id="14"/>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近年研究强调中性粒细胞胞外陷阱（neutrophil extracellular traps, NETs）的作用：NETs在缺血后2–3天内最为显著，其由脱氧核糖核酸（DNA）、组蛋白及颗粒蛋白组成，可促进微血栓形成、加重微循环障碍及血管再灌注损伤。NETs还可直接损伤内皮细胞与神经元膜结构，从而扩大梗死体积。</w:t>
      </w:r>
      <w:bookmarkStart w:id="15" w:name="fnref1_2"/>
      <w:bookmarkEnd w:id="15"/>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16" w:name="fnref3_2"/>
      <w:bookmarkEnd w:id="16"/>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47FD8DA2">
      <w:pPr>
        <w:numPr>
          <w:ilvl w:val="0"/>
          <w:numId w:val="1"/>
        </w:numPr>
        <w:spacing w:after="210" w:line="360" w:lineRule="auto"/>
      </w:pPr>
      <w:r>
        <w:rPr>
          <w:rFonts w:ascii="inter" w:hAnsi="inter" w:eastAsia="inter" w:cs="inter"/>
          <w:b/>
          <w:color w:val="000000"/>
          <w:sz w:val="21"/>
        </w:rPr>
        <w:t>急性期中性粒细胞亚群及功能多样性</w:t>
      </w:r>
      <w:r>
        <w:rPr>
          <w:rFonts w:ascii="inter" w:hAnsi="inter" w:eastAsia="inter" w:cs="inter"/>
          <w:color w:val="000000"/>
          <w:sz w:val="21"/>
        </w:rPr>
        <w:br w:type="textWrapping"/>
      </w:r>
      <w:r>
        <w:rPr>
          <w:rFonts w:ascii="inter" w:hAnsi="inter" w:eastAsia="inter" w:cs="inter"/>
          <w:color w:val="000000"/>
          <w:sz w:val="21"/>
        </w:rPr>
        <w:t>传统观点认为急性期中性粒细胞以“有害”表型为主，但近年研究发现其存在功能异质性：</w:t>
      </w:r>
    </w:p>
    <w:p w14:paraId="38E38467">
      <w:pPr>
        <w:numPr>
          <w:ilvl w:val="1"/>
          <w:numId w:val="1"/>
        </w:numPr>
        <w:spacing w:before="105" w:after="105" w:line="360" w:lineRule="auto"/>
      </w:pPr>
      <w:r>
        <w:rPr>
          <w:rFonts w:ascii="inter" w:hAnsi="inter" w:eastAsia="inter" w:cs="inter"/>
          <w:color w:val="000000"/>
          <w:sz w:val="21"/>
        </w:rPr>
        <w:t>类似于巨噬细胞的M1/M2谱系，中性粒细胞可分为促炎的N1型和相对抗炎/修复性的N2型。</w:t>
      </w:r>
      <w:bookmarkStart w:id="17" w:name="fnref7"/>
      <w:bookmarkEnd w:id="17"/>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8" w:name="fnref8"/>
      <w:bookmarkEnd w:id="18"/>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19" w:name="fnref3_3"/>
      <w:bookmarkEnd w:id="19"/>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58A19690">
      <w:pPr>
        <w:numPr>
          <w:ilvl w:val="1"/>
          <w:numId w:val="1"/>
        </w:numPr>
        <w:spacing w:before="105" w:after="105" w:line="360" w:lineRule="auto"/>
      </w:pPr>
      <w:r>
        <w:rPr>
          <w:rFonts w:ascii="inter" w:hAnsi="inter" w:eastAsia="inter" w:cs="inter"/>
          <w:color w:val="000000"/>
          <w:sz w:val="21"/>
        </w:rPr>
        <w:t>在小鼠脑缺血模型（如tMCAO）中，部分浸润中性粒细胞表达Ym1、CD206等N2标志，显示相对抗炎特征；N2细胞能促进巨噬细胞吞噬并不进一步诱导缺血后神经元死亡。通过激活PPARγ（如使用rosiglitazone）可推动中性粒细胞向N2极化，减少梗死体积。</w:t>
      </w:r>
      <w:bookmarkStart w:id="20" w:name="fnref7_1"/>
      <w:bookmarkEnd w:id="20"/>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21" w:name="fnref1_3"/>
      <w:bookmarkEnd w:id="21"/>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70A1C53E">
      <w:pPr>
        <w:numPr>
          <w:ilvl w:val="1"/>
          <w:numId w:val="1"/>
        </w:numPr>
        <w:spacing w:before="105" w:after="105" w:line="360" w:lineRule="auto"/>
      </w:pPr>
      <w:r>
        <w:rPr>
          <w:rFonts w:ascii="inter" w:hAnsi="inter" w:eastAsia="inter" w:cs="inter"/>
          <w:color w:val="000000"/>
          <w:sz w:val="21"/>
        </w:rPr>
        <w:t>人类急性卒中患者中亦观察到“有害”亚群扩增，如高表达CXCR4的衰老/过度活化中性粒细胞，以及逆向迁移的中性粒细胞亚群，这些亚群与BBB破坏及系统炎症加重相关。</w:t>
      </w:r>
      <w:bookmarkStart w:id="22" w:name="fnref5_1"/>
      <w:bookmarkEnd w:id="22"/>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23" w:name="fnref4_1"/>
      <w:bookmarkEnd w:id="23"/>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0244DB9D">
      <w:pPr>
        <w:spacing w:after="210" w:line="360" w:lineRule="auto"/>
      </w:pPr>
      <w:r>
        <w:rPr>
          <w:rFonts w:ascii="inter" w:hAnsi="inter" w:eastAsia="inter" w:cs="inter"/>
          <w:color w:val="000000"/>
        </w:rPr>
        <w:t>综上，急性期中性粒细胞既是缺血损伤的重要放大器，也是潜在的免疫调控和修复参与者，其功能受表型亚群比例及局部微环境高度影响。</w:t>
      </w:r>
    </w:p>
    <w:p w14:paraId="1A4992BE">
      <w:pPr>
        <w:spacing w:before="315" w:after="105" w:line="360" w:lineRule="auto"/>
        <w:ind w:left="-30"/>
        <w:jc w:val="left"/>
      </w:pPr>
      <w:bookmarkStart w:id="24" w:name="二_慢性期_数天_数周乃至更长_从持续炎症到修复_瘢痕形成的潜在调节者"/>
      <w:r>
        <w:rPr>
          <w:rFonts w:ascii="inter" w:hAnsi="inter" w:eastAsia="inter" w:cs="inter"/>
          <w:b/>
          <w:color w:val="000000"/>
          <w:sz w:val="24"/>
        </w:rPr>
        <w:t>（二）慢性期（数天–数周乃至更长）：从持续炎症到修复/瘢痕形成的潜在调节者</w:t>
      </w:r>
      <w:bookmarkEnd w:id="24"/>
    </w:p>
    <w:p w14:paraId="70ED29AF">
      <w:pPr>
        <w:spacing w:after="210" w:line="360" w:lineRule="auto"/>
      </w:pPr>
      <w:r>
        <w:rPr>
          <w:rFonts w:ascii="inter" w:hAnsi="inter" w:eastAsia="inter" w:cs="inter"/>
          <w:color w:val="000000"/>
        </w:rPr>
        <w:t>随着时间推移，缺血灶内中性粒细胞总量逐渐下降，但并非完全缺席，其残留细胞及其衍生产物在慢性期（一般指数天后至数周甚至数月）仍对微环境及修复过程产生重要影响：</w:t>
      </w:r>
      <w:bookmarkStart w:id="25" w:name="fnref8_1"/>
      <w:bookmarkEnd w:id="2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26" w:name="fnref3_4"/>
      <w:bookmarkEnd w:id="2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27" w:name="fnref1_4"/>
      <w:bookmarkEnd w:id="27"/>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470EC181">
      <w:pPr>
        <w:numPr>
          <w:ilvl w:val="0"/>
          <w:numId w:val="2"/>
        </w:numPr>
        <w:spacing w:after="210" w:line="360" w:lineRule="auto"/>
      </w:pPr>
      <w:r>
        <w:rPr>
          <w:rFonts w:ascii="inter" w:hAnsi="inter" w:eastAsia="inter" w:cs="inter"/>
          <w:b/>
          <w:color w:val="000000"/>
          <w:sz w:val="21"/>
        </w:rPr>
        <w:t>慢性炎症维持与继发性损伤</w:t>
      </w:r>
      <w:r>
        <w:rPr>
          <w:rFonts w:ascii="inter" w:hAnsi="inter" w:eastAsia="inter" w:cs="inter"/>
          <w:color w:val="000000"/>
          <w:sz w:val="21"/>
        </w:rPr>
        <w:br w:type="textWrapping"/>
      </w:r>
      <w:r>
        <w:rPr>
          <w:rFonts w:ascii="inter" w:hAnsi="inter" w:eastAsia="inter" w:cs="inter"/>
          <w:color w:val="000000"/>
          <w:sz w:val="21"/>
        </w:rPr>
        <w:t>残留中性粒细胞可持续产生低水平的ROS和蛋白酶，延长炎症状态，影响微胶质细胞和星形胶质细胞的反应模式。NETs和细胞碎片可在较长时间内残存于缺血核心与周边区域，充当持续的危险相关分子模式（DAMPs），激活Toll样受体（TLRs）等通路，加重慢性胶质细胞激活与神经炎症。</w:t>
      </w:r>
      <w:bookmarkStart w:id="28" w:name="fnref8_2"/>
      <w:bookmarkEnd w:id="28"/>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29" w:name="fnref2_4"/>
      <w:bookmarkEnd w:id="29"/>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30" w:name="fnref3_5"/>
      <w:bookmarkEnd w:id="30"/>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31" w:name="fnref6_2"/>
      <w:bookmarkEnd w:id="3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18CF6355">
      <w:pPr>
        <w:numPr>
          <w:ilvl w:val="0"/>
          <w:numId w:val="2"/>
        </w:numPr>
        <w:spacing w:after="210" w:line="360" w:lineRule="auto"/>
      </w:pPr>
      <w:r>
        <w:rPr>
          <w:rFonts w:ascii="inter" w:hAnsi="inter" w:eastAsia="inter" w:cs="inter"/>
          <w:b/>
          <w:color w:val="000000"/>
          <w:sz w:val="21"/>
        </w:rPr>
        <w:t>促进清除碎片和组织重塑的潜在“修复型”作用</w:t>
      </w:r>
      <w:r>
        <w:rPr>
          <w:rFonts w:ascii="inter" w:hAnsi="inter" w:eastAsia="inter" w:cs="inter"/>
          <w:color w:val="000000"/>
          <w:sz w:val="21"/>
        </w:rPr>
        <w:br w:type="textWrapping"/>
      </w:r>
      <w:r>
        <w:rPr>
          <w:rFonts w:ascii="inter" w:hAnsi="inter" w:eastAsia="inter" w:cs="inter"/>
          <w:color w:val="000000"/>
          <w:sz w:val="21"/>
        </w:rPr>
        <w:t>新近文献提出，在缺血后恢复阶段，中性粒细胞可能参与“创伤愈合样”过程：</w:t>
      </w:r>
      <w:bookmarkStart w:id="32" w:name="fnref3_6"/>
      <w:bookmarkEnd w:id="32"/>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33" w:name="fnref8_3"/>
      <w:bookmarkEnd w:id="33"/>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119DBED0">
      <w:pPr>
        <w:numPr>
          <w:ilvl w:val="1"/>
          <w:numId w:val="2"/>
        </w:numPr>
        <w:spacing w:before="105" w:after="105" w:line="360" w:lineRule="auto"/>
      </w:pPr>
      <w:r>
        <w:rPr>
          <w:rFonts w:ascii="inter" w:hAnsi="inter" w:eastAsia="inter" w:cs="inter"/>
          <w:color w:val="000000"/>
          <w:sz w:val="21"/>
        </w:rPr>
        <w:t>N2样中性粒细胞可通过表达CD206、Ym1以及分泌抗炎因子（如IL‑10、TGF‑β）促进巨噬细胞向修复型表型极化，增强细胞凋亡体和髓鞘碎片的清除。</w:t>
      </w:r>
      <w:bookmarkStart w:id="34" w:name="fnref1_5"/>
      <w:bookmarkEnd w:id="34"/>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35" w:name="fnref7_2"/>
      <w:bookmarkEnd w:id="35"/>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36" w:name="fnref8_4"/>
      <w:bookmarkEnd w:id="36"/>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AFA9AAB">
      <w:pPr>
        <w:numPr>
          <w:ilvl w:val="1"/>
          <w:numId w:val="2"/>
        </w:numPr>
        <w:spacing w:before="105" w:after="105" w:line="360" w:lineRule="auto"/>
      </w:pPr>
      <w:r>
        <w:rPr>
          <w:rFonts w:ascii="inter" w:hAnsi="inter" w:eastAsia="inter" w:cs="inter"/>
          <w:color w:val="000000"/>
          <w:sz w:val="21"/>
        </w:rPr>
        <w:t>中性粒细胞可分泌血管内皮生长因子（VEGF）、基质重塑相关因子，参与新生血管形成和组织重塑，从而有助于恢复局部灌注和代谢。</w:t>
      </w:r>
      <w:bookmarkStart w:id="37" w:name="fnref2_5"/>
      <w:bookmarkEnd w:id="37"/>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38" w:name="fnref8_5"/>
      <w:bookmarkEnd w:id="38"/>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虽然有关“益处”部分的证据主要来自动物模型和其他器官疾病（如心肌梗死、外周组织损伤），但近年来的综述文章已开始将类似“修复型中性粒细胞”概念引入脑缺血研究，提示其在慢性期具有一定的神经保护潜力。</w:t>
      </w:r>
      <w:bookmarkStart w:id="39" w:name="fnref8_6"/>
      <w:bookmarkEnd w:id="39"/>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40" w:name="fnref3_7"/>
      <w:bookmarkEnd w:id="40"/>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189B5095">
      <w:pPr>
        <w:numPr>
          <w:ilvl w:val="0"/>
          <w:numId w:val="2"/>
        </w:numPr>
        <w:spacing w:after="210" w:line="360" w:lineRule="auto"/>
      </w:pPr>
      <w:r>
        <w:rPr>
          <w:rFonts w:ascii="inter" w:hAnsi="inter" w:eastAsia="inter" w:cs="inter"/>
          <w:b/>
          <w:color w:val="000000"/>
          <w:sz w:val="21"/>
        </w:rPr>
        <w:t>长期结构重塑、瘢痕形成与白质损伤</w:t>
      </w:r>
      <w:r>
        <w:rPr>
          <w:rFonts w:ascii="inter" w:hAnsi="inter" w:eastAsia="inter" w:cs="inter"/>
          <w:color w:val="000000"/>
          <w:sz w:val="21"/>
        </w:rPr>
        <w:br w:type="textWrapping"/>
      </w:r>
      <w:r>
        <w:rPr>
          <w:rFonts w:ascii="inter" w:hAnsi="inter" w:eastAsia="inter" w:cs="inter"/>
          <w:color w:val="000000"/>
          <w:sz w:val="21"/>
        </w:rPr>
        <w:t>中性粒细胞产生的蛋白酶和ROS可以在慢性期持续影响神经胶质瘢痕形成、血管重塑及髓鞘修复：</w:t>
      </w:r>
    </w:p>
    <w:p w14:paraId="299AE1E9">
      <w:pPr>
        <w:numPr>
          <w:ilvl w:val="1"/>
          <w:numId w:val="2"/>
        </w:numPr>
        <w:spacing w:before="105" w:after="105" w:line="360" w:lineRule="auto"/>
      </w:pPr>
      <w:r>
        <w:rPr>
          <w:rFonts w:ascii="inter" w:hAnsi="inter" w:eastAsia="inter" w:cs="inter"/>
          <w:color w:val="000000"/>
          <w:sz w:val="21"/>
        </w:rPr>
        <w:t>过度或持续的MMP活性可能导致基底膜不断重塑，影响血管稳定性和血管新生质量，进而影响脑血流长期重建。</w:t>
      </w:r>
      <w:bookmarkStart w:id="41" w:name="fnref2_6"/>
      <w:bookmarkEnd w:id="41"/>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79B7826F">
      <w:pPr>
        <w:numPr>
          <w:ilvl w:val="1"/>
          <w:numId w:val="2"/>
        </w:numPr>
        <w:spacing w:before="105" w:after="105" w:line="360" w:lineRule="auto"/>
      </w:pPr>
      <w:r>
        <w:rPr>
          <w:rFonts w:ascii="inter" w:hAnsi="inter" w:eastAsia="inter" w:cs="inter"/>
          <w:color w:val="000000"/>
          <w:sz w:val="21"/>
        </w:rPr>
        <w:t>中性粒细胞释放的因子（如ELANE、MMPs）被认为参与脱髓鞘和轴突损伤过程，在其他CNS疾病中已被证实有关；在脑缺血模型中也有证据显示CXCR2+中性粒细胞可影响脱髓鞘与再髓鞘化。</w:t>
      </w:r>
      <w:bookmarkStart w:id="42" w:name="fnref6_3"/>
      <w:bookmarkEnd w:id="42"/>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这些过程可能与卒中患者长期认知功能下降、白质高信号进展等临床表现相关。</w:t>
      </w:r>
    </w:p>
    <w:p w14:paraId="2A8C2F6E">
      <w:pPr>
        <w:numPr>
          <w:ilvl w:val="0"/>
          <w:numId w:val="2"/>
        </w:numPr>
        <w:spacing w:after="210" w:line="360" w:lineRule="auto"/>
      </w:pPr>
      <w:r>
        <w:rPr>
          <w:rFonts w:ascii="inter" w:hAnsi="inter" w:eastAsia="inter" w:cs="inter"/>
          <w:b/>
          <w:color w:val="000000"/>
          <w:sz w:val="21"/>
        </w:rPr>
        <w:t>慢性期中性粒细胞亚群与免疫调节</w:t>
      </w:r>
      <w:r>
        <w:rPr>
          <w:rFonts w:ascii="inter" w:hAnsi="inter" w:eastAsia="inter" w:cs="inter"/>
          <w:color w:val="000000"/>
          <w:sz w:val="21"/>
        </w:rPr>
        <w:br w:type="textWrapping"/>
      </w:r>
      <w:r>
        <w:rPr>
          <w:rFonts w:ascii="inter" w:hAnsi="inter" w:eastAsia="inter" w:cs="inter"/>
          <w:color w:val="000000"/>
          <w:sz w:val="21"/>
        </w:rPr>
        <w:t>除N1/N2谱系外，近年概念上还提出了具有免疫抑制能力的中性粒细胞群体（有时称为“低密度中性粒细胞”或“免疫抑制性中性粒细胞”），在肿瘤和慢性炎症中被广泛讨论。在脑缺血慢性期，这类群体可能通过抑制T细胞反应、调控微胶质活化等方式影响持续炎症与修复，但目前直接证据仍然有限，属于重要的待探索领域。</w:t>
      </w:r>
      <w:bookmarkStart w:id="43" w:name="fnref9"/>
      <w:bookmarkEnd w:id="43"/>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44" w:name="fnref3_8"/>
      <w:bookmarkEnd w:id="44"/>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45" w:name="fnref8_7"/>
      <w:bookmarkEnd w:id="45"/>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6F46241A">
      <w:pPr>
        <w:spacing w:before="315" w:after="105" w:line="360" w:lineRule="auto"/>
        <w:ind w:left="-30"/>
        <w:jc w:val="left"/>
      </w:pPr>
      <w:bookmarkStart w:id="46" w:name="三_中性粒细胞多样性与亚群概念的延伸"/>
      <w:r>
        <w:rPr>
          <w:rFonts w:ascii="inter" w:hAnsi="inter" w:eastAsia="inter" w:cs="inter"/>
          <w:b/>
          <w:color w:val="000000"/>
          <w:sz w:val="24"/>
        </w:rPr>
        <w:t>（三）中性粒细胞多样性与亚群概念的延伸</w:t>
      </w:r>
      <w:bookmarkEnd w:id="46"/>
    </w:p>
    <w:p w14:paraId="6193BDA0">
      <w:pPr>
        <w:spacing w:after="210" w:line="360" w:lineRule="auto"/>
      </w:pPr>
      <w:r>
        <w:rPr>
          <w:rFonts w:ascii="inter" w:hAnsi="inter" w:eastAsia="inter" w:cs="inter"/>
          <w:color w:val="000000"/>
        </w:rPr>
        <w:t>近年来的系统性综述强调，中性粒细胞在多种疾病中的多样性远超传统“短命、单一效应细胞”的认识，可按表型、功能和发育状态分为不同亚群：</w:t>
      </w:r>
      <w:bookmarkStart w:id="47" w:name="fnref9_1"/>
      <w:bookmarkEnd w:id="4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48" w:name="fnref3_9"/>
      <w:bookmarkEnd w:id="4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4BF0582D">
      <w:pPr>
        <w:numPr>
          <w:ilvl w:val="0"/>
          <w:numId w:val="3"/>
        </w:numPr>
        <w:spacing w:before="105" w:after="105" w:line="360" w:lineRule="auto"/>
      </w:pPr>
      <w:r>
        <w:rPr>
          <w:rFonts w:ascii="inter" w:hAnsi="inter" w:eastAsia="inter" w:cs="inter"/>
          <w:b/>
          <w:color w:val="000000"/>
          <w:sz w:val="21"/>
        </w:rPr>
        <w:t>按功能极化：N1/N2谱系</w:t>
      </w:r>
    </w:p>
    <w:p w14:paraId="4314BD04">
      <w:pPr>
        <w:numPr>
          <w:ilvl w:val="1"/>
          <w:numId w:val="3"/>
        </w:numPr>
        <w:spacing w:before="105" w:after="105" w:line="360" w:lineRule="auto"/>
      </w:pPr>
      <w:r>
        <w:rPr>
          <w:rFonts w:ascii="inter" w:hAnsi="inter" w:eastAsia="inter" w:cs="inter"/>
          <w:color w:val="000000"/>
          <w:sz w:val="21"/>
        </w:rPr>
        <w:t>N1：高ROS、高细胞毒性、强促炎，表达高水平TNF‑α、IL‑1β等，类似M1巨噬细胞。</w:t>
      </w:r>
    </w:p>
    <w:p w14:paraId="465260FF">
      <w:pPr>
        <w:numPr>
          <w:ilvl w:val="1"/>
          <w:numId w:val="3"/>
        </w:numPr>
        <w:spacing w:before="105" w:after="105" w:line="360" w:lineRule="auto"/>
      </w:pPr>
      <w:r>
        <w:rPr>
          <w:rFonts w:ascii="inter" w:hAnsi="inter" w:eastAsia="inter" w:cs="inter"/>
          <w:color w:val="000000"/>
          <w:sz w:val="21"/>
        </w:rPr>
        <w:t>N2：高表达CD206、Ym1、Arg‑1等，分泌抗炎因子，促进吞噬和炎症消退，类似M2巨噬细胞。</w:t>
      </w:r>
      <w:bookmarkStart w:id="49" w:name="fnref7_3"/>
      <w:bookmarkEnd w:id="49"/>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50" w:name="fnref1_6"/>
      <w:bookmarkEnd w:id="50"/>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51" w:name="fnref8_8"/>
      <w:bookmarkEnd w:id="51"/>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0E25E984">
      <w:pPr>
        <w:numPr>
          <w:ilvl w:val="0"/>
          <w:numId w:val="3"/>
        </w:numPr>
        <w:spacing w:before="105" w:after="105" w:line="360" w:lineRule="auto"/>
      </w:pPr>
      <w:r>
        <w:rPr>
          <w:rFonts w:ascii="inter" w:hAnsi="inter" w:eastAsia="inter" w:cs="inter"/>
          <w:b/>
          <w:color w:val="000000"/>
          <w:sz w:val="21"/>
        </w:rPr>
        <w:t>按成熟度与密度：成熟中性粒细胞 vs 低密度中性粒细胞</w:t>
      </w:r>
      <w:r>
        <w:rPr>
          <w:rFonts w:ascii="inter" w:hAnsi="inter" w:eastAsia="inter" w:cs="inter"/>
          <w:color w:val="000000"/>
          <w:sz w:val="21"/>
        </w:rPr>
        <w:br w:type="textWrapping"/>
      </w:r>
      <w:r>
        <w:rPr>
          <w:rFonts w:ascii="inter" w:hAnsi="inter" w:eastAsia="inter" w:cs="inter"/>
          <w:color w:val="000000"/>
          <w:sz w:val="21"/>
        </w:rPr>
        <w:t>低密度中性粒细胞在多种慢性炎症和肿瘤中表现出免疫抑制性质，可抑制T细胞增殖与效应功能；在卒中患者中的具体表型尚在研究中。</w:t>
      </w:r>
      <w:bookmarkStart w:id="52" w:name="fnref9_2"/>
      <w:bookmarkEnd w:id="52"/>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0399FD40">
      <w:pPr>
        <w:numPr>
          <w:ilvl w:val="0"/>
          <w:numId w:val="3"/>
        </w:numPr>
        <w:spacing w:before="105" w:after="105" w:line="360" w:lineRule="auto"/>
      </w:pPr>
      <w:r>
        <w:rPr>
          <w:rFonts w:ascii="inter" w:hAnsi="inter" w:eastAsia="inter" w:cs="inter"/>
          <w:b/>
          <w:color w:val="000000"/>
          <w:sz w:val="21"/>
        </w:rPr>
        <w:t>按衰老与迁移特征：CXCR4高表达衰老中性粒细胞与逆向迁移细胞</w:t>
      </w:r>
      <w:r>
        <w:rPr>
          <w:rFonts w:ascii="inter" w:hAnsi="inter" w:eastAsia="inter" w:cs="inter"/>
          <w:color w:val="000000"/>
          <w:sz w:val="21"/>
        </w:rPr>
        <w:br w:type="textWrapping"/>
      </w:r>
      <w:r>
        <w:rPr>
          <w:rFonts w:ascii="inter" w:hAnsi="inter" w:eastAsia="inter" w:cs="inter"/>
          <w:color w:val="000000"/>
          <w:sz w:val="21"/>
        </w:rPr>
        <w:t>这些亚群被证明在急性卒中中扩增，与炎症程度和BBB破坏相关。</w:t>
      </w:r>
      <w:bookmarkStart w:id="53" w:name="fnref4_2"/>
      <w:bookmarkEnd w:id="53"/>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54" w:name="fnref5_2"/>
      <w:bookmarkEnd w:id="54"/>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08A400E0">
      <w:pPr>
        <w:spacing w:after="210" w:line="360" w:lineRule="auto"/>
      </w:pPr>
      <w:r>
        <w:rPr>
          <w:rFonts w:ascii="inter" w:hAnsi="inter" w:eastAsia="inter" w:cs="inter"/>
          <w:color w:val="000000"/>
        </w:rPr>
        <w:t>在脑缺血情境下，如何准确定义、追踪上述亚群，并解析其时空分布与功能，是当前研究的热点。</w:t>
      </w:r>
    </w:p>
    <w:p w14:paraId="5E9A6B8F">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107A77B6">
      <w:pPr>
        <w:spacing w:before="315" w:after="105" w:line="360" w:lineRule="auto"/>
        <w:ind w:left="-30"/>
        <w:jc w:val="left"/>
      </w:pPr>
      <w:bookmarkStart w:id="55" w:name="二_中性粒细胞与脑内细胞互作及临床后果推测"/>
      <w:r>
        <w:rPr>
          <w:rFonts w:ascii="inter" w:hAnsi="inter" w:eastAsia="inter" w:cs="inter"/>
          <w:b/>
          <w:color w:val="000000"/>
          <w:sz w:val="24"/>
        </w:rPr>
        <w:t>二、中性粒细胞与脑内细胞互作及临床后果推测</w:t>
      </w:r>
      <w:bookmarkEnd w:id="55"/>
    </w:p>
    <w:p w14:paraId="14253AFD">
      <w:pPr>
        <w:spacing w:after="210" w:line="360" w:lineRule="auto"/>
      </w:pPr>
      <w:r>
        <w:rPr>
          <w:rFonts w:ascii="inter" w:hAnsi="inter" w:eastAsia="inter" w:cs="inter"/>
          <w:color w:val="000000"/>
        </w:rPr>
        <w:t>基于上述急、慢性期中性粒细胞的不同表型和功能，可以推测其与脑内主要细胞类型（微胶质细胞、星形胶质细胞、神经元、内皮细胞/脑血管单元等）之间存在复杂互作网络，这些互作最终会在临床层面表现为损伤程度、神经功能恢复及并发症风险的差异。</w:t>
      </w:r>
    </w:p>
    <w:p w14:paraId="5F455565">
      <w:pPr>
        <w:spacing w:before="315" w:after="105" w:line="360" w:lineRule="auto"/>
        <w:ind w:left="-30"/>
        <w:jc w:val="left"/>
      </w:pPr>
      <w:bookmarkStart w:id="56" w:name="一_与微胶质细胞的互作"/>
      <w:r>
        <w:rPr>
          <w:rFonts w:ascii="inter" w:hAnsi="inter" w:eastAsia="inter" w:cs="inter"/>
          <w:b/>
          <w:color w:val="000000"/>
          <w:sz w:val="24"/>
        </w:rPr>
        <w:t>（一）与微胶质细胞的互作</w:t>
      </w:r>
      <w:bookmarkEnd w:id="56"/>
    </w:p>
    <w:p w14:paraId="374AAE16">
      <w:pPr>
        <w:numPr>
          <w:ilvl w:val="0"/>
          <w:numId w:val="4"/>
        </w:numPr>
        <w:spacing w:after="210" w:line="360" w:lineRule="auto"/>
      </w:pPr>
      <w:r>
        <w:rPr>
          <w:rFonts w:ascii="inter" w:hAnsi="inter" w:eastAsia="inter" w:cs="inter"/>
          <w:b/>
          <w:color w:val="000000"/>
          <w:sz w:val="21"/>
        </w:rPr>
        <w:t>促炎正反馈环：N1型中性粒细胞‑M1型微胶质互相强化</w:t>
      </w:r>
    </w:p>
    <w:p w14:paraId="0BC43CB6">
      <w:pPr>
        <w:numPr>
          <w:ilvl w:val="1"/>
          <w:numId w:val="4"/>
        </w:numPr>
        <w:spacing w:before="105" w:after="105" w:line="360" w:lineRule="auto"/>
      </w:pPr>
      <w:r>
        <w:rPr>
          <w:rFonts w:ascii="inter" w:hAnsi="inter" w:eastAsia="inter" w:cs="inter"/>
          <w:color w:val="000000"/>
          <w:sz w:val="21"/>
        </w:rPr>
        <w:t>急性期N1样中性粒细胞释放IL‑1β、TNF‑α、ROS和DAMPs，激活微胶质向M1型极化，增强其产生NO、IL‑6等促炎介质。</w:t>
      </w:r>
      <w:bookmarkStart w:id="57" w:name="fnref10"/>
      <w:bookmarkEnd w:id="57"/>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58" w:name="fnref3_10"/>
      <w:bookmarkEnd w:id="58"/>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59" w:name="fnref2_7"/>
      <w:bookmarkEnd w:id="59"/>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079EAC4A">
      <w:pPr>
        <w:numPr>
          <w:ilvl w:val="1"/>
          <w:numId w:val="4"/>
        </w:numPr>
        <w:spacing w:before="105" w:after="105" w:line="360" w:lineRule="auto"/>
      </w:pPr>
      <w:r>
        <w:rPr>
          <w:rFonts w:ascii="inter" w:hAnsi="inter" w:eastAsia="inter" w:cs="inter"/>
          <w:color w:val="000000"/>
          <w:sz w:val="21"/>
        </w:rPr>
        <w:t>被激活的M1微胶质又可分泌更多趋化因子（如CCL2、CXCL10），促进更多中性粒细胞与单核细胞浸润，形成炎症放大回路。</w:t>
      </w:r>
      <w:bookmarkStart w:id="60" w:name="fnref10_1"/>
      <w:bookmarkEnd w:id="60"/>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61" w:name="fnref2_8"/>
      <w:bookmarkEnd w:id="61"/>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444DD2CE">
      <w:pPr>
        <w:numPr>
          <w:ilvl w:val="1"/>
          <w:numId w:val="4"/>
        </w:numPr>
        <w:spacing w:before="105" w:after="105" w:line="360" w:lineRule="auto"/>
      </w:pPr>
      <w:r>
        <w:rPr>
          <w:rFonts w:ascii="inter" w:hAnsi="inter" w:eastAsia="inter" w:cs="inter"/>
          <w:color w:val="000000"/>
          <w:sz w:val="21"/>
        </w:rPr>
        <w:t>该正反馈在很大程度上促进神经元凋亡、突触丢失和白质损伤，与急性期梗死扩展、出血性转化及早期神经功能恶化相关。</w:t>
      </w:r>
      <w:bookmarkStart w:id="62" w:name="fnref3_11"/>
      <w:bookmarkEnd w:id="62"/>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63" w:name="fnref2_9"/>
      <w:bookmarkEnd w:id="63"/>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6653F292">
      <w:pPr>
        <w:numPr>
          <w:ilvl w:val="0"/>
          <w:numId w:val="4"/>
        </w:numPr>
        <w:spacing w:after="210" w:line="360" w:lineRule="auto"/>
      </w:pPr>
      <w:r>
        <w:rPr>
          <w:rFonts w:ascii="inter" w:hAnsi="inter" w:eastAsia="inter" w:cs="inter"/>
          <w:b/>
          <w:color w:val="000000"/>
          <w:sz w:val="21"/>
        </w:rPr>
        <w:t>炎症消退与清除：N2中性粒细胞‑M2微胶质协同</w:t>
      </w:r>
    </w:p>
    <w:p w14:paraId="7F2A14B7">
      <w:pPr>
        <w:numPr>
          <w:ilvl w:val="1"/>
          <w:numId w:val="4"/>
        </w:numPr>
        <w:spacing w:before="105" w:after="105" w:line="360" w:lineRule="auto"/>
      </w:pPr>
      <w:r>
        <w:rPr>
          <w:rFonts w:ascii="inter" w:hAnsi="inter" w:eastAsia="inter" w:cs="inter"/>
          <w:color w:val="000000"/>
          <w:sz w:val="21"/>
        </w:rPr>
        <w:t>N2型中性粒细胞通过表达CD206、Ym1以及分泌IL‑10、TGF‑β等，促进微胶质向M2型或“修复型”表型转换，增强其清除细胞尸体与髓鞘碎片能力。</w:t>
      </w:r>
      <w:bookmarkStart w:id="64" w:name="fnref1_7"/>
      <w:bookmarkEnd w:id="64"/>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65" w:name="fnref7_4"/>
      <w:bookmarkEnd w:id="65"/>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66" w:name="fnref8_9"/>
      <w:bookmarkEnd w:id="66"/>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67" w:name="fnref3_12"/>
      <w:bookmarkEnd w:id="67"/>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39FDDEA9">
      <w:pPr>
        <w:numPr>
          <w:ilvl w:val="1"/>
          <w:numId w:val="4"/>
        </w:numPr>
        <w:spacing w:before="105" w:after="105" w:line="360" w:lineRule="auto"/>
      </w:pPr>
      <w:r>
        <w:rPr>
          <w:rFonts w:ascii="inter" w:hAnsi="inter" w:eastAsia="inter" w:cs="inter"/>
          <w:color w:val="000000"/>
          <w:sz w:val="21"/>
        </w:rPr>
        <w:t>N2中性粒细胞自身更易被微胶质/巨噬细胞吞噬清除，此过程被认为是炎症向修复阶段转换的关键环节之一。</w:t>
      </w:r>
      <w:bookmarkStart w:id="68" w:name="fnref7_5"/>
      <w:bookmarkEnd w:id="68"/>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若这种N2‑M2轴在某些患者或某一阶段占优势，可能表现为梗死周边组织保留较多、神经网络重塑较好，从而获得较佳的神经功能恢复。</w:t>
      </w:r>
    </w:p>
    <w:p w14:paraId="1886C6BF">
      <w:pPr>
        <w:spacing w:before="315" w:after="105" w:line="360" w:lineRule="auto"/>
        <w:ind w:left="-30"/>
        <w:jc w:val="left"/>
      </w:pPr>
      <w:bookmarkStart w:id="69" w:name="二_与星形胶质细胞的互作"/>
      <w:r>
        <w:rPr>
          <w:rFonts w:ascii="inter" w:hAnsi="inter" w:eastAsia="inter" w:cs="inter"/>
          <w:b/>
          <w:color w:val="000000"/>
          <w:sz w:val="24"/>
        </w:rPr>
        <w:t>（二）与星形胶质细胞的互作</w:t>
      </w:r>
      <w:bookmarkEnd w:id="69"/>
    </w:p>
    <w:p w14:paraId="1FCE3980">
      <w:pPr>
        <w:spacing w:after="210" w:line="360" w:lineRule="auto"/>
      </w:pPr>
      <w:r>
        <w:rPr>
          <w:rFonts w:ascii="inter" w:hAnsi="inter" w:eastAsia="inter" w:cs="inter"/>
          <w:color w:val="000000"/>
        </w:rPr>
        <w:t>近期的综述系统梳理了中性粒细胞与星形胶质细胞在CNS炎症中的双向调控关系，尤其在卒中、脑外伤、多发性硬化和神经退行性疾病中。</w:t>
      </w:r>
      <w:bookmarkStart w:id="70" w:name="fnref6_4"/>
      <w:bookmarkEnd w:id="7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45683E01">
      <w:pPr>
        <w:numPr>
          <w:ilvl w:val="0"/>
          <w:numId w:val="5"/>
        </w:numPr>
        <w:spacing w:after="210" w:line="360" w:lineRule="auto"/>
      </w:pPr>
      <w:r>
        <w:rPr>
          <w:rFonts w:ascii="inter" w:hAnsi="inter" w:eastAsia="inter" w:cs="inter"/>
          <w:b/>
          <w:color w:val="000000"/>
          <w:sz w:val="21"/>
        </w:rPr>
        <w:t>中性粒细胞驱动星形胶质反应与反应型亚型形成</w:t>
      </w:r>
    </w:p>
    <w:p w14:paraId="21D077ED">
      <w:pPr>
        <w:numPr>
          <w:ilvl w:val="1"/>
          <w:numId w:val="5"/>
        </w:numPr>
        <w:spacing w:before="105" w:after="105" w:line="360" w:lineRule="auto"/>
      </w:pPr>
      <w:r>
        <w:rPr>
          <w:rFonts w:ascii="inter" w:hAnsi="inter" w:eastAsia="inter" w:cs="inter"/>
          <w:color w:val="000000"/>
          <w:sz w:val="21"/>
        </w:rPr>
        <w:t>急性期中性粒细胞释放的IL‑1β、TNF‑α、IL‑17以及NETs成分可诱导星形胶质细胞活化，促进其向反应型状态转变。</w:t>
      </w:r>
      <w:bookmarkStart w:id="71" w:name="fnref6_5"/>
      <w:bookmarkEnd w:id="7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7C8849E5">
      <w:pPr>
        <w:numPr>
          <w:ilvl w:val="1"/>
          <w:numId w:val="5"/>
        </w:numPr>
        <w:spacing w:before="105" w:after="105" w:line="360" w:lineRule="auto"/>
      </w:pPr>
      <w:r>
        <w:rPr>
          <w:rFonts w:ascii="inter" w:hAnsi="inter" w:eastAsia="inter" w:cs="inter"/>
          <w:color w:val="000000"/>
          <w:sz w:val="21"/>
        </w:rPr>
        <w:t>在缺血、出血及其他急性CNS损伤模型中，星形胶质的A1/A2亚型概念被提出：A1型更趋向神经毒性，A2型偏向神经保护与修复。促炎信号倾向诱导A1型，而抗炎因子、更温和的激活信号有利于A2型形成。</w:t>
      </w:r>
      <w:bookmarkStart w:id="72" w:name="fnref10_2"/>
      <w:bookmarkEnd w:id="72"/>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可推测N1型中性粒细胞有利于A1星形胶质聚集，增加补体C3等神经毒性分子的产生，诱发神经元与少突胶质细胞死亡；相反，N2或免疫抑制性中性粒细胞可能有助于A2型星形胶质形成和神经保护因子分泌。</w:t>
      </w:r>
    </w:p>
    <w:p w14:paraId="6882BF19">
      <w:pPr>
        <w:numPr>
          <w:ilvl w:val="0"/>
          <w:numId w:val="5"/>
        </w:numPr>
        <w:spacing w:after="210" w:line="360" w:lineRule="auto"/>
      </w:pPr>
      <w:r>
        <w:rPr>
          <w:rFonts w:ascii="inter" w:hAnsi="inter" w:eastAsia="inter" w:cs="inter"/>
          <w:b/>
          <w:color w:val="000000"/>
          <w:sz w:val="21"/>
        </w:rPr>
        <w:t>星形胶质调节中性粒细胞浸润与功能</w:t>
      </w:r>
      <w:r>
        <w:rPr>
          <w:rFonts w:ascii="inter" w:hAnsi="inter" w:eastAsia="inter" w:cs="inter"/>
          <w:color w:val="000000"/>
          <w:sz w:val="21"/>
        </w:rPr>
        <w:br w:type="textWrapping"/>
      </w:r>
      <w:r>
        <w:rPr>
          <w:rFonts w:ascii="inter" w:hAnsi="inter" w:eastAsia="inter" w:cs="inter"/>
          <w:color w:val="000000"/>
          <w:sz w:val="21"/>
        </w:rPr>
        <w:t>星形胶质细胞位于血管周围并参与血脑屏障结构，能够通过释放趋化因子（如CXCL1/2）、细胞黏附分子及细胞因子调控中性粒细胞的进入和活化状态。星形胶质还能通过调节微胶质炎症水平间接影响中性粒细胞募集。</w:t>
      </w:r>
      <w:bookmarkStart w:id="73" w:name="fnref2_10"/>
      <w:bookmarkEnd w:id="73"/>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74" w:name="fnref10_3"/>
      <w:bookmarkEnd w:id="74"/>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75" w:name="fnref6_6"/>
      <w:bookmarkEnd w:id="75"/>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在慢性期，反应性星形胶质产生的神经营养因子和细胞外基质成分参与瘢痕形成和轴突再生引导，如果中性粒细胞残留或其产物持续刺激星形胶质处于A1偏向状态，可能导致瘢痕过度、抑制轴突再生，影响长期恢复。</w:t>
      </w:r>
    </w:p>
    <w:p w14:paraId="7A4EEEDC">
      <w:pPr>
        <w:spacing w:before="315" w:after="105" w:line="360" w:lineRule="auto"/>
        <w:ind w:left="-30"/>
        <w:jc w:val="left"/>
      </w:pPr>
      <w:bookmarkStart w:id="76" w:name="三_与神经元的互作"/>
      <w:r>
        <w:rPr>
          <w:rFonts w:ascii="inter" w:hAnsi="inter" w:eastAsia="inter" w:cs="inter"/>
          <w:b/>
          <w:color w:val="000000"/>
          <w:sz w:val="24"/>
        </w:rPr>
        <w:t>（三）与神经元的互作</w:t>
      </w:r>
      <w:bookmarkEnd w:id="76"/>
    </w:p>
    <w:p w14:paraId="4A5DF374">
      <w:pPr>
        <w:numPr>
          <w:ilvl w:val="0"/>
          <w:numId w:val="6"/>
        </w:numPr>
        <w:spacing w:after="210" w:line="360" w:lineRule="auto"/>
      </w:pPr>
      <w:r>
        <w:rPr>
          <w:rFonts w:ascii="inter" w:hAnsi="inter" w:eastAsia="inter" w:cs="inter"/>
          <w:b/>
          <w:color w:val="000000"/>
          <w:sz w:val="21"/>
        </w:rPr>
        <w:t>直接毒性作用</w:t>
      </w:r>
    </w:p>
    <w:p w14:paraId="646FA2EC">
      <w:pPr>
        <w:numPr>
          <w:ilvl w:val="1"/>
          <w:numId w:val="6"/>
        </w:numPr>
        <w:spacing w:before="105" w:after="105" w:line="360" w:lineRule="auto"/>
      </w:pPr>
      <w:r>
        <w:rPr>
          <w:rFonts w:ascii="inter" w:hAnsi="inter" w:eastAsia="inter" w:cs="inter"/>
          <w:color w:val="000000"/>
          <w:sz w:val="21"/>
        </w:rPr>
        <w:t>中性粒细胞产生的ROS、蛋白酶、NETs和细胞毒性介质可直接损伤神经元膜、线粒体和DNA，诱导坏死或凋亡。</w:t>
      </w:r>
      <w:bookmarkStart w:id="77" w:name="fnref3_13"/>
      <w:bookmarkEnd w:id="77"/>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78" w:name="fnref1_8"/>
      <w:bookmarkEnd w:id="78"/>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79" w:name="fnref6_7"/>
      <w:bookmarkEnd w:id="79"/>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374DBD51">
      <w:pPr>
        <w:numPr>
          <w:ilvl w:val="1"/>
          <w:numId w:val="6"/>
        </w:numPr>
        <w:spacing w:before="105" w:after="105" w:line="360" w:lineRule="auto"/>
      </w:pPr>
      <w:r>
        <w:rPr>
          <w:rFonts w:ascii="inter" w:hAnsi="inter" w:eastAsia="inter" w:cs="inter"/>
          <w:color w:val="000000"/>
          <w:sz w:val="21"/>
        </w:rPr>
        <w:t>NETs中的组蛋白、细胞外DNA等可通过激活TLR和NLRP3炎性小体等通路，引发神经元炎性细胞死亡（如焦亡、铁死亡等新型死亡形式），在动物模型中已被观察到。</w:t>
      </w:r>
      <w:bookmarkStart w:id="80" w:name="fnref1_9"/>
      <w:bookmarkEnd w:id="80"/>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81" w:name="fnref3_14"/>
      <w:bookmarkEnd w:id="81"/>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7CC6A753">
      <w:pPr>
        <w:numPr>
          <w:ilvl w:val="0"/>
          <w:numId w:val="6"/>
        </w:numPr>
        <w:spacing w:after="210" w:line="360" w:lineRule="auto"/>
      </w:pPr>
      <w:r>
        <w:rPr>
          <w:rFonts w:ascii="inter" w:hAnsi="inter" w:eastAsia="inter" w:cs="inter"/>
          <w:b/>
          <w:color w:val="000000"/>
          <w:sz w:val="21"/>
        </w:rPr>
        <w:t>间接调控神经元生存与可塑性</w:t>
      </w:r>
    </w:p>
    <w:p w14:paraId="749793DD">
      <w:pPr>
        <w:numPr>
          <w:ilvl w:val="1"/>
          <w:numId w:val="6"/>
        </w:numPr>
        <w:spacing w:before="105" w:after="105" w:line="360" w:lineRule="auto"/>
      </w:pPr>
      <w:r>
        <w:rPr>
          <w:rFonts w:ascii="inter" w:hAnsi="inter" w:eastAsia="inter" w:cs="inter"/>
          <w:color w:val="000000"/>
          <w:sz w:val="21"/>
        </w:rPr>
        <w:t>通过调节微胶质与星形胶质的表型，中性粒细胞可间接影响神经元所处微环境，如决定其是否暴露在高浓度NO、炎性细胞因子或神经营养因子中。</w:t>
      </w:r>
      <w:bookmarkStart w:id="82" w:name="fnref10_4"/>
      <w:bookmarkEnd w:id="82"/>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83" w:name="fnref2_11"/>
      <w:bookmarkEnd w:id="83"/>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232FFA3C">
      <w:pPr>
        <w:numPr>
          <w:ilvl w:val="1"/>
          <w:numId w:val="6"/>
        </w:numPr>
        <w:spacing w:before="105" w:after="105" w:line="360" w:lineRule="auto"/>
      </w:pPr>
      <w:r>
        <w:rPr>
          <w:rFonts w:ascii="inter" w:hAnsi="inter" w:eastAsia="inter" w:cs="inter"/>
          <w:color w:val="000000"/>
          <w:sz w:val="21"/>
        </w:rPr>
        <w:t>在恢复与重塑阶段，中性粒细胞可能通过影响VEGF、TGF‑β和多种生长因子的水平，进而调控神经发生、轴突生长和突触重塑，这一假说在动物研究中正逐渐得到支持。</w:t>
      </w:r>
      <w:bookmarkStart w:id="84" w:name="fnref8_10"/>
      <w:bookmarkEnd w:id="8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85" w:name="fnref3_15"/>
      <w:bookmarkEnd w:id="85"/>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46F4A8FD">
      <w:pPr>
        <w:spacing w:before="315" w:after="105" w:line="360" w:lineRule="auto"/>
        <w:ind w:left="-30"/>
        <w:jc w:val="left"/>
      </w:pPr>
      <w:bookmarkStart w:id="86" w:name="四_与脑血管和血脑屏障单元的互作"/>
      <w:r>
        <w:rPr>
          <w:rFonts w:ascii="inter" w:hAnsi="inter" w:eastAsia="inter" w:cs="inter"/>
          <w:b/>
          <w:color w:val="000000"/>
          <w:sz w:val="24"/>
        </w:rPr>
        <w:t>（四）与脑血管和血脑屏障单元的互作</w:t>
      </w:r>
      <w:bookmarkEnd w:id="86"/>
    </w:p>
    <w:p w14:paraId="597BB755">
      <w:pPr>
        <w:spacing w:after="210" w:line="360" w:lineRule="auto"/>
      </w:pPr>
      <w:r>
        <w:rPr>
          <w:rFonts w:ascii="inter" w:hAnsi="inter" w:eastAsia="inter" w:cs="inter"/>
          <w:color w:val="000000"/>
        </w:rPr>
        <w:t>中性粒细胞与脑血管内皮、周细胞和基底膜共同构成的血脑屏障单元有密切互作：</w:t>
      </w:r>
      <w:bookmarkStart w:id="87" w:name="fnref2_12"/>
      <w:bookmarkEnd w:id="87"/>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88" w:name="fnref6_8"/>
      <w:bookmarkEnd w:id="8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4245A52">
      <w:pPr>
        <w:numPr>
          <w:ilvl w:val="0"/>
          <w:numId w:val="7"/>
        </w:numPr>
        <w:spacing w:before="105" w:after="105" w:line="360" w:lineRule="auto"/>
      </w:pPr>
      <w:r>
        <w:rPr>
          <w:rFonts w:ascii="inter" w:hAnsi="inter" w:eastAsia="inter" w:cs="inter"/>
          <w:color w:val="000000"/>
          <w:sz w:val="21"/>
        </w:rPr>
        <w:t>中性粒细胞利用CD11b/CD18与内皮黏附，并通过释放弹性蛋白酶、MMPs破坏紧密连接和基底膜，促进自身及其他细胞浸润。</w:t>
      </w:r>
    </w:p>
    <w:p w14:paraId="520E5552">
      <w:pPr>
        <w:numPr>
          <w:ilvl w:val="0"/>
          <w:numId w:val="7"/>
        </w:numPr>
        <w:spacing w:before="105" w:after="105" w:line="360" w:lineRule="auto"/>
      </w:pPr>
      <w:r>
        <w:rPr>
          <w:rFonts w:ascii="inter" w:hAnsi="inter" w:eastAsia="inter" w:cs="inter"/>
          <w:color w:val="000000"/>
          <w:sz w:val="21"/>
        </w:rPr>
        <w:t>这些过程与临床上的脑水肿、出血性转化、再灌注损伤严重程度密切相关，且中性粒细胞数量及活化程度可作为预测这些并发症的重要外周血指标之一。</w:t>
      </w:r>
      <w:bookmarkStart w:id="89" w:name="fnref5_3"/>
      <w:bookmarkEnd w:id="89"/>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90" w:name="fnref6_9"/>
      <w:bookmarkEnd w:id="90"/>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91" w:name="fnref2_13"/>
      <w:bookmarkEnd w:id="91"/>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3013FFFF">
      <w:pPr>
        <w:spacing w:before="315" w:after="105" w:line="360" w:lineRule="auto"/>
        <w:ind w:left="-30"/>
        <w:jc w:val="left"/>
      </w:pPr>
      <w:bookmarkStart w:id="92" w:name="五_细胞互作与临床表型的关联推测"/>
      <w:r>
        <w:rPr>
          <w:rFonts w:ascii="inter" w:hAnsi="inter" w:eastAsia="inter" w:cs="inter"/>
          <w:b/>
          <w:color w:val="000000"/>
          <w:sz w:val="24"/>
        </w:rPr>
        <w:t>（五）细胞互作与临床表型的关联推测</w:t>
      </w:r>
      <w:bookmarkEnd w:id="92"/>
    </w:p>
    <w:p w14:paraId="5792F280">
      <w:pPr>
        <w:spacing w:after="210" w:line="360" w:lineRule="auto"/>
      </w:pPr>
      <w:r>
        <w:rPr>
          <w:rFonts w:ascii="inter" w:hAnsi="inter" w:eastAsia="inter" w:cs="inter"/>
          <w:color w:val="000000"/>
        </w:rPr>
        <w:t>综合以上细胞互作，可对不同中性粒细胞表型及细胞网络模式与临床结局做如下推测：</w:t>
      </w:r>
    </w:p>
    <w:p w14:paraId="75241203">
      <w:pPr>
        <w:numPr>
          <w:ilvl w:val="0"/>
          <w:numId w:val="8"/>
        </w:numPr>
        <w:spacing w:before="105" w:after="105" w:line="360" w:lineRule="auto"/>
      </w:pPr>
      <w:r>
        <w:rPr>
          <w:rFonts w:ascii="inter" w:hAnsi="inter" w:eastAsia="inter" w:cs="inter"/>
          <w:b/>
          <w:color w:val="000000"/>
          <w:sz w:val="21"/>
        </w:rPr>
        <w:t>N1‑M1‑A1‑神经元毒性轴占优势</w:t>
      </w:r>
      <w:r>
        <w:rPr>
          <w:rFonts w:ascii="inter" w:hAnsi="inter" w:eastAsia="inter" w:cs="inter"/>
          <w:color w:val="000000"/>
          <w:sz w:val="21"/>
        </w:rPr>
        <w:t>：</w:t>
      </w:r>
      <w:r>
        <w:rPr>
          <w:rFonts w:ascii="inter" w:hAnsi="inter" w:eastAsia="inter" w:cs="inter"/>
          <w:color w:val="000000"/>
          <w:sz w:val="21"/>
        </w:rPr>
        <w:br w:type="textWrapping"/>
      </w:r>
      <w:r>
        <w:rPr>
          <w:rFonts w:ascii="inter" w:hAnsi="inter" w:eastAsia="inter" w:cs="inter"/>
          <w:color w:val="000000"/>
          <w:sz w:val="21"/>
        </w:rPr>
        <w:t>这一路径以急性期强烈炎症为特征，伴随BBB严重破坏和微循环障碍，多见于中性粒细胞/淋巴细胞比值高、炎症反应强的患者，临床上可能表现为：梗死体积较大、早期神经功能恶化、出血性转化风险高、恶性脑水肿发生率高和短期死亡率升高。</w:t>
      </w:r>
    </w:p>
    <w:p w14:paraId="39870005">
      <w:pPr>
        <w:numPr>
          <w:ilvl w:val="0"/>
          <w:numId w:val="8"/>
        </w:numPr>
        <w:spacing w:before="105" w:after="105" w:line="360" w:lineRule="auto"/>
      </w:pPr>
      <w:r>
        <w:rPr>
          <w:rFonts w:ascii="inter" w:hAnsi="inter" w:eastAsia="inter" w:cs="inter"/>
          <w:b/>
          <w:color w:val="000000"/>
          <w:sz w:val="21"/>
        </w:rPr>
        <w:t>N2‑M2‑A2‑修复/重塑轴占优势</w:t>
      </w:r>
      <w:r>
        <w:rPr>
          <w:rFonts w:ascii="inter" w:hAnsi="inter" w:eastAsia="inter" w:cs="inter"/>
          <w:color w:val="000000"/>
          <w:sz w:val="21"/>
        </w:rPr>
        <w:t>：</w:t>
      </w:r>
      <w:r>
        <w:rPr>
          <w:rFonts w:ascii="inter" w:hAnsi="inter" w:eastAsia="inter" w:cs="inter"/>
          <w:color w:val="000000"/>
          <w:sz w:val="21"/>
        </w:rPr>
        <w:br w:type="textWrapping"/>
      </w:r>
      <w:r>
        <w:rPr>
          <w:rFonts w:ascii="inter" w:hAnsi="inter" w:eastAsia="inter" w:cs="inter"/>
          <w:color w:val="000000"/>
          <w:sz w:val="21"/>
        </w:rPr>
        <w:t>如果N2中性粒细胞和M2型微胶质、A2型星形胶质相互促进，炎症能够较快转向消退和修复阶段，表现为梗死周边组织保留较多、瘢痕适度、血管重建良好，患者可能出现更好的长期功能恢复和认知保留。</w:t>
      </w:r>
    </w:p>
    <w:p w14:paraId="176C5F36">
      <w:pPr>
        <w:numPr>
          <w:ilvl w:val="0"/>
          <w:numId w:val="8"/>
        </w:numPr>
        <w:spacing w:before="105" w:after="105" w:line="360" w:lineRule="auto"/>
      </w:pPr>
      <w:r>
        <w:rPr>
          <w:rFonts w:ascii="inter" w:hAnsi="inter" w:eastAsia="inter" w:cs="inter"/>
          <w:b/>
          <w:color w:val="000000"/>
          <w:sz w:val="21"/>
        </w:rPr>
        <w:t>混合或时间错配模式</w:t>
      </w:r>
      <w:r>
        <w:rPr>
          <w:rFonts w:ascii="inter" w:hAnsi="inter" w:eastAsia="inter" w:cs="inter"/>
          <w:color w:val="000000"/>
          <w:sz w:val="21"/>
        </w:rPr>
        <w:t>：</w:t>
      </w:r>
      <w:r>
        <w:rPr>
          <w:rFonts w:ascii="inter" w:hAnsi="inter" w:eastAsia="inter" w:cs="inter"/>
          <w:color w:val="000000"/>
          <w:sz w:val="21"/>
        </w:rPr>
        <w:br w:type="textWrapping"/>
      </w:r>
      <w:r>
        <w:rPr>
          <w:rFonts w:ascii="inter" w:hAnsi="inter" w:eastAsia="inter" w:cs="inter"/>
          <w:color w:val="000000"/>
          <w:sz w:val="21"/>
        </w:rPr>
        <w:t>有些患者可能在急性期存在较强的N1驱动，但在亚急性/慢性期逐渐出现N2和免疫抑制性中性粒细胞增加，实现从损伤到修复的转换，其预后可能介于两者之间。不同个体之间这一“损伤‑修复”转换时间窗和幅度的差异，或许是解释卒中预后高度异质性的重要线索之一。</w:t>
      </w:r>
      <w:bookmarkStart w:id="93" w:name="fnref8_11"/>
      <w:bookmarkEnd w:id="93"/>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94" w:name="fnref3_16"/>
      <w:bookmarkEnd w:id="94"/>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7D3C2AC4">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7AC78FB5">
      <w:pPr>
        <w:spacing w:before="315" w:after="105" w:line="360" w:lineRule="auto"/>
        <w:ind w:left="-30"/>
        <w:jc w:val="left"/>
      </w:pPr>
      <w:bookmarkStart w:id="95" w:name="三_未来研究方向与关键科学问题"/>
      <w:r>
        <w:rPr>
          <w:rFonts w:ascii="inter" w:hAnsi="inter" w:eastAsia="inter" w:cs="inter"/>
          <w:b/>
          <w:color w:val="000000"/>
          <w:sz w:val="24"/>
        </w:rPr>
        <w:t>三、未来研究方向与关键科学问题</w:t>
      </w:r>
      <w:bookmarkEnd w:id="95"/>
    </w:p>
    <w:p w14:paraId="4DF2C3D3">
      <w:pPr>
        <w:spacing w:after="210" w:line="360" w:lineRule="auto"/>
      </w:pPr>
      <w:r>
        <w:rPr>
          <w:rFonts w:ascii="inter" w:hAnsi="inter" w:eastAsia="inter" w:cs="inter"/>
          <w:color w:val="000000"/>
        </w:rPr>
        <w:t>尽管近年来关于中性粒细胞在脑缺血中的研究进展显著，但仍存在大量未解决的问题和有待深入的方向：</w:t>
      </w:r>
    </w:p>
    <w:p w14:paraId="233964FF">
      <w:pPr>
        <w:spacing w:before="315" w:after="105" w:line="360" w:lineRule="auto"/>
        <w:ind w:left="-30"/>
        <w:jc w:val="left"/>
      </w:pPr>
      <w:bookmarkStart w:id="96" w:name="一_中性粒细胞亚群的精细表征与谱系追踪"/>
      <w:r>
        <w:rPr>
          <w:rFonts w:ascii="inter" w:hAnsi="inter" w:eastAsia="inter" w:cs="inter"/>
          <w:b/>
          <w:color w:val="000000"/>
          <w:sz w:val="24"/>
        </w:rPr>
        <w:t>（一）中性粒细胞亚群的精细表征与谱系追踪</w:t>
      </w:r>
      <w:bookmarkEnd w:id="96"/>
    </w:p>
    <w:p w14:paraId="1C34D800">
      <w:pPr>
        <w:numPr>
          <w:ilvl w:val="0"/>
          <w:numId w:val="9"/>
        </w:numPr>
        <w:spacing w:after="210" w:line="360" w:lineRule="auto"/>
      </w:pPr>
      <w:r>
        <w:rPr>
          <w:rFonts w:ascii="inter" w:hAnsi="inter" w:eastAsia="inter" w:cs="inter"/>
          <w:b/>
          <w:color w:val="000000"/>
          <w:sz w:val="21"/>
        </w:rPr>
        <w:t>亚群定义的标准化</w:t>
      </w:r>
      <w:r>
        <w:rPr>
          <w:rFonts w:ascii="inter" w:hAnsi="inter" w:eastAsia="inter" w:cs="inter"/>
          <w:color w:val="000000"/>
          <w:sz w:val="21"/>
        </w:rPr>
        <w:br w:type="textWrapping"/>
      </w:r>
      <w:r>
        <w:rPr>
          <w:rFonts w:ascii="inter" w:hAnsi="inter" w:eastAsia="inter" w:cs="inter"/>
          <w:color w:val="000000"/>
          <w:sz w:val="21"/>
        </w:rPr>
        <w:t>目前关于N1/N2、中性粒细胞“有害/保护”亚群的标志基因和功能特征尚不统一，且多来源于肿瘤或其他器官模型。未来需要通过单细胞转录组、多组学和高维流式等技术，在脑缺血动物模型和人类卒中患者中系统刻画：</w:t>
      </w:r>
      <w:bookmarkStart w:id="97" w:name="fnref9_3"/>
      <w:bookmarkEnd w:id="97"/>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98" w:name="fnref3_17"/>
      <w:bookmarkEnd w:id="98"/>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124CCCF7">
      <w:pPr>
        <w:numPr>
          <w:ilvl w:val="1"/>
          <w:numId w:val="9"/>
        </w:numPr>
        <w:spacing w:before="105" w:after="105" w:line="360" w:lineRule="auto"/>
      </w:pPr>
      <w:r>
        <w:rPr>
          <w:rFonts w:ascii="inter" w:hAnsi="inter" w:eastAsia="inter" w:cs="inter"/>
          <w:color w:val="000000"/>
          <w:sz w:val="21"/>
        </w:rPr>
        <w:t>不同时间点中性粒细胞的转录谱和蛋白表达特征；</w:t>
      </w:r>
    </w:p>
    <w:p w14:paraId="6C92B91B">
      <w:pPr>
        <w:numPr>
          <w:ilvl w:val="1"/>
          <w:numId w:val="9"/>
        </w:numPr>
        <w:spacing w:before="105" w:after="105" w:line="360" w:lineRule="auto"/>
      </w:pPr>
      <w:r>
        <w:rPr>
          <w:rFonts w:ascii="inter" w:hAnsi="inter" w:eastAsia="inter" w:cs="inter"/>
          <w:color w:val="000000"/>
          <w:sz w:val="21"/>
        </w:rPr>
        <w:t>中性粒细胞在骨髓、外周血、脑内不同“位点”的表型差异及迁移轨迹；</w:t>
      </w:r>
    </w:p>
    <w:p w14:paraId="444667E8">
      <w:pPr>
        <w:numPr>
          <w:ilvl w:val="1"/>
          <w:numId w:val="9"/>
        </w:numPr>
        <w:spacing w:before="105" w:after="105" w:line="360" w:lineRule="auto"/>
      </w:pPr>
      <w:r>
        <w:rPr>
          <w:rFonts w:ascii="inter" w:hAnsi="inter" w:eastAsia="inter" w:cs="inter"/>
          <w:color w:val="000000"/>
          <w:sz w:val="21"/>
        </w:rPr>
        <w:t>CXCR4高表达衰老中性粒细胞、低密度中性粒细胞等特殊群体在脑缺血中的具体功能。</w:t>
      </w:r>
    </w:p>
    <w:p w14:paraId="23D5F491">
      <w:pPr>
        <w:numPr>
          <w:ilvl w:val="0"/>
          <w:numId w:val="9"/>
        </w:numPr>
        <w:spacing w:after="210" w:line="360" w:lineRule="auto"/>
      </w:pPr>
      <w:r>
        <w:rPr>
          <w:rFonts w:ascii="inter" w:hAnsi="inter" w:eastAsia="inter" w:cs="inter"/>
          <w:b/>
          <w:color w:val="000000"/>
          <w:sz w:val="21"/>
        </w:rPr>
        <w:t>谱系追踪与命运决定研究</w:t>
      </w:r>
      <w:r>
        <w:rPr>
          <w:rFonts w:ascii="inter" w:hAnsi="inter" w:eastAsia="inter" w:cs="inter"/>
          <w:color w:val="000000"/>
          <w:sz w:val="21"/>
        </w:rPr>
        <w:br w:type="textWrapping"/>
      </w:r>
      <w:r>
        <w:rPr>
          <w:rFonts w:ascii="inter" w:hAnsi="inter" w:eastAsia="inter" w:cs="inter"/>
          <w:color w:val="000000"/>
          <w:sz w:val="21"/>
        </w:rPr>
        <w:t>通过遗传标记、命运追踪和体内成像等技术，分析N1/N2及其他亚群是否存在可逆转换，其转换的驱动因子（如细胞因子、代谢状态、信号通路）以及与临床病程阶段的对应关系。</w:t>
      </w:r>
    </w:p>
    <w:p w14:paraId="66A4F56E">
      <w:pPr>
        <w:spacing w:before="315" w:after="105" w:line="360" w:lineRule="auto"/>
        <w:ind w:left="-30"/>
        <w:jc w:val="left"/>
      </w:pPr>
      <w:bookmarkStart w:id="99" w:name="二_中性粒细胞与脑内细胞互作的分子机制"/>
      <w:r>
        <w:rPr>
          <w:rFonts w:ascii="inter" w:hAnsi="inter" w:eastAsia="inter" w:cs="inter"/>
          <w:b/>
          <w:color w:val="000000"/>
          <w:sz w:val="24"/>
        </w:rPr>
        <w:t>（二）中性粒细胞与脑内细胞互作的分子机制</w:t>
      </w:r>
      <w:bookmarkEnd w:id="99"/>
    </w:p>
    <w:p w14:paraId="79DB8EAE">
      <w:pPr>
        <w:numPr>
          <w:ilvl w:val="0"/>
          <w:numId w:val="10"/>
        </w:numPr>
        <w:spacing w:after="210" w:line="360" w:lineRule="auto"/>
      </w:pPr>
      <w:r>
        <w:rPr>
          <w:rFonts w:ascii="inter" w:hAnsi="inter" w:eastAsia="inter" w:cs="inter"/>
          <w:b/>
          <w:color w:val="000000"/>
          <w:sz w:val="21"/>
        </w:rPr>
        <w:t>与微胶质和星形胶质互作的信号轴</w:t>
      </w:r>
      <w:r>
        <w:rPr>
          <w:rFonts w:ascii="inter" w:hAnsi="inter" w:eastAsia="inter" w:cs="inter"/>
          <w:color w:val="000000"/>
          <w:sz w:val="21"/>
        </w:rPr>
        <w:br w:type="textWrapping"/>
      </w:r>
      <w:r>
        <w:rPr>
          <w:rFonts w:ascii="inter" w:hAnsi="inter" w:eastAsia="inter" w:cs="inter"/>
          <w:color w:val="000000"/>
          <w:sz w:val="21"/>
        </w:rPr>
        <w:t>需要进一步解析：</w:t>
      </w:r>
    </w:p>
    <w:p w14:paraId="24FAE9E8">
      <w:pPr>
        <w:numPr>
          <w:ilvl w:val="1"/>
          <w:numId w:val="10"/>
        </w:numPr>
        <w:spacing w:before="105" w:after="105" w:line="360" w:lineRule="auto"/>
      </w:pPr>
      <w:r>
        <w:rPr>
          <w:rFonts w:ascii="inter" w:hAnsi="inter" w:eastAsia="inter" w:cs="inter"/>
          <w:color w:val="000000"/>
          <w:sz w:val="21"/>
        </w:rPr>
        <w:t>哪些中性粒细胞来源的因子（如NETs成分、特定细胞因子/趋化因子、胞外囊泡）是驱动M1/M2或A1/A2极化的关键信号；</w:t>
      </w:r>
    </w:p>
    <w:p w14:paraId="08871366">
      <w:pPr>
        <w:numPr>
          <w:ilvl w:val="1"/>
          <w:numId w:val="10"/>
        </w:numPr>
        <w:spacing w:before="105" w:after="105" w:line="360" w:lineRule="auto"/>
      </w:pPr>
      <w:r>
        <w:rPr>
          <w:rFonts w:ascii="inter" w:hAnsi="inter" w:eastAsia="inter" w:cs="inter"/>
          <w:color w:val="000000"/>
          <w:sz w:val="21"/>
        </w:rPr>
        <w:t>微胶质与星形胶质产生的哪些分子可以反向塑造中性粒细胞表型（例如通过TGF‑β、IL‑10等促进N2极化）；</w:t>
      </w:r>
    </w:p>
    <w:p w14:paraId="670D0AE3">
      <w:pPr>
        <w:numPr>
          <w:ilvl w:val="1"/>
          <w:numId w:val="10"/>
        </w:numPr>
        <w:spacing w:before="105" w:after="105" w:line="360" w:lineRule="auto"/>
      </w:pPr>
      <w:r>
        <w:rPr>
          <w:rFonts w:ascii="inter" w:hAnsi="inter" w:eastAsia="inter" w:cs="inter"/>
          <w:color w:val="000000"/>
          <w:sz w:val="21"/>
        </w:rPr>
        <w:t>这些信号通路（如NF‑κB、JAK/STAT、Notch等）是否存在可药物干预的关键节点。</w:t>
      </w:r>
      <w:bookmarkStart w:id="100" w:name="fnref10_5"/>
      <w:bookmarkEnd w:id="100"/>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01" w:name="fnref6_10"/>
      <w:bookmarkEnd w:id="10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02" w:name="fnref2_14"/>
      <w:bookmarkEnd w:id="102"/>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02B658D5">
      <w:pPr>
        <w:numPr>
          <w:ilvl w:val="0"/>
          <w:numId w:val="10"/>
        </w:numPr>
        <w:spacing w:after="210" w:line="360" w:lineRule="auto"/>
      </w:pPr>
      <w:r>
        <w:rPr>
          <w:rFonts w:ascii="inter" w:hAnsi="inter" w:eastAsia="inter" w:cs="inter"/>
          <w:b/>
          <w:color w:val="000000"/>
          <w:sz w:val="21"/>
        </w:rPr>
        <w:t>中性粒细胞‑神经元直接互作及新型死亡方式</w:t>
      </w:r>
      <w:r>
        <w:rPr>
          <w:rFonts w:ascii="inter" w:hAnsi="inter" w:eastAsia="inter" w:cs="inter"/>
          <w:color w:val="000000"/>
          <w:sz w:val="21"/>
        </w:rPr>
        <w:br w:type="textWrapping"/>
      </w:r>
      <w:r>
        <w:rPr>
          <w:rFonts w:ascii="inter" w:hAnsi="inter" w:eastAsia="inter" w:cs="inter"/>
          <w:color w:val="000000"/>
          <w:sz w:val="21"/>
        </w:rPr>
        <w:t>NETs、铁代谢失衡与神经元焦亡/铁死亡之间的关系，是当前神经免疫学和卒中研究的热点之一。需要明确不同中性粒细胞亚群是否通过差异性释放NETs、铁相关蛋白等，选择性诱导特定神经元群体死亡。</w:t>
      </w:r>
    </w:p>
    <w:p w14:paraId="6045ED2B">
      <w:pPr>
        <w:spacing w:before="315" w:after="105" w:line="360" w:lineRule="auto"/>
        <w:ind w:left="-30"/>
        <w:jc w:val="left"/>
      </w:pPr>
      <w:bookmarkStart w:id="103" w:name="三_时序特异性的中性粒细胞靶向治疗策略"/>
      <w:r>
        <w:rPr>
          <w:rFonts w:ascii="inter" w:hAnsi="inter" w:eastAsia="inter" w:cs="inter"/>
          <w:b/>
          <w:color w:val="000000"/>
          <w:sz w:val="24"/>
        </w:rPr>
        <w:t>（三）时序特异性的中性粒细胞靶向治疗策略</w:t>
      </w:r>
      <w:bookmarkEnd w:id="103"/>
    </w:p>
    <w:p w14:paraId="2A97427C">
      <w:pPr>
        <w:numPr>
          <w:ilvl w:val="0"/>
          <w:numId w:val="11"/>
        </w:numPr>
        <w:spacing w:after="210" w:line="360" w:lineRule="auto"/>
      </w:pPr>
      <w:r>
        <w:rPr>
          <w:rFonts w:ascii="inter" w:hAnsi="inter" w:eastAsia="inter" w:cs="inter"/>
          <w:b/>
          <w:color w:val="000000"/>
          <w:sz w:val="21"/>
        </w:rPr>
        <w:t>急性期抑制 vs 慢性期促进</w:t>
      </w:r>
      <w:r>
        <w:rPr>
          <w:rFonts w:ascii="inter" w:hAnsi="inter" w:eastAsia="inter" w:cs="inter"/>
          <w:color w:val="000000"/>
          <w:sz w:val="21"/>
        </w:rPr>
        <w:br w:type="textWrapping"/>
      </w:r>
      <w:r>
        <w:rPr>
          <w:rFonts w:ascii="inter" w:hAnsi="inter" w:eastAsia="inter" w:cs="inter"/>
          <w:color w:val="000000"/>
          <w:sz w:val="21"/>
        </w:rPr>
        <w:t>既往阻断外周免疫细胞进入脑内的临床试验结果并不理想，甚至出现预后恶化现象，提示简单“全部阻断”并非理想策略。未来的方向可能是：</w:t>
      </w:r>
      <w:bookmarkStart w:id="104" w:name="fnref3_18"/>
      <w:bookmarkEnd w:id="104"/>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71E49E9C">
      <w:pPr>
        <w:numPr>
          <w:ilvl w:val="1"/>
          <w:numId w:val="11"/>
        </w:numPr>
        <w:spacing w:before="105" w:after="105" w:line="360" w:lineRule="auto"/>
      </w:pPr>
      <w:r>
        <w:rPr>
          <w:rFonts w:ascii="inter" w:hAnsi="inter" w:eastAsia="inter" w:cs="inter"/>
          <w:color w:val="000000"/>
          <w:sz w:val="21"/>
        </w:rPr>
        <w:t>急性期选择性抑制N1或有害亚群，减轻BBB破坏和急性损伤；</w:t>
      </w:r>
    </w:p>
    <w:p w14:paraId="09E50053">
      <w:pPr>
        <w:numPr>
          <w:ilvl w:val="1"/>
          <w:numId w:val="11"/>
        </w:numPr>
        <w:spacing w:before="105" w:after="105" w:line="360" w:lineRule="auto"/>
      </w:pPr>
      <w:r>
        <w:rPr>
          <w:rFonts w:ascii="inter" w:hAnsi="inter" w:eastAsia="inter" w:cs="inter"/>
          <w:color w:val="000000"/>
          <w:sz w:val="21"/>
        </w:rPr>
        <w:t>亚急性/慢性期适度促进N2或修复型中性粒细胞的募集和功能，以增强碎片清除、血管重建和神经修复。</w:t>
      </w:r>
    </w:p>
    <w:p w14:paraId="5D09D894">
      <w:pPr>
        <w:numPr>
          <w:ilvl w:val="0"/>
          <w:numId w:val="11"/>
        </w:numPr>
        <w:spacing w:after="210" w:line="360" w:lineRule="auto"/>
      </w:pPr>
      <w:r>
        <w:rPr>
          <w:rFonts w:ascii="inter" w:hAnsi="inter" w:eastAsia="inter" w:cs="inter"/>
          <w:b/>
          <w:color w:val="000000"/>
          <w:sz w:val="21"/>
        </w:rPr>
        <w:t>精确时间窗与给药方案的确定</w:t>
      </w:r>
      <w:r>
        <w:rPr>
          <w:rFonts w:ascii="inter" w:hAnsi="inter" w:eastAsia="inter" w:cs="inter"/>
          <w:color w:val="000000"/>
          <w:sz w:val="21"/>
        </w:rPr>
        <w:br w:type="textWrapping"/>
      </w:r>
      <w:r>
        <w:rPr>
          <w:rFonts w:ascii="inter" w:hAnsi="inter" w:eastAsia="inter" w:cs="inter"/>
          <w:color w:val="000000"/>
          <w:sz w:val="21"/>
        </w:rPr>
        <w:t>需要通过动物模型和临床队列研究，明确不同中性粒细胞亚群在卒中后关键时间窗的动态变化，根据这一时序信息设计临床可行的干预节点和给药方式（如PPARγ激动剂、NETs抑制剂、CXCR2拮抗剂等）。</w:t>
      </w:r>
      <w:bookmarkStart w:id="105" w:name="fnref7_6"/>
      <w:bookmarkEnd w:id="105"/>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06" w:name="fnref1_10"/>
      <w:bookmarkEnd w:id="106"/>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107" w:name="fnref3_19"/>
      <w:bookmarkEnd w:id="107"/>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483DDF92">
      <w:pPr>
        <w:spacing w:before="315" w:after="105" w:line="360" w:lineRule="auto"/>
        <w:ind w:left="-30"/>
        <w:jc w:val="left"/>
      </w:pPr>
      <w:bookmarkStart w:id="108" w:name="四_中性粒细胞相关生物标志物与个体化预后评估"/>
      <w:r>
        <w:rPr>
          <w:rFonts w:ascii="inter" w:hAnsi="inter" w:eastAsia="inter" w:cs="inter"/>
          <w:b/>
          <w:color w:val="000000"/>
          <w:sz w:val="24"/>
        </w:rPr>
        <w:t>（四）中性粒细胞相关生物标志物与个体化预后评估</w:t>
      </w:r>
      <w:bookmarkEnd w:id="108"/>
    </w:p>
    <w:p w14:paraId="6BE368B7">
      <w:pPr>
        <w:numPr>
          <w:ilvl w:val="0"/>
          <w:numId w:val="12"/>
        </w:numPr>
        <w:spacing w:after="210" w:line="360" w:lineRule="auto"/>
      </w:pPr>
      <w:r>
        <w:rPr>
          <w:rFonts w:ascii="inter" w:hAnsi="inter" w:eastAsia="inter" w:cs="inter"/>
          <w:b/>
          <w:color w:val="000000"/>
          <w:sz w:val="21"/>
        </w:rPr>
        <w:t>外周血标志物的开发</w:t>
      </w:r>
      <w:r>
        <w:rPr>
          <w:rFonts w:ascii="inter" w:hAnsi="inter" w:eastAsia="inter" w:cs="inter"/>
          <w:color w:val="000000"/>
          <w:sz w:val="21"/>
        </w:rPr>
        <w:br w:type="textWrapping"/>
      </w:r>
      <w:r>
        <w:rPr>
          <w:rFonts w:ascii="inter" w:hAnsi="inter" w:eastAsia="inter" w:cs="inter"/>
          <w:color w:val="000000"/>
          <w:sz w:val="21"/>
        </w:rPr>
        <w:t>中性粒细胞计数、中性粒细胞/淋巴细胞比值、激活标志（CD11b、CD62L等）、NETs成分及衰老亚群比例等均有望成为预测梗死体积、恶性脑水肿、出血性转化及长期功能结局的生物标志物。需要更多多中心前瞻性队列加以验证和整合。</w:t>
      </w:r>
      <w:bookmarkStart w:id="109" w:name="fnref4_3"/>
      <w:bookmarkEnd w:id="109"/>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110" w:name="fnref5_4"/>
      <w:bookmarkEnd w:id="110"/>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111" w:name="fnref6_11"/>
      <w:bookmarkEnd w:id="11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2C0D54EC">
      <w:pPr>
        <w:numPr>
          <w:ilvl w:val="0"/>
          <w:numId w:val="12"/>
        </w:numPr>
        <w:spacing w:after="210" w:line="360" w:lineRule="auto"/>
      </w:pPr>
      <w:r>
        <w:rPr>
          <w:rFonts w:ascii="inter" w:hAnsi="inter" w:eastAsia="inter" w:cs="inter"/>
          <w:b/>
          <w:color w:val="000000"/>
          <w:sz w:val="21"/>
        </w:rPr>
        <w:t>脑脊液及影像学标志物</w:t>
      </w:r>
      <w:r>
        <w:rPr>
          <w:rFonts w:ascii="inter" w:hAnsi="inter" w:eastAsia="inter" w:cs="inter"/>
          <w:color w:val="000000"/>
          <w:sz w:val="21"/>
        </w:rPr>
        <w:br w:type="textWrapping"/>
      </w:r>
      <w:r>
        <w:rPr>
          <w:rFonts w:ascii="inter" w:hAnsi="inter" w:eastAsia="inter" w:cs="inter"/>
          <w:color w:val="000000"/>
          <w:sz w:val="21"/>
        </w:rPr>
        <w:t>NETs成分、蛋白酶和MMPs在脑脊液中的水平变化，结合先进影像技术（如分子成像、髓鞘成像）或许可以反映脑内中性粒细胞活性与白质损伤程度，为精准分层治疗提供依据。</w:t>
      </w:r>
    </w:p>
    <w:p w14:paraId="305FF8EA">
      <w:pPr>
        <w:spacing w:before="315" w:after="105" w:line="360" w:lineRule="auto"/>
        <w:ind w:left="-30"/>
        <w:jc w:val="left"/>
      </w:pPr>
      <w:bookmarkStart w:id="112" w:name="五_与全身免疫状态和合并症的交互影响"/>
      <w:r>
        <w:rPr>
          <w:rFonts w:ascii="inter" w:hAnsi="inter" w:eastAsia="inter" w:cs="inter"/>
          <w:b/>
          <w:color w:val="000000"/>
          <w:sz w:val="24"/>
        </w:rPr>
        <w:t>（五）与全身免疫状态和合并症的交互影响</w:t>
      </w:r>
      <w:bookmarkEnd w:id="112"/>
    </w:p>
    <w:p w14:paraId="1205384F">
      <w:pPr>
        <w:spacing w:after="210" w:line="360" w:lineRule="auto"/>
      </w:pPr>
      <w:r>
        <w:rPr>
          <w:rFonts w:ascii="inter" w:hAnsi="inter" w:eastAsia="inter" w:cs="inter"/>
          <w:color w:val="000000"/>
        </w:rPr>
        <w:t>卒中患者常合并感染、动脉粥样硬化、代谢综合征等，这些因素可改变骨髓造血与中性粒细胞谱系分布。未来研究应关注：</w:t>
      </w:r>
    </w:p>
    <w:p w14:paraId="34F5903C">
      <w:pPr>
        <w:numPr>
          <w:ilvl w:val="0"/>
          <w:numId w:val="13"/>
        </w:numPr>
        <w:spacing w:before="105" w:after="105" w:line="360" w:lineRule="auto"/>
      </w:pPr>
      <w:r>
        <w:rPr>
          <w:rFonts w:ascii="inter" w:hAnsi="inter" w:eastAsia="inter" w:cs="inter"/>
          <w:color w:val="000000"/>
          <w:sz w:val="21"/>
        </w:rPr>
        <w:t>基础疾病对中性粒细胞亚群比例及功能的影响；</w:t>
      </w:r>
    </w:p>
    <w:p w14:paraId="03357AA6">
      <w:pPr>
        <w:numPr>
          <w:ilvl w:val="0"/>
          <w:numId w:val="13"/>
        </w:numPr>
        <w:spacing w:before="105" w:after="105" w:line="360" w:lineRule="auto"/>
      </w:pPr>
      <w:r>
        <w:rPr>
          <w:rFonts w:ascii="inter" w:hAnsi="inter" w:eastAsia="inter" w:cs="inter"/>
          <w:color w:val="000000"/>
          <w:sz w:val="21"/>
        </w:rPr>
        <w:t>抗感染和其他并用药物对卒中后中性粒细胞反应的调节作用；</w:t>
      </w:r>
    </w:p>
    <w:p w14:paraId="3E24FD0F">
      <w:pPr>
        <w:numPr>
          <w:ilvl w:val="0"/>
          <w:numId w:val="13"/>
        </w:numPr>
        <w:spacing w:before="105" w:after="105" w:line="360" w:lineRule="auto"/>
      </w:pPr>
      <w:r>
        <w:rPr>
          <w:rFonts w:ascii="inter" w:hAnsi="inter" w:eastAsia="inter" w:cs="inter"/>
          <w:color w:val="000000"/>
          <w:sz w:val="21"/>
        </w:rPr>
        <w:t>中性粒细胞在卒中后免疫抑制和感染易感中的角色。</w:t>
      </w:r>
    </w:p>
    <w:p w14:paraId="04C9ADC9">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45B5C52B">
      <w:pPr>
        <w:spacing w:before="315" w:after="105" w:line="360" w:lineRule="auto"/>
        <w:ind w:left="-30"/>
        <w:jc w:val="left"/>
      </w:pPr>
      <w:bookmarkStart w:id="113" w:name="四_急性期与慢性期中性粒细胞作用差异的简表"/>
      <w:r>
        <w:rPr>
          <w:rFonts w:ascii="inter" w:hAnsi="inter" w:eastAsia="inter" w:cs="inter"/>
          <w:b/>
          <w:color w:val="000000"/>
          <w:sz w:val="24"/>
        </w:rPr>
        <w:t>四、急性期与慢性期中性粒细胞作用差异的简表</w:t>
      </w:r>
      <w:bookmarkEnd w:id="113"/>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90"/>
        <w:gridCol w:w="1461"/>
        <w:gridCol w:w="1973"/>
        <w:gridCol w:w="1834"/>
        <w:gridCol w:w="1839"/>
        <w:gridCol w:w="1543"/>
      </w:tblGrid>
      <w:tr w14:paraId="4331A38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D9B35AD">
            <w:pPr>
              <w:spacing w:after="0" w:line="360" w:lineRule="auto"/>
            </w:pPr>
            <w:r>
              <w:rPr>
                <w:rFonts w:ascii="inter" w:hAnsi="inter" w:eastAsia="inter" w:cs="inter"/>
                <w:color w:val="000000"/>
                <w:sz w:val="17"/>
              </w:rPr>
              <w:t>阶段</w:t>
            </w:r>
          </w:p>
        </w:tc>
        <w:tc>
          <w:tcPr>
            <w:tcBorders>
              <w:top w:val="single" w:color="000000" w:sz="0" w:space="0"/>
              <w:bottom w:val="single" w:color="000000" w:sz="0" w:space="0"/>
              <w:right w:val="single" w:color="000000" w:sz="0" w:space="0"/>
            </w:tcBorders>
          </w:tcPr>
          <w:p w14:paraId="3048767C">
            <w:pPr>
              <w:spacing w:after="0" w:line="360" w:lineRule="auto"/>
            </w:pPr>
            <w:r>
              <w:rPr>
                <w:rFonts w:ascii="inter" w:hAnsi="inter" w:eastAsia="inter" w:cs="inter"/>
                <w:color w:val="000000"/>
                <w:sz w:val="17"/>
              </w:rPr>
              <w:t>中性粒细胞数量/时程</w:t>
            </w:r>
          </w:p>
        </w:tc>
        <w:tc>
          <w:tcPr>
            <w:tcBorders>
              <w:top w:val="single" w:color="000000" w:sz="0" w:space="0"/>
              <w:bottom w:val="single" w:color="000000" w:sz="0" w:space="0"/>
              <w:right w:val="single" w:color="000000" w:sz="0" w:space="0"/>
            </w:tcBorders>
          </w:tcPr>
          <w:p w14:paraId="4D4E31D7">
            <w:pPr>
              <w:spacing w:after="0" w:line="360" w:lineRule="auto"/>
            </w:pPr>
            <w:r>
              <w:rPr>
                <w:rFonts w:ascii="inter" w:hAnsi="inter" w:eastAsia="inter" w:cs="inter"/>
                <w:color w:val="000000"/>
                <w:sz w:val="17"/>
              </w:rPr>
              <w:t>主要表型与功能</w:t>
            </w:r>
          </w:p>
        </w:tc>
        <w:tc>
          <w:tcPr>
            <w:tcBorders>
              <w:top w:val="single" w:color="000000" w:sz="0" w:space="0"/>
              <w:bottom w:val="single" w:color="000000" w:sz="0" w:space="0"/>
              <w:right w:val="single" w:color="000000" w:sz="0" w:space="0"/>
            </w:tcBorders>
          </w:tcPr>
          <w:p w14:paraId="2A23450E">
            <w:pPr>
              <w:spacing w:after="0" w:line="360" w:lineRule="auto"/>
            </w:pPr>
            <w:r>
              <w:rPr>
                <w:rFonts w:ascii="inter" w:hAnsi="inter" w:eastAsia="inter" w:cs="inter"/>
                <w:color w:val="000000"/>
                <w:sz w:val="17"/>
              </w:rPr>
              <w:t>对脑组织与血脑屏障的影响</w:t>
            </w:r>
          </w:p>
        </w:tc>
        <w:tc>
          <w:tcPr>
            <w:tcBorders>
              <w:top w:val="single" w:color="000000" w:sz="0" w:space="0"/>
              <w:bottom w:val="single" w:color="000000" w:sz="0" w:space="0"/>
              <w:right w:val="single" w:color="000000" w:sz="0" w:space="0"/>
            </w:tcBorders>
          </w:tcPr>
          <w:p w14:paraId="4D9A1B9B">
            <w:pPr>
              <w:spacing w:after="0" w:line="360" w:lineRule="auto"/>
            </w:pPr>
            <w:r>
              <w:rPr>
                <w:rFonts w:ascii="inter" w:hAnsi="inter" w:eastAsia="inter" w:cs="inter"/>
                <w:color w:val="000000"/>
                <w:sz w:val="17"/>
              </w:rPr>
              <w:t>与其他细胞的典型互作</w:t>
            </w:r>
          </w:p>
        </w:tc>
        <w:tc>
          <w:tcPr>
            <w:tcBorders>
              <w:top w:val="single" w:color="000000" w:sz="0" w:space="0"/>
              <w:bottom w:val="single" w:color="000000" w:sz="0" w:space="0"/>
            </w:tcBorders>
          </w:tcPr>
          <w:p w14:paraId="0AA8AD6B">
            <w:pPr>
              <w:spacing w:after="0" w:line="360" w:lineRule="auto"/>
            </w:pPr>
            <w:r>
              <w:rPr>
                <w:rFonts w:ascii="inter" w:hAnsi="inter" w:eastAsia="inter" w:cs="inter"/>
                <w:color w:val="000000"/>
                <w:sz w:val="17"/>
              </w:rPr>
              <w:t>可能临床后果</w:t>
            </w:r>
          </w:p>
        </w:tc>
      </w:tr>
      <w:tr w14:paraId="3D8707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F980E08">
            <w:pPr>
              <w:spacing w:after="0" w:line="360" w:lineRule="auto"/>
            </w:pPr>
            <w:r>
              <w:rPr>
                <w:rFonts w:ascii="inter" w:hAnsi="inter" w:eastAsia="inter" w:cs="inter"/>
                <w:b/>
                <w:color w:val="000000"/>
                <w:sz w:val="17"/>
              </w:rPr>
              <w:t>急性期（数小时–3天）</w:t>
            </w:r>
          </w:p>
        </w:tc>
        <w:tc>
          <w:tcPr>
            <w:tcBorders>
              <w:top w:val="single" w:color="000000" w:sz="0" w:space="0"/>
              <w:bottom w:val="single" w:color="000000" w:sz="0" w:space="0"/>
              <w:right w:val="single" w:color="000000" w:sz="0" w:space="0"/>
            </w:tcBorders>
          </w:tcPr>
          <w:p w14:paraId="3E8BCB93">
            <w:pPr>
              <w:spacing w:after="0" w:line="360" w:lineRule="auto"/>
            </w:pPr>
            <w:r>
              <w:rPr>
                <w:rFonts w:ascii="inter" w:hAnsi="inter" w:eastAsia="inter" w:cs="inter"/>
                <w:color w:val="000000"/>
                <w:sz w:val="17"/>
              </w:rPr>
              <w:t>外周血计数快速升高，24–72小时脑内浸润高峰</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22F12D0C">
            <w:pPr>
              <w:spacing w:after="0" w:line="360" w:lineRule="auto"/>
            </w:pPr>
            <w:r>
              <w:rPr>
                <w:rFonts w:ascii="inter" w:hAnsi="inter" w:eastAsia="inter" w:cs="inter"/>
                <w:color w:val="000000"/>
                <w:sz w:val="17"/>
              </w:rPr>
              <w:t>以促炎N1和有害亚群为主，CD11b上调、CD62L下调，高ROS和弹性蛋白酶，NETs形成明显</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7A3D9105">
            <w:pPr>
              <w:spacing w:after="0" w:line="360" w:lineRule="auto"/>
            </w:pPr>
            <w:r>
              <w:rPr>
                <w:rFonts w:ascii="inter" w:hAnsi="inter" w:eastAsia="inter" w:cs="inter"/>
                <w:color w:val="000000"/>
                <w:sz w:val="17"/>
              </w:rPr>
              <w:t>强烈破坏BBB，诱导脑水肿、出血性转化，扩大梗死体积</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5C2EC9E8">
            <w:pPr>
              <w:spacing w:after="0" w:line="360" w:lineRule="auto"/>
            </w:pPr>
            <w:r>
              <w:rPr>
                <w:rFonts w:ascii="inter" w:hAnsi="inter" w:eastAsia="inter" w:cs="inter"/>
                <w:color w:val="000000"/>
                <w:sz w:val="17"/>
              </w:rPr>
              <w:t>N1促进M1微胶质与A1星形胶质，形成炎症放大环；直接毒害神经元</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6C29292E">
            <w:pPr>
              <w:spacing w:after="0" w:line="360" w:lineRule="auto"/>
            </w:pPr>
            <w:r>
              <w:rPr>
                <w:rFonts w:ascii="inter" w:hAnsi="inter" w:eastAsia="inter" w:cs="inter"/>
                <w:color w:val="000000"/>
                <w:sz w:val="17"/>
              </w:rPr>
              <w:t>早期神经功能恶化、恶性脑水肿、出血性转化风险升高、短期死亡率增高</w:t>
            </w:r>
          </w:p>
        </w:tc>
      </w:tr>
      <w:tr w14:paraId="4A5457F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D593459">
            <w:pPr>
              <w:spacing w:after="0" w:line="360" w:lineRule="auto"/>
            </w:pPr>
            <w:r>
              <w:rPr>
                <w:rFonts w:ascii="inter" w:hAnsi="inter" w:eastAsia="inter" w:cs="inter"/>
                <w:b/>
                <w:color w:val="000000"/>
                <w:sz w:val="17"/>
              </w:rPr>
              <w:t>亚急性‑慢性期（数天–数周乃至更长）</w:t>
            </w:r>
          </w:p>
        </w:tc>
        <w:tc>
          <w:tcPr>
            <w:tcBorders>
              <w:top w:val="single" w:color="000000" w:sz="0" w:space="0"/>
              <w:bottom w:val="single" w:color="000000" w:sz="0" w:space="0"/>
              <w:right w:val="single" w:color="000000" w:sz="0" w:space="0"/>
            </w:tcBorders>
          </w:tcPr>
          <w:p w14:paraId="09494CCD">
            <w:pPr>
              <w:spacing w:after="0" w:line="360" w:lineRule="auto"/>
            </w:pPr>
            <w:r>
              <w:rPr>
                <w:rFonts w:ascii="inter" w:hAnsi="inter" w:eastAsia="inter" w:cs="inter"/>
                <w:color w:val="000000"/>
                <w:sz w:val="17"/>
              </w:rPr>
              <w:t>总量下降但残留细胞及其产物持续存在</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3CCE49E6">
            <w:pPr>
              <w:spacing w:after="0" w:line="360" w:lineRule="auto"/>
            </w:pPr>
            <w:r>
              <w:rPr>
                <w:rFonts w:ascii="inter" w:hAnsi="inter" w:eastAsia="inter" w:cs="inter"/>
                <w:color w:val="000000"/>
                <w:sz w:val="17"/>
              </w:rPr>
              <w:t>N2和潜在修复型/免疫抑制性亚群比例可能增加，部分参与抗炎和组织重塑</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45C79FD8">
            <w:pPr>
              <w:spacing w:after="0" w:line="360" w:lineRule="auto"/>
            </w:pPr>
            <w:r>
              <w:rPr>
                <w:rFonts w:ascii="inter" w:hAnsi="inter" w:eastAsia="inter" w:cs="inter"/>
                <w:color w:val="000000"/>
                <w:sz w:val="17"/>
              </w:rPr>
              <w:t>既可能维持低度炎症和蛋白酶活性，影响白质和血管长期稳定，也可能促进血管新生与瘢痕重塑</w:t>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12CBC18C">
            <w:pPr>
              <w:spacing w:after="0" w:line="360" w:lineRule="auto"/>
            </w:pPr>
            <w:r>
              <w:rPr>
                <w:rFonts w:ascii="inter" w:hAnsi="inter" w:eastAsia="inter" w:cs="inter"/>
                <w:color w:val="000000"/>
                <w:sz w:val="17"/>
              </w:rPr>
              <w:t>N2有利于M2微胶质和A2星形胶质形成，促进碎片清除和修复；调控神经发生和轴突再生的具体机制待明</w:t>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FFD04A4">
            <w:pPr>
              <w:spacing w:after="0" w:line="360" w:lineRule="auto"/>
            </w:pPr>
            <w:r>
              <w:rPr>
                <w:rFonts w:ascii="inter" w:hAnsi="inter" w:eastAsia="inter" w:cs="inter"/>
                <w:color w:val="000000"/>
                <w:sz w:val="17"/>
              </w:rPr>
              <w:t>决定长期功能恢复质量、认知结局和白质损伤程度，可能与卒中后认知障碍和抑郁等相关</w:t>
            </w:r>
          </w:p>
        </w:tc>
      </w:tr>
    </w:tbl>
    <w:p w14:paraId="70B1110C"/>
    <w:p w14:paraId="52124E2A">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31B77FB7">
      <w:pPr>
        <w:spacing w:before="315" w:after="105" w:line="360" w:lineRule="auto"/>
        <w:ind w:left="-30"/>
        <w:jc w:val="left"/>
      </w:pPr>
      <w:bookmarkStart w:id="114" w:name="五_总结与图示构想_文字描述"/>
      <w:r>
        <w:rPr>
          <w:rFonts w:ascii="inter" w:hAnsi="inter" w:eastAsia="inter" w:cs="inter"/>
          <w:b/>
          <w:color w:val="000000"/>
          <w:sz w:val="24"/>
        </w:rPr>
        <w:t>五、总结与图示构想（文字描述）</w:t>
      </w:r>
      <w:bookmarkEnd w:id="114"/>
    </w:p>
    <w:p w14:paraId="4515ED24">
      <w:pPr>
        <w:spacing w:after="210" w:line="360" w:lineRule="auto"/>
      </w:pPr>
      <w:r>
        <w:rPr>
          <w:rFonts w:ascii="inter" w:hAnsi="inter" w:eastAsia="inter" w:cs="inter"/>
          <w:color w:val="000000"/>
        </w:rPr>
        <w:t>整体来看，中性粒细胞在脑缺血过程中的作用具有显著的</w:t>
      </w:r>
      <w:r>
        <w:rPr>
          <w:rFonts w:ascii="inter" w:hAnsi="inter" w:eastAsia="inter" w:cs="inter"/>
          <w:b/>
          <w:color w:val="000000"/>
        </w:rPr>
        <w:t>时序性和双向性</w:t>
      </w:r>
      <w:r>
        <w:rPr>
          <w:rFonts w:ascii="inter" w:hAnsi="inter" w:eastAsia="inter" w:cs="inter"/>
          <w:color w:val="000000"/>
        </w:rPr>
        <w:t>：急性期多表现为损伤放大，而在适当的调控下，慢性期则可能参与炎症消退与修复。其与微胶质、星形胶质、神经元及血管单元构成复杂互作网络，不同中性粒细胞亚群之间的比例及其时空分布，或许是解释卒中预后差异的重要关键。</w:t>
      </w:r>
    </w:p>
    <w:p w14:paraId="71D7EBFB">
      <w:pPr>
        <w:spacing w:after="210" w:line="360" w:lineRule="auto"/>
      </w:pPr>
      <w:r>
        <w:rPr>
          <w:rFonts w:ascii="inter" w:hAnsi="inter" w:eastAsia="inter" w:cs="inter"/>
          <w:color w:val="000000"/>
        </w:rPr>
        <w:t>若绘制一幅简化示意图，可设计如下结构（文字描述便于读者理解）：</w:t>
      </w:r>
    </w:p>
    <w:p w14:paraId="6EDF1589">
      <w:pPr>
        <w:numPr>
          <w:ilvl w:val="0"/>
          <w:numId w:val="14"/>
        </w:numPr>
        <w:spacing w:before="105" w:after="105" w:line="360" w:lineRule="auto"/>
      </w:pPr>
      <w:r>
        <w:rPr>
          <w:rFonts w:ascii="inter" w:hAnsi="inter" w:eastAsia="inter" w:cs="inter"/>
          <w:color w:val="000000"/>
          <w:sz w:val="21"/>
        </w:rPr>
        <w:t>图左侧为“急性期”：大量N1中性粒细胞从血管进入脑实质，围绕缺血灶释放NETs、ROS和蛋白酶，箭头指向M1微胶质、A1星形胶质和受损神经元，标示“促炎、毒性、BBB破坏”。</w:t>
      </w:r>
    </w:p>
    <w:p w14:paraId="00CB92F1">
      <w:pPr>
        <w:numPr>
          <w:ilvl w:val="0"/>
          <w:numId w:val="14"/>
        </w:numPr>
        <w:spacing w:before="105" w:after="105" w:line="360" w:lineRule="auto"/>
      </w:pPr>
      <w:r>
        <w:rPr>
          <w:rFonts w:ascii="inter" w:hAnsi="inter" w:eastAsia="inter" w:cs="inter"/>
          <w:color w:val="000000"/>
          <w:sz w:val="21"/>
        </w:rPr>
        <w:t>图右侧为“慢性期”：部分中性粒细胞转化为N2或修复型亚群，箭头与M2微胶质和A2星形胶质之间为双向作用，标示“清除碎片、血管重塑、轴突再生”，同时旁边标注“具体机制与亚群标志仍待深入研究”。</w:t>
      </w:r>
    </w:p>
    <w:p w14:paraId="1B89AD2E">
      <w:pPr>
        <w:spacing w:after="210" w:line="360" w:lineRule="auto"/>
      </w:pPr>
      <w:r>
        <w:rPr>
          <w:rFonts w:ascii="inter" w:hAnsi="inter" w:eastAsia="inter" w:cs="inter"/>
          <w:color w:val="000000"/>
        </w:rPr>
        <w:t>未来通过更精细的亚群解析、分子机制阐明及时间窗精确治疗策略，有望将中性粒细胞从“损伤放大器”转化为“修复促进者”，为缺血性卒中的免疫治疗提供新的突破方向。</w:t>
      </w:r>
    </w:p>
    <w:p w14:paraId="418A3939">
      <w:pPr>
        <w:spacing w:line="360" w:lineRule="auto"/>
      </w:pPr>
      <w:r>
        <w:rPr>
          <w:rFonts w:ascii="inter" w:hAnsi="inter" w:eastAsia="inter" w:cs="inter"/>
          <w:color w:val="000000"/>
        </w:rPr>
        <w:t>⁂</w:t>
      </w:r>
    </w:p>
    <w:p w14:paraId="110EF7ED">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5BECF0EE">
      <w:pPr>
        <w:numPr>
          <w:ilvl w:val="0"/>
          <w:numId w:val="15"/>
        </w:numPr>
        <w:spacing w:after="210" w:line="360" w:lineRule="auto"/>
      </w:pPr>
      <w:bookmarkStart w:id="115" w:name="fn1"/>
      <w:bookmarkEnd w:id="115"/>
      <w:r>
        <w:fldChar w:fldCharType="begin"/>
      </w:r>
      <w:r>
        <w:instrText xml:space="preserve"> HYPERLINK "https://pmc.ncbi.nlm.nih.gov/articles/PMC6993940/" \h </w:instrText>
      </w:r>
      <w:r>
        <w:fldChar w:fldCharType="separate"/>
      </w:r>
      <w:r>
        <w:rPr>
          <w:rFonts w:ascii="inter" w:hAnsi="inter" w:eastAsia="inter" w:cs="inter"/>
          <w:color w:val="000000"/>
          <w:sz w:val="18"/>
          <w:u w:val="single"/>
        </w:rPr>
        <w:t>https://pmc.ncbi.nlm.nih.gov/articles/PMC6993940/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2F2AF76">
      <w:pPr>
        <w:numPr>
          <w:ilvl w:val="0"/>
          <w:numId w:val="15"/>
        </w:numPr>
        <w:spacing w:after="210" w:line="360" w:lineRule="auto"/>
      </w:pPr>
      <w:bookmarkStart w:id="116" w:name="fn2"/>
      <w:bookmarkEnd w:id="116"/>
      <w:r>
        <w:fldChar w:fldCharType="begin"/>
      </w:r>
      <w:r>
        <w:instrText xml:space="preserve"> HYPERLINK "https://pmc.ncbi.nlm.nih.gov/articles/PMC12220695/" \h </w:instrText>
      </w:r>
      <w:r>
        <w:fldChar w:fldCharType="separate"/>
      </w:r>
      <w:r>
        <w:rPr>
          <w:rFonts w:ascii="inter" w:hAnsi="inter" w:eastAsia="inter" w:cs="inter"/>
          <w:color w:val="000000"/>
          <w:sz w:val="18"/>
          <w:u w:val="single"/>
        </w:rPr>
        <w:t>https://pmc.ncbi.nlm.nih.gov/articles/PMC12220695/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20AEBD">
      <w:pPr>
        <w:numPr>
          <w:ilvl w:val="0"/>
          <w:numId w:val="15"/>
        </w:numPr>
        <w:spacing w:after="210" w:line="360" w:lineRule="auto"/>
      </w:pPr>
      <w:bookmarkStart w:id="117" w:name="fn3"/>
      <w:bookmarkEnd w:id="117"/>
      <w:r>
        <w:fldChar w:fldCharType="begin"/>
      </w:r>
      <w:r>
        <w:instrText xml:space="preserve"> HYPERLINK "https://onlinelibrary.wiley.com/doi/10.1111/imcb.12463" \h </w:instrText>
      </w:r>
      <w:r>
        <w:fldChar w:fldCharType="separate"/>
      </w:r>
      <w:r>
        <w:rPr>
          <w:rFonts w:ascii="inter" w:hAnsi="inter" w:eastAsia="inter" w:cs="inter"/>
          <w:color w:val="000000"/>
          <w:sz w:val="18"/>
          <w:u w:val="single"/>
        </w:rPr>
        <w:t>https://onlinelibrary.wiley.com/doi/10.1111/imcb.12463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2D9DF8">
      <w:pPr>
        <w:numPr>
          <w:ilvl w:val="0"/>
          <w:numId w:val="15"/>
        </w:numPr>
        <w:spacing w:after="210" w:line="360" w:lineRule="auto"/>
      </w:pPr>
      <w:bookmarkStart w:id="118" w:name="fn4"/>
      <w:bookmarkEnd w:id="118"/>
      <w:r>
        <w:fldChar w:fldCharType="begin"/>
      </w:r>
      <w:r>
        <w:instrText xml:space="preserve"> HYPERLINK "https://pubmed.ncbi.nlm.nih.gov/31355307/" \h </w:instrText>
      </w:r>
      <w:r>
        <w:fldChar w:fldCharType="separate"/>
      </w:r>
      <w:r>
        <w:rPr>
          <w:rFonts w:ascii="inter" w:hAnsi="inter" w:eastAsia="inter" w:cs="inter"/>
          <w:color w:val="000000"/>
          <w:sz w:val="18"/>
          <w:u w:val="single"/>
        </w:rPr>
        <w:t>https://pubmed.ncbi.nlm.nih.gov/31355307/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CDAD24">
      <w:pPr>
        <w:numPr>
          <w:ilvl w:val="0"/>
          <w:numId w:val="15"/>
        </w:numPr>
        <w:spacing w:after="210" w:line="360" w:lineRule="auto"/>
      </w:pPr>
      <w:bookmarkStart w:id="119" w:name="fn5"/>
      <w:bookmarkEnd w:id="119"/>
      <w:r>
        <w:fldChar w:fldCharType="begin"/>
      </w:r>
      <w:r>
        <w:instrText xml:space="preserve"> HYPERLINK "https://www.neurology.org/doi/10.1212/NXI.0000000000000571" \h </w:instrText>
      </w:r>
      <w:r>
        <w:fldChar w:fldCharType="separate"/>
      </w:r>
      <w:r>
        <w:rPr>
          <w:rFonts w:ascii="inter" w:hAnsi="inter" w:eastAsia="inter" w:cs="inter"/>
          <w:color w:val="000000"/>
          <w:sz w:val="18"/>
          <w:u w:val="single"/>
        </w:rPr>
        <w:t>https://www.neurology.org/doi/10.1212/NXI.0000000000000571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1E9B10">
      <w:pPr>
        <w:numPr>
          <w:ilvl w:val="0"/>
          <w:numId w:val="15"/>
        </w:numPr>
        <w:spacing w:after="210" w:line="360" w:lineRule="auto"/>
      </w:pPr>
      <w:bookmarkStart w:id="120" w:name="fn6"/>
      <w:bookmarkEnd w:id="120"/>
      <w:r>
        <w:fldChar w:fldCharType="begin"/>
      </w:r>
      <w:r>
        <w:instrText xml:space="preserve"> HYPERLINK "https://pmc.ncbi.nlm.nih.gov/articles/PMC12379155/" \h </w:instrText>
      </w:r>
      <w:r>
        <w:fldChar w:fldCharType="separate"/>
      </w:r>
      <w:r>
        <w:rPr>
          <w:rFonts w:ascii="inter" w:hAnsi="inter" w:eastAsia="inter" w:cs="inter"/>
          <w:color w:val="000000"/>
          <w:sz w:val="18"/>
          <w:u w:val="single"/>
        </w:rPr>
        <w:t>https://pmc.ncbi.nlm.nih.gov/articles/PMC12379155/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EE3B2F">
      <w:pPr>
        <w:numPr>
          <w:ilvl w:val="0"/>
          <w:numId w:val="15"/>
        </w:numPr>
        <w:spacing w:after="210" w:line="360" w:lineRule="auto"/>
      </w:pPr>
      <w:bookmarkStart w:id="121" w:name="fn7"/>
      <w:bookmarkEnd w:id="121"/>
      <w:r>
        <w:fldChar w:fldCharType="begin"/>
      </w:r>
      <w:r>
        <w:instrText xml:space="preserve"> HYPERLINK "https://www.ahajournals.org/doi/10.1161/strokeaha.113.002470" \h </w:instrText>
      </w:r>
      <w:r>
        <w:fldChar w:fldCharType="separate"/>
      </w:r>
      <w:r>
        <w:rPr>
          <w:rFonts w:ascii="inter" w:hAnsi="inter" w:eastAsia="inter" w:cs="inter"/>
          <w:color w:val="000000"/>
          <w:sz w:val="18"/>
          <w:u w:val="single"/>
        </w:rPr>
        <w:t>https://www.ahajournals.org/doi/10.1161/strokeaha.113.002470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1B888C">
      <w:pPr>
        <w:numPr>
          <w:ilvl w:val="0"/>
          <w:numId w:val="15"/>
        </w:numPr>
        <w:spacing w:after="210" w:line="360" w:lineRule="auto"/>
      </w:pPr>
      <w:bookmarkStart w:id="122" w:name="fn8"/>
      <w:bookmarkEnd w:id="122"/>
      <w:r>
        <w:fldChar w:fldCharType="begin"/>
      </w:r>
      <w:r>
        <w:instrText xml:space="preserve"> HYPERLINK "https://pmc.ncbi.nlm.nih.gov/articles/PMC9634819/" \h </w:instrText>
      </w:r>
      <w:r>
        <w:fldChar w:fldCharType="separate"/>
      </w:r>
      <w:r>
        <w:rPr>
          <w:rFonts w:ascii="inter" w:hAnsi="inter" w:eastAsia="inter" w:cs="inter"/>
          <w:color w:val="000000"/>
          <w:sz w:val="18"/>
          <w:u w:val="single"/>
        </w:rPr>
        <w:t>https://pmc.ncbi.nlm.nih.gov/articles/PMC9634819/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5D6263">
      <w:pPr>
        <w:numPr>
          <w:ilvl w:val="0"/>
          <w:numId w:val="15"/>
        </w:numPr>
        <w:spacing w:after="210" w:line="360" w:lineRule="auto"/>
      </w:pPr>
      <w:bookmarkStart w:id="123" w:name="fn9"/>
      <w:bookmarkEnd w:id="123"/>
      <w:r>
        <w:fldChar w:fldCharType="begin"/>
      </w:r>
      <w:r>
        <w:instrText xml:space="preserve"> HYPERLINK "https://www.nature.com/articles/s41392-024-02049-y" \h </w:instrText>
      </w:r>
      <w:r>
        <w:fldChar w:fldCharType="separate"/>
      </w:r>
      <w:r>
        <w:rPr>
          <w:rFonts w:ascii="inter" w:hAnsi="inter" w:eastAsia="inter" w:cs="inter"/>
          <w:color w:val="000000"/>
          <w:sz w:val="18"/>
          <w:u w:val="single"/>
        </w:rPr>
        <w:t>https://www.nature.com/articles/s41392-024-02049-y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B07912">
      <w:pPr>
        <w:numPr>
          <w:ilvl w:val="0"/>
          <w:numId w:val="15"/>
        </w:numPr>
        <w:spacing w:after="210" w:line="360" w:lineRule="auto"/>
      </w:pPr>
      <w:bookmarkStart w:id="124" w:name="fn10"/>
      <w:bookmarkEnd w:id="124"/>
      <w:r>
        <w:fldChar w:fldCharType="begin"/>
      </w:r>
      <w:r>
        <w:instrText xml:space="preserve"> HYPERLINK "https://www.dovepress.com/microglia-in-ischemic-stroke-pathogenesis-insights-and-therapeutic-cha-peer-reviewed-fulltext-article-JIR" \h </w:instrText>
      </w:r>
      <w:r>
        <w:fldChar w:fldCharType="separate"/>
      </w:r>
      <w:r>
        <w:rPr>
          <w:rFonts w:ascii="inter" w:hAnsi="inter" w:eastAsia="inter" w:cs="inter"/>
          <w:color w:val="000000"/>
          <w:sz w:val="18"/>
          <w:u w:val="single"/>
        </w:rPr>
        <w:t>https://www.dovepress.com/microglia-in-ischemic-stroke-pathogenesis-insights-and-therapeutic-cha-peer-reviewed-fulltext-article-JIR</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
    <w:nsid w:val="B5E306ED"/>
    <w:multiLevelType w:val="multilevel"/>
    <w:tmpl w:val="B5E306ED"/>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
    <w:nsid w:val="BF205925"/>
    <w:multiLevelType w:val="multilevel"/>
    <w:tmpl w:val="BF205925"/>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3">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4">
    <w:nsid w:val="CF092B84"/>
    <w:multiLevelType w:val="multilevel"/>
    <w:tmpl w:val="CF092B84"/>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5">
    <w:nsid w:val="F4B5D9F5"/>
    <w:multiLevelType w:val="singleLevel"/>
    <w:tmpl w:val="F4B5D9F5"/>
    <w:lvl w:ilvl="0" w:tentative="0">
      <w:start w:val="1"/>
      <w:numFmt w:val="decimal"/>
      <w:lvlText w:val="%1."/>
      <w:lvlJc w:val="left"/>
      <w:pPr>
        <w:tabs>
          <w:tab w:val="left" w:pos="900"/>
        </w:tabs>
        <w:ind w:left="540" w:hanging="360"/>
      </w:pPr>
    </w:lvl>
  </w:abstractNum>
  <w:abstractNum w:abstractNumId="6">
    <w:nsid w:val="0053208E"/>
    <w:multiLevelType w:val="multilevel"/>
    <w:tmpl w:val="0053208E"/>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7">
    <w:nsid w:val="0248C179"/>
    <w:multiLevelType w:val="multilevel"/>
    <w:tmpl w:val="0248C179"/>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8">
    <w:nsid w:val="03D62ECE"/>
    <w:multiLevelType w:val="multilevel"/>
    <w:tmpl w:val="03D62ECE"/>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9">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0">
    <w:nsid w:val="2A8F537B"/>
    <w:multiLevelType w:val="multilevel"/>
    <w:tmpl w:val="2A8F537B"/>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1">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12">
    <w:nsid w:val="59ADCABA"/>
    <w:multiLevelType w:val="multilevel"/>
    <w:tmpl w:val="59ADCABA"/>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3">
    <w:nsid w:val="5A241D34"/>
    <w:multiLevelType w:val="singleLevel"/>
    <w:tmpl w:val="5A241D34"/>
    <w:lvl w:ilvl="0" w:tentative="0">
      <w:start w:val="1"/>
      <w:numFmt w:val="decimal"/>
      <w:lvlText w:val="%1."/>
      <w:lvlJc w:val="left"/>
      <w:pPr>
        <w:tabs>
          <w:tab w:val="left" w:pos="900"/>
        </w:tabs>
        <w:ind w:left="540" w:hanging="360"/>
      </w:pPr>
    </w:lvl>
  </w:abstractNum>
  <w:abstractNum w:abstractNumId="14">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6"/>
  </w:num>
  <w:num w:numId="2">
    <w:abstractNumId w:val="4"/>
  </w:num>
  <w:num w:numId="3">
    <w:abstractNumId w:val="12"/>
  </w:num>
  <w:num w:numId="4">
    <w:abstractNumId w:val="2"/>
  </w:num>
  <w:num w:numId="5">
    <w:abstractNumId w:val="1"/>
  </w:num>
  <w:num w:numId="6">
    <w:abstractNumId w:val="8"/>
  </w:num>
  <w:num w:numId="7">
    <w:abstractNumId w:val="9"/>
  </w:num>
  <w:num w:numId="8">
    <w:abstractNumId w:val="14"/>
  </w:num>
  <w:num w:numId="9">
    <w:abstractNumId w:val="7"/>
  </w:num>
  <w:num w:numId="10">
    <w:abstractNumId w:val="0"/>
  </w:num>
  <w:num w:numId="11">
    <w:abstractNumId w:val="10"/>
  </w:num>
  <w:num w:numId="12">
    <w:abstractNumId w:val="13"/>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A9C0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4012</Words>
  <Characters>4618</Characters>
  <TotalTime>0</TotalTime>
  <ScaleCrop>false</ScaleCrop>
  <LinksUpToDate>false</LinksUpToDate>
  <CharactersWithSpaces>4624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2025-12-17T15:50:00Z</dcterms:created>
  <dc:creator>html-to-docx</dc:creator>
  <cp:keywords>html-to-docx</cp:keywords>
  <cp:lastModifiedBy>dyx</cp:lastModifiedBy>
  <dcterms:modified xsi:type="dcterms:W3CDTF">2026-01-04T17:20:14Z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021C04F743AF46489832135925902B97_12</vt:lpwstr>
  </property>
</Properties>
</file>