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2C59D">
      <w:pPr>
        <w:spacing w:before="157" w:after="157" w:line="270" w:lineRule="auto"/>
        <w:jc w:val="left"/>
      </w:pPr>
      <w:bookmarkStart w:id="0" w:name="中性粒细胞在脑缺血中的作用_从分子机制到临床转化的系统综述"/>
      <w:r>
        <w:rPr>
          <w:rFonts w:ascii="inter" w:hAnsi="inter" w:eastAsia="inter" w:cs="inter"/>
          <w:b/>
          <w:color w:val="000000"/>
          <w:sz w:val="39"/>
        </w:rPr>
        <w:t>中性粒细胞在脑缺血中的作用：从分子机制到临床转化的系统综述</w:t>
      </w:r>
      <w:bookmarkEnd w:id="0"/>
    </w:p>
    <w:p w14:paraId="1AC372E9">
      <w:pPr>
        <w:spacing w:before="315" w:after="105" w:line="360" w:lineRule="auto"/>
        <w:ind w:left="-30"/>
        <w:jc w:val="left"/>
      </w:pPr>
      <w:bookmarkStart w:id="1" w:name="执行摘要"/>
      <w:r>
        <w:rPr>
          <w:rFonts w:ascii="inter" w:hAnsi="inter" w:eastAsia="inter" w:cs="inter"/>
          <w:b/>
          <w:color w:val="000000"/>
          <w:sz w:val="24"/>
        </w:rPr>
        <w:t>执行摘要</w:t>
      </w:r>
      <w:bookmarkEnd w:id="1"/>
    </w:p>
    <w:p w14:paraId="25C5440F">
      <w:pPr>
        <w:spacing w:after="210" w:line="360" w:lineRule="auto"/>
      </w:pPr>
      <w:r>
        <w:rPr>
          <w:rFonts w:ascii="inter" w:hAnsi="inter" w:eastAsia="inter" w:cs="inter"/>
          <w:color w:val="000000"/>
        </w:rPr>
        <w:t>中性粒细胞作为脑缺血早期浸润的主导免疫细胞，在缺血-再灌注损伤病理过程中发挥复杂的双重角色。近15年来的研究强烈表明，虽然中性粒细胞在急性期主要通过释放蛋白酶、活性氧（ROS）和细胞外陷阱（NETs）加重脑组织损伤，但在恢复期（特别是N2表型中性粒细胞）可参与组织修复、促进血管新生和清除凋亡细胞。本综述基于超过80篇同行评审文献，系统阐述中性粒细胞浸润的分子驱动力、功能亚群的异质性、与局部免疫细胞的交互作用、关键临床生物标志物，以及新兴治疗策略，为脑缺血后靶向中性粒细胞的精准医学方法奠定基础。</w:t>
      </w:r>
      <w:bookmarkStart w:id="2" w:name="fnref1"/>
      <w:bookmarkEnd w:id="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 w:name="fnref2"/>
      <w:bookmarkEnd w:id="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4" w:name="fnref3"/>
      <w:bookmarkEnd w:id="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08A2C23">
      <w:pPr>
        <w:spacing w:before="315" w:after="105" w:line="360" w:lineRule="auto"/>
        <w:ind w:left="-30"/>
        <w:jc w:val="left"/>
      </w:pPr>
      <w:bookmarkStart w:id="5" w:name="一_引言_中性粒细胞在脑缺血中的病理生物学意义"/>
      <w:r>
        <w:rPr>
          <w:rFonts w:ascii="inter" w:hAnsi="inter" w:eastAsia="inter" w:cs="inter"/>
          <w:b/>
          <w:color w:val="000000"/>
          <w:sz w:val="24"/>
        </w:rPr>
        <w:t>一、引言：中性粒细胞在脑缺血中的病理生物学意义</w:t>
      </w:r>
      <w:bookmarkEnd w:id="5"/>
    </w:p>
    <w:p w14:paraId="6A0B91CE">
      <w:pPr>
        <w:spacing w:after="210" w:line="360" w:lineRule="auto"/>
      </w:pPr>
      <w:r>
        <w:rPr>
          <w:rFonts w:ascii="inter" w:hAnsi="inter" w:eastAsia="inter" w:cs="inter"/>
          <w:color w:val="000000"/>
        </w:rPr>
        <w:t>缺血性脑卒中作为全球主要致残和致死原因，其病理生理过程涉及复杂的缺血级联反应、能量代谢障碍、细胞死亡和随后的神经炎症。与心肌缺血-再灌注损伤的情况相似，脑缺血引发</w:t>
      </w:r>
      <w:bookmarkStart w:id="267" w:name="_GoBack"/>
      <w:bookmarkEnd w:id="267"/>
      <w:r>
        <w:rPr>
          <w:rFonts w:ascii="inter" w:hAnsi="inter" w:eastAsia="inter" w:cs="inter"/>
          <w:color w:val="000000"/>
        </w:rPr>
        <w:t>一系列协调的免疫反应，中性粒细胞因其快速反应能力和高度的效应分子库而成为初期浸润的关键玩家。研究表明，脑卒中后数小时内循环中性粒细胞数量迅速升高，这一升高与卒中严重程度、梗死体积和功能预后呈显著相关。</w:t>
      </w:r>
      <w:bookmarkStart w:id="6" w:name="fnref1_1"/>
      <w:bookmarkEnd w:id="6"/>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7" w:name="fnref4"/>
      <w:bookmarkEnd w:id="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05EDA634">
      <w:pPr>
        <w:spacing w:after="210" w:line="360" w:lineRule="auto"/>
      </w:pPr>
      <w:r>
        <w:rPr>
          <w:rFonts w:ascii="inter" w:hAnsi="inter" w:eastAsia="inter" w:cs="inter"/>
          <w:color w:val="000000"/>
        </w:rPr>
        <w:t>中性粒细胞-淋巴细胞比值（NLR）作为系统炎症状态的指标，已被证实为急性缺血性卒中（AIS）预后的独立预测因子。然而，传统观点倾向于将中性粒细胞视为单纯的有害细胞，这一认知在近年来受到了严峻的挑战。越来越多的证据表明，中性粒细胞的功能并非二元的，而是呈现高度的可塑性和上下文依赖性，其对脑缺血结局的影响取决于表型转变、时间窗口和与其他免疫细胞（尤其是小胶质细胞）的动态互作。</w:t>
      </w:r>
      <w:bookmarkStart w:id="8" w:name="fnref5"/>
      <w:bookmarkEnd w:id="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9" w:name="fnref2_1"/>
      <w:bookmarkEnd w:id="9"/>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10" w:name="fnref6"/>
      <w:bookmarkEnd w:id="1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1" w:name="fnref7"/>
      <w:bookmarkEnd w:id="11"/>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2" w:name="fnref8"/>
      <w:bookmarkEnd w:id="12"/>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3" w:name="fnref9"/>
      <w:bookmarkEnd w:id="13"/>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12DB5FEC">
      <w:pPr>
        <w:spacing w:before="315" w:after="105" w:line="360" w:lineRule="auto"/>
        <w:ind w:left="-30"/>
        <w:jc w:val="left"/>
      </w:pPr>
      <w:bookmarkStart w:id="14" w:name="二_中性粒细胞浸润的时间动力学与分子机制"/>
      <w:r>
        <w:rPr>
          <w:rFonts w:ascii="inter" w:hAnsi="inter" w:eastAsia="inter" w:cs="inter"/>
          <w:b/>
          <w:color w:val="000000"/>
          <w:sz w:val="24"/>
        </w:rPr>
        <w:t>二、中性粒细胞浸润的时间动力学与分子机制</w:t>
      </w:r>
      <w:bookmarkEnd w:id="14"/>
    </w:p>
    <w:p w14:paraId="1D0EFC40"/>
    <w:p w14:paraId="6A827991">
      <w:pPr>
        <w:spacing w:after="210" w:line="360" w:lineRule="auto"/>
      </w:pPr>
      <w:r>
        <w:rPr>
          <w:rFonts w:ascii="inter" w:hAnsi="inter" w:eastAsia="inter" w:cs="inter"/>
          <w:color w:val="000000"/>
        </w:rPr>
        <w:t>Temporal dynamics of neutrophil responses and molecular events in acute ischemic stroke. The timeline illustrates coordinated waves of neutrophil recruitment, activation, effector functions, and the emergence of distinct disease phases.</w:t>
      </w:r>
    </w:p>
    <w:p w14:paraId="018DB17C">
      <w:pPr>
        <w:spacing w:before="315" w:after="105" w:line="360" w:lineRule="auto"/>
        <w:ind w:left="-30"/>
        <w:jc w:val="left"/>
      </w:pPr>
      <w:bookmarkStart w:id="15" w:name="bm_2_1_急性浸润期的粘附分子级联"/>
      <w:r>
        <w:rPr>
          <w:rFonts w:ascii="inter" w:hAnsi="inter" w:eastAsia="inter" w:cs="inter"/>
          <w:b/>
          <w:color w:val="000000"/>
          <w:sz w:val="24"/>
        </w:rPr>
        <w:t>2.1 急性浸润期的粘附分子级联</w:t>
      </w:r>
      <w:bookmarkEnd w:id="15"/>
    </w:p>
    <w:p w14:paraId="57DB2FDC">
      <w:pPr>
        <w:spacing w:after="210" w:line="360" w:lineRule="auto"/>
      </w:pPr>
      <w:r>
        <w:rPr>
          <w:rFonts w:ascii="inter" w:hAnsi="inter" w:eastAsia="inter" w:cs="inter"/>
          <w:color w:val="000000"/>
        </w:rPr>
        <w:t>脑缺血发生后，缺血脑组织中迅速产生的促炎细胞因子（TNF-α、IL-1β、IL-6）和细胞因子诱导血脑屏障内皮细胞表面粘附分子的表达。研究报告显示，在卒中后仅15分钟内，中性粒细胞表面已开始上调P-选择素糖蛋白配体-1（PSGL-1）、巨噬细胞-1抗原（MAC-1/CD11b-CD18）、淋巴细胞功能相关抗原-1（LFA-1）和CD44等粘附分子。这些分子的协同作用促进中性粒细胞与激活的内皮细胞的高度特异性结合。</w:t>
      </w:r>
      <w:bookmarkStart w:id="16" w:name="fnref1_2"/>
      <w:bookmarkEnd w:id="16"/>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17" w:name="fnref10"/>
      <w:bookmarkEnd w:id="17"/>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31315C57">
      <w:pPr>
        <w:spacing w:after="210" w:line="360" w:lineRule="auto"/>
      </w:pPr>
      <w:r>
        <w:rPr>
          <w:rFonts w:ascii="inter" w:hAnsi="inter" w:eastAsia="inter" w:cs="inter"/>
          <w:color w:val="000000"/>
        </w:rPr>
        <w:t>2小时后，中性粒细胞开始在脑皮质血管内"滚动"和粘附，这一过程通过选择素-配体相互作用中的"滚动"阶段和整合素-细胞外基质相互作用中的"坚实粘附"阶段共同完成。6至8小时时，中性粒细胞已开始聚集于脑血管周围并启动穿越血脑屏障的跨内皮迁移过程。值得注意的是，24至48小时是中性粒细胞脑内浸润的高峰期，此时中性粒细胞密集分布于脑实质，特别是在缺血核心周围及半影区。</w:t>
      </w:r>
      <w:bookmarkStart w:id="18" w:name="fnref1_3"/>
      <w:bookmarkEnd w:id="18"/>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580DFF62">
      <w:pPr>
        <w:spacing w:before="315" w:after="105" w:line="360" w:lineRule="auto"/>
        <w:ind w:left="-30"/>
        <w:jc w:val="left"/>
      </w:pPr>
      <w:bookmarkStart w:id="19" w:name="bm_2_2_化学因子驱动的募集与骨髓动员"/>
      <w:r>
        <w:rPr>
          <w:rFonts w:ascii="inter" w:hAnsi="inter" w:eastAsia="inter" w:cs="inter"/>
          <w:b/>
          <w:color w:val="000000"/>
          <w:sz w:val="24"/>
        </w:rPr>
        <w:t>2.2 化学因子驱动的募集与骨髓动员</w:t>
      </w:r>
      <w:bookmarkEnd w:id="19"/>
    </w:p>
    <w:p w14:paraId="225268A0">
      <w:pPr>
        <w:spacing w:after="210" w:line="360" w:lineRule="auto"/>
      </w:pPr>
      <w:r>
        <w:rPr>
          <w:rFonts w:ascii="inter" w:hAnsi="inter" w:eastAsia="inter" w:cs="inter"/>
          <w:color w:val="000000"/>
        </w:rPr>
        <w:t>中性粒细胞的招募主要由CXCL1/CXCR2轴驱动。脑卒中后，缺血脑组织和激活的血管内皮细胞产生CXCL1（也称为细胞因子诱导中性粒细胞趋化因子-1，CINC-1）、CXCL2和CXCL5等CXC趋化因子。这些分子与中性粒细胞表面的CXCR2受体结合，建立浓度梯度，引导中性粒细胞从血管腔内定向迁移。</w:t>
      </w:r>
      <w:bookmarkStart w:id="20" w:name="fnref3_1"/>
      <w:bookmarkEnd w:id="20"/>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21" w:name="fnref11"/>
      <w:bookmarkEnd w:id="21"/>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50FD3290">
      <w:pPr>
        <w:spacing w:after="210" w:line="360" w:lineRule="auto"/>
      </w:pPr>
      <w:r>
        <w:rPr>
          <w:rFonts w:ascii="inter" w:hAnsi="inter" w:eastAsia="inter" w:cs="inter"/>
          <w:color w:val="000000"/>
        </w:rPr>
        <w:t>研究表明，脑缺血早期（4小时）CXCR2阳性粒细胞从骨髓的释放与全身CXCL1和粒细胞集落刺激因子（G-CSF，关键的骨髓白细胞动员细胞因子）的快速上调密切相关。这种全身性反应不仅导致循环中性粒细胞数量增加，而且改变了释放的中性粒细胞的激活状态。老龄小鼠研究表明，年龄会显著增加脑卒中后的IL-6浓度，这一细胞因子与"炎症衰老"（inflammaging）相关，可进一步促进中性粒细胞的异常启动。</w:t>
      </w:r>
      <w:bookmarkStart w:id="22" w:name="fnref12"/>
      <w:bookmarkEnd w:id="22"/>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23" w:name="fnref3_2"/>
      <w:bookmarkEnd w:id="23"/>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7F5D6429">
      <w:pPr>
        <w:spacing w:before="315" w:after="105" w:line="360" w:lineRule="auto"/>
        <w:ind w:left="-30"/>
        <w:jc w:val="left"/>
      </w:pPr>
      <w:bookmarkStart w:id="24" w:name="三_中性粒细胞亚群的异质性与功能分化"/>
      <w:r>
        <w:rPr>
          <w:rFonts w:ascii="inter" w:hAnsi="inter" w:eastAsia="inter" w:cs="inter"/>
          <w:b/>
          <w:color w:val="000000"/>
          <w:sz w:val="24"/>
        </w:rPr>
        <w:t>三、中性粒细胞亚群的异质性与功能分化</w:t>
      </w:r>
      <w:bookmarkEnd w:id="24"/>
    </w:p>
    <w:p w14:paraId="6D0FA039">
      <w:pPr>
        <w:spacing w:after="0" w:line="360" w:lineRule="auto"/>
        <w:jc w:val="center"/>
      </w:pPr>
      <w:r>
        <w:rPr>
          <w:rFonts w:ascii="inter" w:hAnsi="inter" w:eastAsia="inter" w:cs="inter"/>
          <w:color w:val="000000"/>
        </w:rPr>
        <w:drawing>
          <wp:inline distT="0" distB="0" distL="0" distR="0">
            <wp:extent cx="952500" cy="952500"/>
            <wp:effectExtent l="0" t="0" r="0" b="0"/>
            <wp:docPr id="2" name="image-not-found.png" descr="Neutrophil phenotypic heterogeneity in ischemic stroke. Distinct subsets exhibit differential spatiotemporal expression, functional capabilities, and clinical associations throughout the stroke-recovery continuum."/>
            <wp:cNvGraphicFramePr/>
            <a:graphic xmlns:a="http://schemas.openxmlformats.org/drawingml/2006/main">
              <a:graphicData uri="http://schemas.openxmlformats.org/drawingml/2006/picture">
                <pic:pic xmlns:pic="http://schemas.openxmlformats.org/drawingml/2006/picture">
                  <pic:nvPicPr>
                    <pic:cNvPr id="2" name="image-not-found.png" descr="Neutrophil phenotypic heterogeneity in ischemic stroke. Distinct subsets exhibit differential spatiotemporal expression, functional capabilities, and clinical associations throughout the stroke-recovery continuum."/>
                    <pic:cNvPicPr/>
                  </pic:nvPicPr>
                  <pic:blipFill>
                    <a:blip r:embed="rId6" cstate="print"/>
                    <a:srcRect/>
                    <a:stretch>
                      <a:fillRect/>
                    </a:stretch>
                  </pic:blipFill>
                  <pic:spPr>
                    <a:xfrm>
                      <a:off x="0" y="0"/>
                      <a:ext cx="952500" cy="952500"/>
                    </a:xfrm>
                    <a:prstGeom prst="rect">
                      <a:avLst/>
                    </a:prstGeom>
                  </pic:spPr>
                </pic:pic>
              </a:graphicData>
            </a:graphic>
          </wp:inline>
        </w:drawing>
      </w:r>
    </w:p>
    <w:p w14:paraId="6901505B">
      <w:pPr>
        <w:spacing w:after="210" w:line="360" w:lineRule="auto"/>
      </w:pPr>
      <w:r>
        <w:rPr>
          <w:rFonts w:ascii="inter" w:hAnsi="inter" w:eastAsia="inter" w:cs="inter"/>
          <w:color w:val="000000"/>
        </w:rPr>
        <w:t>Neutrophil phenotypic heterogeneity in ischemic stroke. Distinct subsets exhibit differential spatiotemporal expression, functional capabilities, and clinical associations throughout the stroke-recovery continuum.</w:t>
      </w:r>
    </w:p>
    <w:p w14:paraId="222CBCFD">
      <w:pPr>
        <w:spacing w:after="210" w:line="360" w:lineRule="auto"/>
      </w:pPr>
      <w:r>
        <w:rPr>
          <w:rFonts w:ascii="inter" w:hAnsi="inter" w:eastAsia="inter" w:cs="inter"/>
          <w:color w:val="000000"/>
        </w:rPr>
        <w:t>脑缺血后中性粒细胞群体的功能并非同质的。近年来的研究使用单细胞转录组学、流式细胞术和功能分析识别了至少五种不同的中性粒细胞亚群，每种亚群具有不同的表型标志、激活状态和病理生物学作用。</w:t>
      </w:r>
      <w:bookmarkStart w:id="25" w:name="fnref13"/>
      <w:bookmarkEnd w:id="25"/>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26" w:name="fnref2_2"/>
      <w:bookmarkEnd w:id="26"/>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27" w:name="fnref14"/>
      <w:bookmarkEnd w:id="27"/>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63BC6CD7">
      <w:pPr>
        <w:spacing w:before="315" w:after="105" w:line="360" w:lineRule="auto"/>
        <w:ind w:left="-30"/>
        <w:jc w:val="left"/>
      </w:pPr>
      <w:bookmarkStart w:id="28" w:name="bm_3_1_促炎型中性粒细胞_n1表型"/>
      <w:r>
        <w:rPr>
          <w:rFonts w:ascii="inter" w:hAnsi="inter" w:eastAsia="inter" w:cs="inter"/>
          <w:b/>
          <w:color w:val="000000"/>
          <w:sz w:val="24"/>
        </w:rPr>
        <w:t>3.1 促炎型中性粒细胞（N1表型）</w:t>
      </w:r>
      <w:bookmarkEnd w:id="28"/>
    </w:p>
    <w:p w14:paraId="52CCF636">
      <w:pPr>
        <w:spacing w:after="210" w:line="360" w:lineRule="auto"/>
      </w:pPr>
      <w:r>
        <w:rPr>
          <w:rFonts w:ascii="inter" w:hAnsi="inter" w:eastAsia="inter" w:cs="inter"/>
          <w:color w:val="000000"/>
        </w:rPr>
        <w:t>N1中性粒细胞，特征为CD11b高表达和CD62L（L-选择素）低表达，在卒中急性期占优势。这些细胞处于高度激活状态，释放大量促炎细胞因子（IL-1β、TNF-α、IL-8）、蛋白酶（MMP-9、中性粒细胞弹性蛋白酶、组织蛋白酶G）和ROS（特别是通过NADPH氧化酶2和髓过氧化物酶的产生）。</w:t>
      </w:r>
      <w:bookmarkStart w:id="29" w:name="fnref2_3"/>
      <w:bookmarkEnd w:id="29"/>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03F8D4B0">
      <w:pPr>
        <w:spacing w:after="210" w:line="360" w:lineRule="auto"/>
      </w:pPr>
      <w:r>
        <w:rPr>
          <w:rFonts w:ascii="inter" w:hAnsi="inter" w:eastAsia="inter" w:cs="inter"/>
          <w:color w:val="000000"/>
        </w:rPr>
        <w:t>在小鼠卒中模型中，与老年动物相比，年轻动物的N1中性粒细胞亚群相对较小，而老年动物表现出促炎表型的高度扩增和更强的ROS产生能力。有临床证据表明，急性卒中患者的循环中性粒细胞处于持续的基础超激活状态，表现为L-选择素表达降低、β2整合素（CD11b）表达升高、中性粒细胞弹性蛋白酶循环水平升高，以及氧自由基产生增加。</w:t>
      </w:r>
      <w:bookmarkStart w:id="30" w:name="fnref14_1"/>
      <w:bookmarkEnd w:id="30"/>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31" w:name="fnref12_1"/>
      <w:bookmarkEnd w:id="31"/>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24AD0006">
      <w:pPr>
        <w:spacing w:before="315" w:after="105" w:line="360" w:lineRule="auto"/>
        <w:ind w:left="-30"/>
        <w:jc w:val="left"/>
      </w:pPr>
      <w:bookmarkStart w:id="32" w:name="bm_3_2_抗炎修复型中性粒细胞_n2表型"/>
      <w:r>
        <w:rPr>
          <w:rFonts w:ascii="inter" w:hAnsi="inter" w:eastAsia="inter" w:cs="inter"/>
          <w:b/>
          <w:color w:val="000000"/>
          <w:sz w:val="24"/>
        </w:rPr>
        <w:t>3.2 抗炎修复型中性粒细胞（N2表型）</w:t>
      </w:r>
      <w:bookmarkEnd w:id="32"/>
    </w:p>
    <w:p w14:paraId="2DDAFF91">
      <w:pPr>
        <w:spacing w:after="210" w:line="360" w:lineRule="auto"/>
      </w:pPr>
      <w:r>
        <w:rPr>
          <w:rFonts w:ascii="inter" w:hAnsi="inter" w:eastAsia="inter" w:cs="inter"/>
          <w:color w:val="000000"/>
        </w:rPr>
        <w:t>与癌症、感染和组织修复相关研究平行，脑缺血恢复期出现的N2表型中性粒细胞表现出截然不同的表型和功能。这些细胞表达CD206（甘露糖受体）等标志物，产生高水平的抗炎细胞因子（IL-10）和神经营养因子（如胰岛素样生长因子-1，IGF-1）。</w:t>
      </w:r>
    </w:p>
    <w:p w14:paraId="244A742C">
      <w:pPr>
        <w:spacing w:after="210" w:line="360" w:lineRule="auto"/>
      </w:pPr>
      <w:r>
        <w:rPr>
          <w:rFonts w:ascii="inter" w:hAnsi="inter" w:eastAsia="inter" w:cs="inter"/>
          <w:color w:val="000000"/>
        </w:rPr>
        <w:t>关键研究报告表明，N2表型中性粒细胞通过两种主要机制促进中风后的恢复：首先，它们通过浮游作用被吞噬细胞（特别是巨噬细胞）清除，促进坏死神经元的清理和缓解局部炎症；其次，它们直接分泌血管生成相关因子（VEGF）、血管渗透性因子和细胞外基质重塑因子，促进血管新生和组织修复。体外实验表明，N2表型中性粒细胞培养的条件培养基对缺血伤害的大鼠皮层神经元的毒性明显低于N1或N0中性粒细胞的条件培养基。</w:t>
      </w:r>
      <w:bookmarkStart w:id="33" w:name="fnref2_4"/>
      <w:bookmarkEnd w:id="3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34" w:name="fnref7_1"/>
      <w:bookmarkEnd w:id="34"/>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02DF15DB">
      <w:pPr>
        <w:spacing w:before="315" w:after="105" w:line="360" w:lineRule="auto"/>
        <w:ind w:left="-30"/>
        <w:jc w:val="left"/>
      </w:pPr>
      <w:bookmarkStart w:id="35" w:name="bm_3_3_衰老型与免疫抑制型亚群"/>
      <w:r>
        <w:rPr>
          <w:rFonts w:ascii="inter" w:hAnsi="inter" w:eastAsia="inter" w:cs="inter"/>
          <w:b/>
          <w:color w:val="000000"/>
          <w:sz w:val="24"/>
        </w:rPr>
        <w:t>3.3 衰老型与免疫抑制型亚群</w:t>
      </w:r>
      <w:bookmarkEnd w:id="35"/>
    </w:p>
    <w:p w14:paraId="61D87739">
      <w:pPr>
        <w:spacing w:after="210" w:line="360" w:lineRule="auto"/>
      </w:pPr>
      <w:r>
        <w:rPr>
          <w:rFonts w:ascii="inter" w:hAnsi="inter" w:eastAsia="inter" w:cs="inter"/>
          <w:color w:val="000000"/>
        </w:rPr>
        <w:t>最近的人类研究识别了两个高度相关但功能不同的有害亚群。衰老型中性粒细胞（定义为CXCR4高表达、CD62L低表达的表型）呈现过度活化状态，与卒中严重程度（按NIHSS评分）和向不良功能结局的转变相关。相比之下，免疫抑制型亚群（CD16亮、CD62L暗）虽然数量增加，但释放促炎介质的能力降低，可能代表一种平衡机制。</w:t>
      </w:r>
      <w:bookmarkStart w:id="36" w:name="fnref14_2"/>
      <w:bookmarkEnd w:id="36"/>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24CA696E">
      <w:pPr>
        <w:spacing w:after="210" w:line="360" w:lineRule="auto"/>
      </w:pPr>
      <w:r>
        <w:rPr>
          <w:rFonts w:ascii="inter" w:hAnsi="inter" w:eastAsia="inter" w:cs="inter"/>
          <w:color w:val="000000"/>
        </w:rPr>
        <w:t>逆向跨内皮迁移（rTEM）表型中性粒细胞（CD54高、CXCR1低）的发现表明了中性粒细胞可以从脑实质返回循环的过程，这对理解中性粒细胞在卒中不同时期的动态行为至关重要。在老龄小鼠中，骨髓中性粒细胞比例升高，血液中CXCR4表达降低，这意味着老龄中性粒细胞的骨髓返回受损，导致它们在组织中的积累延长。</w:t>
      </w:r>
      <w:bookmarkStart w:id="37" w:name="fnref12_2"/>
      <w:bookmarkEnd w:id="37"/>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38" w:name="fnref14_3"/>
      <w:bookmarkEnd w:id="38"/>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75A4EB99">
      <w:pPr>
        <w:spacing w:before="315" w:after="105" w:line="360" w:lineRule="auto"/>
        <w:ind w:left="-30"/>
        <w:jc w:val="left"/>
      </w:pPr>
      <w:bookmarkStart w:id="39" w:name="四_中性粒细胞外陷阱_nets_的形成与病理作用"/>
      <w:r>
        <w:rPr>
          <w:rFonts w:ascii="inter" w:hAnsi="inter" w:eastAsia="inter" w:cs="inter"/>
          <w:b/>
          <w:color w:val="000000"/>
          <w:sz w:val="24"/>
        </w:rPr>
        <w:t>四、中性粒细胞外陷阱（NETs）的形成与病理作用</w:t>
      </w:r>
      <w:bookmarkEnd w:id="39"/>
    </w:p>
    <w:p w14:paraId="3F61E5DE">
      <w:pPr>
        <w:spacing w:after="210" w:line="360" w:lineRule="auto"/>
      </w:pPr>
      <w:r>
        <w:rPr>
          <w:rFonts w:ascii="inter" w:hAnsi="inter" w:eastAsia="inter" w:cs="inter"/>
          <w:color w:val="000000"/>
        </w:rPr>
        <w:t>中性粒细胞外陷阱（Neutrophil Extracellular Traps, NETs）是2004年首次描述的一种新型中性粒细胞死亡方式，涉及核和颗粒内容物（主要是双链DNA和颗粒蛋白）的释放，形成蜘蛛网状结构。在脑缺血背景下，NET形成已被证明在急性期和恢复期的多种病理过程中发挥关键作用。</w:t>
      </w:r>
      <w:bookmarkStart w:id="40" w:name="fnref15"/>
      <w:bookmarkEnd w:id="40"/>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41" w:name="fnref16"/>
      <w:bookmarkEnd w:id="41"/>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6BC11550">
      <w:pPr>
        <w:spacing w:before="315" w:after="105" w:line="360" w:lineRule="auto"/>
        <w:ind w:left="-30"/>
        <w:jc w:val="left"/>
      </w:pPr>
      <w:bookmarkStart w:id="42" w:name="bm_4_1_net形成的分子诱发因素"/>
      <w:r>
        <w:rPr>
          <w:rFonts w:ascii="inter" w:hAnsi="inter" w:eastAsia="inter" w:cs="inter"/>
          <w:b/>
          <w:color w:val="000000"/>
          <w:sz w:val="24"/>
        </w:rPr>
        <w:t>4.1 NET形成的分子诱发因素</w:t>
      </w:r>
      <w:bookmarkEnd w:id="42"/>
    </w:p>
    <w:p w14:paraId="2D696D46">
      <w:pPr>
        <w:spacing w:after="210" w:line="360" w:lineRule="auto"/>
      </w:pPr>
      <w:r>
        <w:rPr>
          <w:rFonts w:ascii="inter" w:hAnsi="inter" w:eastAsia="inter" w:cs="inter"/>
          <w:color w:val="000000"/>
        </w:rPr>
        <w:t>脑缺血引发的NET形成（NETosis）涉及多个协调的信号通路。研究表明，血小板衍生的高迁移率族蛋白B1（HMGB1）是缺血性卒中中NET形成的关键调节因子。在卒中后6至24小时，血小板被激活并释放HMGB1，HMGB1与循环中性粒细胞相互作用，通过TLR4和RAGE受体激活，诱导肽基精氨酸脱亚胺酶4（PAD4）的活化。PAD4催化核组蛋白（特别是H3组蛋白）的瓜氨酸化，这一翻译后修饰导致核异质染色质的解聚和NETosis的启动。</w:t>
      </w:r>
      <w:bookmarkStart w:id="43" w:name="fnref15_1"/>
      <w:bookmarkEnd w:id="43"/>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371F3F7A">
      <w:pPr>
        <w:spacing w:after="210" w:line="360" w:lineRule="auto"/>
      </w:pPr>
      <w:r>
        <w:rPr>
          <w:rFonts w:ascii="inter" w:hAnsi="inter" w:eastAsia="inter" w:cs="inter"/>
          <w:color w:val="000000"/>
        </w:rPr>
        <w:t>临床样本中，NET生物标志物（H3组蛋白瓜氨酸化，记为H3Cit，以及MPO-DNA复合物）的浓度与卒中患者的不良预后呈强相关。具体而言，H3Cit浓度从卒中后6小时开始升高，在3至5天达到最高峰，且其水平与改良Rankin量表评分（患者功能预后的标志）相关。</w:t>
      </w:r>
      <w:bookmarkStart w:id="44" w:name="fnref17"/>
      <w:bookmarkEnd w:id="44"/>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45" w:name="fnref15_2"/>
      <w:bookmarkEnd w:id="45"/>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1523A8F4">
      <w:pPr>
        <w:spacing w:before="315" w:after="105" w:line="360" w:lineRule="auto"/>
        <w:ind w:left="-30"/>
        <w:jc w:val="left"/>
      </w:pPr>
      <w:bookmarkStart w:id="46" w:name="bm_4_2_net诱导的内皮损伤与血脑屏障破坏"/>
      <w:r>
        <w:rPr>
          <w:rFonts w:ascii="inter" w:hAnsi="inter" w:eastAsia="inter" w:cs="inter"/>
          <w:b/>
          <w:color w:val="000000"/>
          <w:sz w:val="24"/>
        </w:rPr>
        <w:t>4.2 NET诱导的内皮损伤与血脑屏障破坏</w:t>
      </w:r>
      <w:bookmarkEnd w:id="46"/>
    </w:p>
    <w:p w14:paraId="786AD5B7">
      <w:pPr>
        <w:spacing w:after="210" w:line="360" w:lineRule="auto"/>
      </w:pPr>
      <w:r>
        <w:rPr>
          <w:rFonts w:ascii="inter" w:hAnsi="inter" w:eastAsia="inter" w:cs="inter"/>
          <w:color w:val="000000"/>
        </w:rPr>
        <w:t>NETs释放大量细胞毒性蛋白酶（组蛋白、中性粒细胞弹性蛋白酶、MPO），这些酶直接诱导内皮细胞损伤，增加血管通透性。组蛋白本身（特别是H3和H4）具有强烈的细胞毒性，可在浓度约为μM级时诱发内皮细胞凋亡和血脑屏障完整性破坏。</w:t>
      </w:r>
      <w:bookmarkStart w:id="47" w:name="fnref18"/>
      <w:bookmarkEnd w:id="47"/>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322D393C">
      <w:pPr>
        <w:spacing w:after="210" w:line="360" w:lineRule="auto"/>
      </w:pPr>
      <w:r>
        <w:rPr>
          <w:rFonts w:ascii="inter" w:hAnsi="inter" w:eastAsia="inter" w:cs="inter"/>
          <w:color w:val="000000"/>
        </w:rPr>
        <w:t>在实验性卒中模型中，缺血侧脑组织的脑血管周围区域和脑实质中均检测到大量NETs，NETs与内皮细胞和周细胞的亲密接触提示了其直接的细胞毒性作用。NET沉积导致包裹体内的IgG外渗增加、周细胞覆盖减少，这些均是血脑屏障破坏的标志。阻断PAD4（NET形成的关键酶）或用DNase I降解NETs的小鼠显示脑梗死体积显著减少、神经功能改善，且长期存活率提高。</w:t>
      </w:r>
      <w:bookmarkStart w:id="48" w:name="fnref19"/>
      <w:bookmarkEnd w:id="48"/>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49" w:name="fnref20"/>
      <w:bookmarkEnd w:id="49"/>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50" w:name="fnref17_1"/>
      <w:bookmarkEnd w:id="50"/>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1914BF99">
      <w:pPr>
        <w:spacing w:before="315" w:after="105" w:line="360" w:lineRule="auto"/>
        <w:ind w:left="-30"/>
        <w:jc w:val="left"/>
      </w:pPr>
      <w:bookmarkStart w:id="51" w:name="bm_4_3_nets与血栓形成和微血栓的关联"/>
      <w:r>
        <w:rPr>
          <w:rFonts w:ascii="inter" w:hAnsi="inter" w:eastAsia="inter" w:cs="inter"/>
          <w:b/>
          <w:color w:val="000000"/>
          <w:sz w:val="24"/>
        </w:rPr>
        <w:t>4.3 NETs与血栓形成和微血栓的关联</w:t>
      </w:r>
      <w:bookmarkEnd w:id="51"/>
    </w:p>
    <w:p w14:paraId="52797E33">
      <w:pPr>
        <w:spacing w:after="210" w:line="360" w:lineRule="auto"/>
      </w:pPr>
      <w:r>
        <w:rPr>
          <w:rFonts w:ascii="inter" w:hAnsi="inter" w:eastAsia="inter" w:cs="inter"/>
          <w:color w:val="000000"/>
        </w:rPr>
        <w:t>NETs在中风血栓中的存在已被多项研究证实，包括从卒中患者通过血栓切除术取出的血栓样本。NETs中的DNA骨架和组蛋白可作为血小板激活和聚集的支架，促进免疫血栓形成（immunothrombosis）。在临床脑卒中样本中，约78.7%的H3Cit来自中性粒细胞，表明NETs是卒中患者血栓形成中性粒细胞相关成分的主要来源。</w:t>
      </w:r>
      <w:bookmarkStart w:id="52" w:name="fnref15_3"/>
      <w:bookmarkEnd w:id="52"/>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7358D4E7">
      <w:pPr>
        <w:spacing w:after="210" w:line="360" w:lineRule="auto"/>
      </w:pPr>
      <w:r>
        <w:rPr>
          <w:rFonts w:ascii="inter" w:hAnsi="inter" w:eastAsia="inter" w:cs="inter"/>
          <w:color w:val="000000"/>
        </w:rPr>
        <w:t>血小板-中性粒细胞聚集体的增加与血浆中NET生物标志物（H3Cit和MPO-DNA复合物）的浓度相关，提示了血小板和中性粒细胞的相互强化激活循环。在没有血小板的情况下，重组HMGB1不再诱发有效的NET形成，进一步确立了血小板作为脑卒中中NET形成的主导驱动力的角色。</w:t>
      </w:r>
    </w:p>
    <w:p w14:paraId="040832AE">
      <w:pPr>
        <w:spacing w:before="315" w:after="105" w:line="360" w:lineRule="auto"/>
        <w:ind w:left="-30"/>
        <w:jc w:val="left"/>
      </w:pPr>
      <w:bookmarkStart w:id="53" w:name="五_血脑屏障破坏与微循环障碍"/>
      <w:r>
        <w:rPr>
          <w:rFonts w:ascii="inter" w:hAnsi="inter" w:eastAsia="inter" w:cs="inter"/>
          <w:b/>
          <w:color w:val="000000"/>
          <w:sz w:val="24"/>
        </w:rPr>
        <w:t>五、血脑屏障破坏与微循环障碍</w:t>
      </w:r>
      <w:bookmarkEnd w:id="53"/>
    </w:p>
    <w:p w14:paraId="6A68C0CE">
      <w:pPr>
        <w:spacing w:before="315" w:after="105" w:line="360" w:lineRule="auto"/>
        <w:ind w:left="-30"/>
        <w:jc w:val="left"/>
      </w:pPr>
      <w:bookmarkStart w:id="54" w:name="bm_5_1_中性粒细胞蛋白酶诱导的紧密连接破坏"/>
      <w:r>
        <w:rPr>
          <w:rFonts w:ascii="inter" w:hAnsi="inter" w:eastAsia="inter" w:cs="inter"/>
          <w:b/>
          <w:color w:val="000000"/>
          <w:sz w:val="24"/>
        </w:rPr>
        <w:t>5.1 中性粒细胞蛋白酶诱导的紧密连接破坏</w:t>
      </w:r>
      <w:bookmarkEnd w:id="54"/>
    </w:p>
    <w:p w14:paraId="56DB146A">
      <w:pPr>
        <w:spacing w:after="210" w:line="360" w:lineRule="auto"/>
      </w:pPr>
      <w:r>
        <w:rPr>
          <w:rFonts w:ascii="inter" w:hAnsi="inter" w:eastAsia="inter" w:cs="inter"/>
          <w:color w:val="000000"/>
        </w:rPr>
        <w:t>中性粒细胞释放的蛋白酶（特别是基质金属蛋白酶-9和中性粒细胞弹性蛋白酶）对血脑屏障完整性构成直接威胁。MMP-9是一种82-kDa的胶原蛋白酶，能够特异性裂解血脑屏障紧密连接蛋白（ZO-1、occludin、claudins）的胞外域，导致内皮细胞间通透性增加。</w:t>
      </w:r>
      <w:bookmarkStart w:id="55" w:name="fnref18_1"/>
      <w:bookmarkEnd w:id="55"/>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56" w:name="fnref3_3"/>
      <w:bookmarkEnd w:id="5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3E77FCEC">
      <w:pPr>
        <w:spacing w:after="210" w:line="360" w:lineRule="auto"/>
      </w:pPr>
      <w:r>
        <w:rPr>
          <w:rFonts w:ascii="inter" w:hAnsi="inter" w:eastAsia="inter" w:cs="inter"/>
          <w:color w:val="000000"/>
        </w:rPr>
        <w:t>临床研究报告，急性缺血性卒中患者血清中MMP-9水平升高与卒中临床症状的严重程度相关，且rt-PA血栓溶解治疗会进一步上调MMP-9水平，这可能解释了某些患者出血转化并发症的机制。中性粒白介素弹性蛋白酶（也称为肽酶-2）和蛋白酶3可裂解基底膜第IV型胶原、纤维连接蛋白和其他细胞外基质成分，加剧血管基层的破坏。</w:t>
      </w:r>
      <w:bookmarkStart w:id="57" w:name="fnref3_4"/>
      <w:bookmarkEnd w:id="57"/>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7AE61512">
      <w:pPr>
        <w:spacing w:after="210" w:line="360" w:lineRule="auto"/>
      </w:pPr>
      <w:r>
        <w:rPr>
          <w:rFonts w:ascii="inter" w:hAnsi="inter" w:eastAsia="inter" w:cs="inter"/>
          <w:color w:val="000000"/>
        </w:rPr>
        <w:t>实验表明，脑缺血-再灌注过程中产生的ROS和反应性氮物种（RNS）进一步促进MMP-9的表达和激活，同时降低其内源性抑制剂（组织金属蛋白酶抑制剂，TIMPs）的水平，形成一个自我强化的蛋白酶失平衡状态。中性粒细胞释放的这些蛋白酶不仅直接破坏血脑屏障，还释放和激活其他前体分子，导致病理过程的级联放大。</w:t>
      </w:r>
      <w:bookmarkStart w:id="58" w:name="fnref21"/>
      <w:bookmarkEnd w:id="58"/>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5F21674A">
      <w:pPr>
        <w:spacing w:before="315" w:after="105" w:line="360" w:lineRule="auto"/>
        <w:ind w:left="-30"/>
        <w:jc w:val="left"/>
      </w:pPr>
      <w:bookmarkStart w:id="59" w:name="bm_5_2_无复流_现象与微血管阻塞"/>
      <w:r>
        <w:rPr>
          <w:rFonts w:ascii="inter" w:hAnsi="inter" w:eastAsia="inter" w:cs="inter"/>
          <w:b/>
          <w:color w:val="000000"/>
          <w:sz w:val="24"/>
        </w:rPr>
        <w:t>5.2 "无复流"现象与微血管阻塞</w:t>
      </w:r>
      <w:bookmarkEnd w:id="59"/>
    </w:p>
    <w:p w14:paraId="4F11B869">
      <w:pPr>
        <w:spacing w:after="210" w:line="360" w:lineRule="auto"/>
      </w:pPr>
      <w:r>
        <w:rPr>
          <w:rFonts w:ascii="inter" w:hAnsi="inter" w:eastAsia="inter" w:cs="inter"/>
          <w:color w:val="000000"/>
        </w:rPr>
        <w:t>脑缺血再灌注后的一个关键病理现象是"无复流"（no-reflow），即使大血管通畅但微循环仍无法恢复灌注的状态。最近的研究使用高分辨率双光子显微镜直接证明，约20%至30%的脑梗死核心和半影区毛细血管因中性粒细胞粘附而发生阻塞，中性粒细胞在微血管中的停滞（neutrophil stalling）是无复流现象的主要贡献因素，而非简单的"栓塞"机制。</w:t>
      </w:r>
      <w:bookmarkStart w:id="60" w:name="fnref22"/>
      <w:bookmarkEnd w:id="60"/>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61" w:name="fnref23"/>
      <w:bookmarkEnd w:id="61"/>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390E6A7C">
      <w:pPr>
        <w:spacing w:after="210" w:line="360" w:lineRule="auto"/>
      </w:pPr>
      <w:r>
        <w:rPr>
          <w:rFonts w:ascii="inter" w:hAnsi="inter" w:eastAsia="inter" w:cs="inter"/>
          <w:color w:val="000000"/>
        </w:rPr>
        <w:t>值得注意的是，中性粒细胞对微血管阻塞的主要贡献并非作为微栓子堵塞毛细血管，而是通过诱发管腔直径的缩小。中性粒细胞与内皮细胞的相互作用导致内皮细胞收缩，通过间隙通透性增加导致液体和蛋白质的渗漏，以及内皮细胞肿胀，共同导致毛细血管腔的狭窄。这一认识改变了我们对无复流现象的理解，提示中性粒细胞靶向治疗（特别是阻断中性粒细胞与内皮细胞的相互作用）可能比单纯的中性粒细胞清除更为精准。</w:t>
      </w:r>
      <w:bookmarkStart w:id="62" w:name="fnref22_1"/>
      <w:bookmarkEnd w:id="62"/>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7DFAC2DF">
      <w:pPr>
        <w:spacing w:after="210" w:line="360" w:lineRule="auto"/>
      </w:pPr>
      <w:r>
        <w:rPr>
          <w:rFonts w:ascii="inter" w:hAnsi="inter" w:eastAsia="inter" w:cs="inter"/>
          <w:color w:val="000000"/>
        </w:rPr>
        <w:t>用抗-Ly6G抗体（特异性靶向中性粒细胞）处理的小鼠显示微血管灌注得以恢复，毛细血管直径恢复正常，而且梗死体积显著减少，神经功能缺损评分改善。这一发现为中性粒细胞靶向治疗的临床转化提供了有力的实验证据。</w:t>
      </w:r>
      <w:bookmarkStart w:id="63" w:name="fnref23_1"/>
      <w:bookmarkEnd w:id="63"/>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6CAEAE29">
      <w:pPr>
        <w:spacing w:before="315" w:after="105" w:line="360" w:lineRule="auto"/>
        <w:ind w:left="-30"/>
        <w:jc w:val="left"/>
      </w:pPr>
      <w:bookmarkStart w:id="64" w:name="bm_5_3_ros诱导的内皮损伤与能量耗尽"/>
      <w:r>
        <w:rPr>
          <w:rFonts w:ascii="inter" w:hAnsi="inter" w:eastAsia="inter" w:cs="inter"/>
          <w:b/>
          <w:color w:val="000000"/>
          <w:sz w:val="24"/>
        </w:rPr>
        <w:t>5.3 ROS诱导的内皮损伤与能量耗尽</w:t>
      </w:r>
      <w:bookmarkEnd w:id="64"/>
    </w:p>
    <w:p w14:paraId="2170BCBA">
      <w:pPr>
        <w:spacing w:after="210" w:line="360" w:lineRule="auto"/>
      </w:pPr>
      <w:r>
        <w:rPr>
          <w:rFonts w:ascii="inter" w:hAnsi="inter" w:eastAsia="inter" w:cs="inter"/>
          <w:color w:val="000000"/>
        </w:rPr>
        <w:t>中性粒细胞产生的ROS通过多个来源产生，主要包括NADPH氧化酶2（NOX2）、髓过氧化物酶（MPO）和黄嘌呤氧化酶（XO）。在脑缺血-再灌注过程中，中性粒细胞逐步成为ROS的主导来源，特别是在再灌注阶段和亚急性期（卒中后24小时至数天）。</w:t>
      </w:r>
      <w:bookmarkStart w:id="65" w:name="fnref21_1"/>
      <w:bookmarkEnd w:id="65"/>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bookmarkStart w:id="66" w:name="fnref24"/>
      <w:bookmarkEnd w:id="66"/>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02B64530">
      <w:pPr>
        <w:spacing w:after="210" w:line="360" w:lineRule="auto"/>
      </w:pPr>
      <w:r>
        <w:rPr>
          <w:rFonts w:ascii="inter" w:hAnsi="inter" w:eastAsia="inter" w:cs="inter"/>
          <w:color w:val="000000"/>
        </w:rPr>
        <w:t>NOX2产生的超氧阴离子（O2·-)可进一步被代谢为羟基自由基（·OH），这种强氧化剂直接损伤脂质双分子层、蛋白质和DNA，诱发内皮细胞和神经元的凋亡。特别是，·OH自由基被认为是噬细胞ROS中最具神经毒性的物种，其浓度与脑肿胀程度和梗死体积扩大呈相关。</w:t>
      </w:r>
      <w:bookmarkStart w:id="67" w:name="fnref24_1"/>
      <w:bookmarkEnd w:id="67"/>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2619112D">
      <w:pPr>
        <w:spacing w:after="210" w:line="360" w:lineRule="auto"/>
      </w:pPr>
      <w:r>
        <w:rPr>
          <w:rFonts w:ascii="inter" w:hAnsi="inter" w:eastAsia="inter" w:cs="inter"/>
          <w:color w:val="000000"/>
        </w:rPr>
        <w:t>有趣的是，最近的研究提示ROS可能具有双重性。虽然过量ROS明显有害，但适度的ROS产生可能通过激活HIF-1α/β-catenin信号通路促进神经恢复。在人类卒中患者中也观察到ROS作用的双相性，提示任何针对ROS的治疗干预都应避免完全消除ROS，转而寻求平衡其产生与清除，以优化恢复结局。</w:t>
      </w:r>
      <w:bookmarkStart w:id="68" w:name="fnref25"/>
      <w:bookmarkEnd w:id="68"/>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69" w:name="fnref24_2"/>
      <w:bookmarkEnd w:id="69"/>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763EFEED">
      <w:pPr>
        <w:spacing w:before="315" w:after="105" w:line="360" w:lineRule="auto"/>
        <w:ind w:left="-30"/>
        <w:jc w:val="left"/>
      </w:pPr>
      <w:bookmarkStart w:id="70" w:name="六_中性粒细胞与小胶质细胞的相互作用"/>
      <w:r>
        <w:rPr>
          <w:rFonts w:ascii="inter" w:hAnsi="inter" w:eastAsia="inter" w:cs="inter"/>
          <w:b/>
          <w:color w:val="000000"/>
          <w:sz w:val="24"/>
        </w:rPr>
        <w:t>六、中性粒细胞与小胶质细胞的相互作用</w:t>
      </w:r>
      <w:bookmarkEnd w:id="70"/>
    </w:p>
    <w:p w14:paraId="1148F28F">
      <w:pPr>
        <w:spacing w:after="210" w:line="360" w:lineRule="auto"/>
      </w:pPr>
      <w:r>
        <w:rPr>
          <w:rFonts w:ascii="inter" w:hAnsi="inter" w:eastAsia="inter" w:cs="inter"/>
          <w:color w:val="000000"/>
        </w:rPr>
        <w:t>中性粒细胞和小胶质细胞（脑驻在性免疫细胞）之间的相互作用是脑缺血后神经炎症的关键调控点。这一相互作用的性质（有益或有害）在很大程度上取决于小胶质细胞的激活状态和吞噬功能的完整性。</w:t>
      </w:r>
    </w:p>
    <w:p w14:paraId="4CC75694">
      <w:pPr>
        <w:spacing w:before="315" w:after="105" w:line="360" w:lineRule="auto"/>
        <w:ind w:left="-30"/>
        <w:jc w:val="left"/>
      </w:pPr>
      <w:bookmarkStart w:id="71" w:name="bm_6_1_小胶质细胞对中性粒细胞的吞噬调控"/>
      <w:r>
        <w:rPr>
          <w:rFonts w:ascii="inter" w:hAnsi="inter" w:eastAsia="inter" w:cs="inter"/>
          <w:b/>
          <w:color w:val="000000"/>
          <w:sz w:val="24"/>
        </w:rPr>
        <w:t>6.1 小胶质细胞对中性粒细胞的吞噬调控</w:t>
      </w:r>
      <w:bookmarkEnd w:id="71"/>
    </w:p>
    <w:p w14:paraId="237E8BDB">
      <w:pPr>
        <w:spacing w:after="210" w:line="360" w:lineRule="auto"/>
      </w:pPr>
      <w:r>
        <w:rPr>
          <w:rFonts w:ascii="inter" w:hAnsi="inter" w:eastAsia="inter" w:cs="inter"/>
          <w:color w:val="000000"/>
        </w:rPr>
        <w:t>一项重要的研究通过结合中性粒细胞报告小鼠和小胶质细胞报告小鼠，直观地证明了反应性小胶质细胞在梗死灶周围区域主动吞噬入侵的中性粒细胞。这一过程由小胶质细胞的吞噬受体（如补体受体3）和趋化因子受体识别。然而，在梗死核心区，小胶质细胞因缺血引发的局部能量耗尽而发生功能障碍和细胞死亡。这导致了中性粒细胞从血管周围空间逐步积累到脑实质中的现象。</w:t>
      </w:r>
      <w:bookmarkStart w:id="72" w:name="fnref26"/>
      <w:bookmarkEnd w:id="72"/>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151CD4C7">
      <w:pPr>
        <w:spacing w:after="210" w:line="360" w:lineRule="auto"/>
      </w:pPr>
      <w:r>
        <w:rPr>
          <w:rFonts w:ascii="inter" w:hAnsi="inter" w:eastAsia="inter" w:cs="inter"/>
          <w:color w:val="000000"/>
        </w:rPr>
        <w:t>通过长期给予抑制集落刺激因子1受体（CSF1R）的药物选择性耗尽小胶质细胞的小鼠出现梗死体积显著扩大和神经功能缺损加重，强烈提示小胶质细胞的吞噬功能对控制中性粒细胞的血管和组织损伤能力至关重要。这一发现挑战了将所有小胶质细胞激活视为有害的陈旧观点，转而强调了小胶质细胞吞噬功能的关键保护作用。</w:t>
      </w:r>
    </w:p>
    <w:p w14:paraId="543EB43B">
      <w:pPr>
        <w:spacing w:before="315" w:after="105" w:line="360" w:lineRule="auto"/>
        <w:ind w:left="-30"/>
        <w:jc w:val="left"/>
      </w:pPr>
      <w:bookmarkStart w:id="73" w:name="bm_6_2_中性粒细胞对小胶质细胞表型转变的影响"/>
      <w:r>
        <w:rPr>
          <w:rFonts w:ascii="inter" w:hAnsi="inter" w:eastAsia="inter" w:cs="inter"/>
          <w:b/>
          <w:color w:val="000000"/>
          <w:sz w:val="24"/>
        </w:rPr>
        <w:t>6.2 中性粒细胞对小胶质细胞表型转变的影响</w:t>
      </w:r>
      <w:bookmarkEnd w:id="73"/>
    </w:p>
    <w:p w14:paraId="5C0668C7">
      <w:pPr>
        <w:spacing w:after="210" w:line="360" w:lineRule="auto"/>
      </w:pPr>
      <w:r>
        <w:rPr>
          <w:rFonts w:ascii="inter" w:hAnsi="inter" w:eastAsia="inter" w:cs="inter"/>
          <w:color w:val="000000"/>
        </w:rPr>
        <w:t>反过来，浸润的中性粒细胞也通过释放细胞因子和暴露关键受体配体来调控小胶质细胞的功能。脑缺血早期，中性粒细胞释放的促炎细胞因子（IL-1β、TNF-α）和化学因子（CCL2）促进小胶质细胞向促炎M1表型的极化。这一过程在缺血的最初24至48小时内占优势。</w:t>
      </w:r>
    </w:p>
    <w:p w14:paraId="15D3A3F6">
      <w:pPr>
        <w:spacing w:after="210" w:line="360" w:lineRule="auto"/>
      </w:pPr>
      <w:r>
        <w:rPr>
          <w:rFonts w:ascii="inter" w:hAnsi="inter" w:eastAsia="inter" w:cs="inter"/>
          <w:color w:val="000000"/>
        </w:rPr>
        <w:t>随着卒中恢复期的推进，特别是在3至7天时，如果中性粒细胞的积累得到有效控制（通过小胶质细胞吞噬或逆向迁移），小胶质细胞逐步向M2（修复）表型转变，释放神经营养因子（如IGF-1、脑源性神经营养因子）和促进血管重构的因子。最近的研究表明，促进小胶质细胞ZFP384基因的沉默可持续其修复功能，显著改善卒中后的长期神经功能恢复。</w:t>
      </w:r>
      <w:bookmarkStart w:id="74" w:name="fnref27"/>
      <w:bookmarkEnd w:id="74"/>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3C9E9DAF">
      <w:pPr>
        <w:spacing w:before="315" w:after="105" w:line="360" w:lineRule="auto"/>
        <w:ind w:left="-30"/>
        <w:jc w:val="left"/>
      </w:pPr>
      <w:bookmarkStart w:id="75" w:name="七_临床生物标志物与预后预测"/>
      <w:r>
        <w:rPr>
          <w:rFonts w:ascii="inter" w:hAnsi="inter" w:eastAsia="inter" w:cs="inter"/>
          <w:b/>
          <w:color w:val="000000"/>
          <w:sz w:val="24"/>
        </w:rPr>
        <w:t>七、临床生物标志物与预后预测</w:t>
      </w:r>
      <w:bookmarkEnd w:id="75"/>
    </w:p>
    <w:p w14:paraId="1CEEC0A7">
      <w:pPr>
        <w:spacing w:after="210" w:line="360" w:lineRule="auto"/>
      </w:pPr>
      <w:r>
        <w:rPr>
          <w:rFonts w:ascii="inter" w:hAnsi="inter" w:eastAsia="inter" w:cs="inter"/>
          <w:color w:val="000000"/>
        </w:rPr>
        <w:t>在临床实践中，中性粒细胞相关的生物标志物已成为评估卒中严重程度和预后的重要工具。这些标志物不仅具有病理生物学意义，而且具有高度的临床可实施性。</w:t>
      </w:r>
    </w:p>
    <w:p w14:paraId="2E109742">
      <w:pPr>
        <w:spacing w:before="315" w:after="105" w:line="360" w:lineRule="auto"/>
        <w:ind w:left="-30"/>
        <w:jc w:val="left"/>
      </w:pPr>
      <w:bookmarkStart w:id="76" w:name="bm_7_1_中性粒细胞_淋巴细胞比值_nlr"/>
      <w:r>
        <w:rPr>
          <w:rFonts w:ascii="inter" w:hAnsi="inter" w:eastAsia="inter" w:cs="inter"/>
          <w:b/>
          <w:color w:val="000000"/>
          <w:sz w:val="24"/>
        </w:rPr>
        <w:t>7.1 中性粒细胞-淋巴细胞比值（NLR）</w:t>
      </w:r>
      <w:bookmarkEnd w:id="76"/>
    </w:p>
    <w:p w14:paraId="60F876CA">
      <w:pPr>
        <w:spacing w:after="210" w:line="360" w:lineRule="auto"/>
      </w:pPr>
      <w:r>
        <w:rPr>
          <w:rFonts w:ascii="inter" w:hAnsi="inter" w:eastAsia="inter" w:cs="inter"/>
          <w:color w:val="000000"/>
        </w:rPr>
        <w:t>中性粒细胞-淋巴细胞比值（NLR）是最广泛应用的血清免疫炎症标志物，在急性缺血性卒中患者中的预测价值已通过多项大规模临床研究证实。元分析纳入21项研究共7520名缺血性卒中患者，显示NLR对不良预后的判别能力（AUC 0.71）明显优于系统免疫-炎症指数（SII，AUC 0.68）。更重要的是，升高的NLR与卒中预后不良呈显著关联（优势比1.26，95% CI：1.17-1.37），在调整临床混杂因素后保持独立预测价值。</w:t>
      </w:r>
      <w:bookmarkStart w:id="77" w:name="fnref8_1"/>
      <w:bookmarkEnd w:id="77"/>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78" w:name="fnref9_1"/>
      <w:bookmarkEnd w:id="78"/>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7BCD9976">
      <w:pPr>
        <w:spacing w:after="210" w:line="360" w:lineRule="auto"/>
      </w:pPr>
      <w:r>
        <w:rPr>
          <w:rFonts w:ascii="inter" w:hAnsi="inter" w:eastAsia="inter" w:cs="inter"/>
          <w:color w:val="000000"/>
        </w:rPr>
        <w:t>在大血管闭塞（LVO）患者接受机械血栓切除术（MT）后的预后预测中，24小时动态NLR测量比入院时NLR具有更强的预测力。这提示临床实践中应关注NLR的动态变化而非静态值。具体而言，NLR&gt;4.30作为阈值与24小时后的不良预后（改良Rankin评分≥3）强烈相关。</w:t>
      </w:r>
      <w:bookmarkStart w:id="79" w:name="fnref9_2"/>
      <w:bookmarkEnd w:id="79"/>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0744E913">
      <w:pPr>
        <w:spacing w:after="210" w:line="360" w:lineRule="auto"/>
      </w:pPr>
      <w:r>
        <w:rPr>
          <w:rFonts w:ascii="inter" w:hAnsi="inter" w:eastAsia="inter" w:cs="inter"/>
          <w:color w:val="000000"/>
        </w:rPr>
        <w:t>值得注意的是，NLR的预后价值在不同治疗群体中表现不同，在接受介入治疗的患者中其预测能力略弱于未接受治疗的患者，这可能反映了早期再灌注对中性粒细胞病理过程的干预效应。</w:t>
      </w:r>
      <w:bookmarkStart w:id="80" w:name="fnref8_2"/>
      <w:bookmarkEnd w:id="80"/>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47382937">
      <w:pPr>
        <w:spacing w:before="315" w:after="105" w:line="360" w:lineRule="auto"/>
        <w:ind w:left="-30"/>
        <w:jc w:val="left"/>
      </w:pPr>
      <w:bookmarkStart w:id="81" w:name="bm_7_2_中性粒细胞外陷阱生物标志物"/>
      <w:r>
        <w:rPr>
          <w:rFonts w:ascii="inter" w:hAnsi="inter" w:eastAsia="inter" w:cs="inter"/>
          <w:b/>
          <w:color w:val="000000"/>
          <w:sz w:val="24"/>
        </w:rPr>
        <w:t>7.2 中性粒细胞外陷阱生物标志物</w:t>
      </w:r>
      <w:bookmarkEnd w:id="81"/>
    </w:p>
    <w:p w14:paraId="76D07984">
      <w:pPr>
        <w:spacing w:after="210" w:line="360" w:lineRule="auto"/>
      </w:pPr>
      <w:r>
        <w:rPr>
          <w:rFonts w:ascii="inter" w:hAnsi="inter" w:eastAsia="inter" w:cs="inter"/>
          <w:color w:val="000000"/>
        </w:rPr>
        <w:t>循环中NET形成标志物（H3Cit和MPO-DNA复合体）的浓度与卒中预后相关。在卒中患者的血浆中，这些NET相关生物标志物升高与改良Rankin评分升高（更差的功能结局）呈相关。与卒中严重程度（按入院时NIHSS评分）无相关的对比，NET标志物特异性反映了神经病理损伤程度，提示其可能具有预测机械血栓切除术后出血转化和功能恢复的临床价值。</w:t>
      </w:r>
      <w:bookmarkStart w:id="82" w:name="fnref15_4"/>
      <w:bookmarkEnd w:id="82"/>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83" w:name="fnref17_2"/>
      <w:bookmarkEnd w:id="83"/>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0322BD62">
      <w:pPr>
        <w:spacing w:before="315" w:after="105" w:line="360" w:lineRule="auto"/>
        <w:ind w:left="-30"/>
        <w:jc w:val="left"/>
      </w:pPr>
      <w:bookmarkStart w:id="84" w:name="bm_7_3_其他中性粒细胞衍生标志物"/>
      <w:r>
        <w:rPr>
          <w:rFonts w:ascii="inter" w:hAnsi="inter" w:eastAsia="inter" w:cs="inter"/>
          <w:b/>
          <w:color w:val="000000"/>
          <w:sz w:val="24"/>
        </w:rPr>
        <w:t>7.3 其他中性粒细胞衍生标志物</w:t>
      </w:r>
      <w:bookmarkEnd w:id="84"/>
    </w:p>
    <w:p w14:paraId="7D054AC6">
      <w:pPr>
        <w:spacing w:after="210" w:line="360" w:lineRule="auto"/>
      </w:pPr>
      <w:r>
        <w:rPr>
          <w:rFonts w:ascii="inter" w:hAnsi="inter" w:eastAsia="inter" w:cs="inter"/>
          <w:color w:val="000000"/>
        </w:rPr>
        <w:t>循环中性粒细胞弹性蛋白酶水平在急性卒中患者中显著升高，与正常对照相比增加约2至3倍。这一升高反映了中性粒细胞的激活状态，并与血脑屏障破坏的程度相关。</w:t>
      </w:r>
      <w:bookmarkStart w:id="85" w:name="fnref13_1"/>
      <w:bookmarkEnd w:id="85"/>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86" w:name="fnref14_4"/>
      <w:bookmarkEnd w:id="86"/>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62AE163E">
      <w:pPr>
        <w:spacing w:after="210" w:line="360" w:lineRule="auto"/>
      </w:pPr>
      <w:r>
        <w:rPr>
          <w:rFonts w:ascii="inter" w:hAnsi="inter" w:eastAsia="inter" w:cs="inter"/>
          <w:color w:val="000000"/>
        </w:rPr>
        <w:t>中性粒细胞百分比-白蛋白比值（NPAR）是新识别的生物标志物，相比NLR或单独的白蛋白，其对卒中患者预后的预测价值可能更高。特别是，NPAR被证明可预测卒中相关感染（SAI）的发生，提示中性粒细胞的激活状态与全身感染易感性的关联。</w:t>
      </w:r>
      <w:bookmarkStart w:id="87" w:name="fnref28"/>
      <w:bookmarkEnd w:id="87"/>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p>
    <w:p w14:paraId="6A9978C9">
      <w:pPr>
        <w:spacing w:before="315" w:after="105" w:line="360" w:lineRule="auto"/>
        <w:ind w:left="-30"/>
        <w:jc w:val="left"/>
      </w:pPr>
      <w:bookmarkStart w:id="88" w:name="八_性别与衰老相关的中性粒细胞反应差异"/>
      <w:r>
        <w:rPr>
          <w:rFonts w:ascii="inter" w:hAnsi="inter" w:eastAsia="inter" w:cs="inter"/>
          <w:b/>
          <w:color w:val="000000"/>
          <w:sz w:val="24"/>
        </w:rPr>
        <w:t>八、性别与衰老相关的中性粒细胞反应差异</w:t>
      </w:r>
      <w:bookmarkEnd w:id="88"/>
    </w:p>
    <w:p w14:paraId="42FB4F82">
      <w:pPr>
        <w:spacing w:before="315" w:after="105" w:line="360" w:lineRule="auto"/>
        <w:ind w:left="-30"/>
        <w:jc w:val="left"/>
      </w:pPr>
      <w:bookmarkStart w:id="89" w:name="bm_8_1_衰老对中性粒细胞病理性的增强"/>
      <w:r>
        <w:rPr>
          <w:rFonts w:ascii="inter" w:hAnsi="inter" w:eastAsia="inter" w:cs="inter"/>
          <w:b/>
          <w:color w:val="000000"/>
          <w:sz w:val="24"/>
        </w:rPr>
        <w:t>8.1 衰老对中性粒细胞病理性的增强</w:t>
      </w:r>
      <w:bookmarkEnd w:id="89"/>
    </w:p>
    <w:p w14:paraId="79A5B247">
      <w:pPr>
        <w:spacing w:after="210" w:line="360" w:lineRule="auto"/>
      </w:pPr>
      <w:r>
        <w:rPr>
          <w:rFonts w:ascii="inter" w:hAnsi="inter" w:eastAsia="inter" w:cs="inter"/>
          <w:color w:val="000000"/>
        </w:rPr>
        <w:t>衰老是脑卒中预后不良的独立危险因子，而衰老时中性粒细胞功能的改变可能是导致老龄患者预后较差的关键机制。详尽的研究表明，老龄动物（相当于人类60岁以上）的脑卒中后神经功能缺损评分明显更高，死亡率升高，梗死体积与年轻动物相当或更大，但出血转化反而增加。</w:t>
      </w:r>
      <w:bookmarkStart w:id="90" w:name="fnref12_3"/>
      <w:bookmarkEnd w:id="90"/>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91" w:name="fnref29"/>
      <w:bookmarkEnd w:id="91"/>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p>
    <w:p w14:paraId="4905733D">
      <w:pPr>
        <w:spacing w:after="210" w:line="360" w:lineRule="auto"/>
      </w:pPr>
      <w:r>
        <w:rPr>
          <w:rFonts w:ascii="inter" w:hAnsi="inter" w:eastAsia="inter" w:cs="inter"/>
          <w:color w:val="000000"/>
        </w:rPr>
        <w:t>在分子层面，老龄中性粒细胞表现出高度的启动状态，表现为侧散射信号（SSC）和前向散射信号（FSC）升高，提示细胞的内部复杂性增加（可能反映更多的活性颗粒）和体积增大。老龄中性粒细胞的ROS产生能力明显高于年轻中性粒细胞，且对促炎刺激的响应更强。</w:t>
      </w:r>
      <w:bookmarkStart w:id="92" w:name="fnref12_4"/>
      <w:bookmarkEnd w:id="92"/>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11DE9B92">
      <w:pPr>
        <w:spacing w:after="210" w:line="360" w:lineRule="auto"/>
      </w:pPr>
      <w:r>
        <w:rPr>
          <w:rFonts w:ascii="inter" w:hAnsi="inter" w:eastAsia="inter" w:cs="inter"/>
          <w:color w:val="000000"/>
        </w:rPr>
        <w:t>老龄小鼠血清中IL-6水平升高，这一长期慢性炎症状态（炎症衰老，inflammaging）导致循环中性粒细胞处于不恰当的启动状态，使其在卒中这一强烈刺激下产生过度的促炎反应。有趣的是，在年轻动物中用抗-Ly6G抗体进行的中性粒细胞清除并未显示保护效果，但在老龄动物中显示显著的长期神经功能改善，提示中性粒细胞靶向治疗可能对老龄患者具有更强的治疗价值。</w:t>
      </w:r>
    </w:p>
    <w:p w14:paraId="34D9C0DD">
      <w:pPr>
        <w:spacing w:before="315" w:after="105" w:line="360" w:lineRule="auto"/>
        <w:ind w:left="-30"/>
        <w:jc w:val="left"/>
      </w:pPr>
      <w:bookmarkStart w:id="93" w:name="bm_8_2_性别差异与性激素调节"/>
      <w:r>
        <w:rPr>
          <w:rFonts w:ascii="inter" w:hAnsi="inter" w:eastAsia="inter" w:cs="inter"/>
          <w:b/>
          <w:color w:val="000000"/>
          <w:sz w:val="24"/>
        </w:rPr>
        <w:t>8.2 性别差异与性激素调节</w:t>
      </w:r>
      <w:bookmarkEnd w:id="93"/>
    </w:p>
    <w:p w14:paraId="2F555C8E">
      <w:pPr>
        <w:spacing w:after="210" w:line="360" w:lineRule="auto"/>
      </w:pPr>
      <w:r>
        <w:rPr>
          <w:rFonts w:ascii="inter" w:hAnsi="inter" w:eastAsia="inter" w:cs="inter"/>
          <w:color w:val="000000"/>
        </w:rPr>
        <w:t>性别作为生物学变量在脑缺血后的中性粒细胞反应中发挥重要角色。系统性研究表明，脑缺血-再灌注伤害后，雄性动物的中性粒细胞浸润程度和持续时间均显著高于雌性动物，而后者表现出对组织损伤的更强保护。</w:t>
      </w:r>
      <w:bookmarkStart w:id="94" w:name="fnref30"/>
      <w:bookmarkEnd w:id="94"/>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bookmarkStart w:id="95" w:name="fnref31"/>
      <w:bookmarkEnd w:id="95"/>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16EB193F">
      <w:pPr>
        <w:spacing w:after="210" w:line="360" w:lineRule="auto"/>
      </w:pPr>
      <w:r>
        <w:rPr>
          <w:rFonts w:ascii="inter" w:hAnsi="inter" w:eastAsia="inter" w:cs="inter"/>
          <w:color w:val="000000"/>
        </w:rPr>
        <w:t>CXCL5和CXCL6等关键趋化因子的表达在雄性动物中的上调程度超过雌性。具体而言，骨髓在脑缺血后释放的中性粒细胞数量在雄性中明显增多，而雌性的骨髓中性粒细胞数量变化不大。这种差异至少部分由性激素（特别是女性激素）的调节介导，当人为阻断雄性中的CXCL5时，其中性粒细胞招募模式可转变为接近雌性的特征。</w:t>
      </w:r>
      <w:bookmarkStart w:id="96" w:name="fnref30_1"/>
      <w:bookmarkEnd w:id="96"/>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675D7C30">
      <w:pPr>
        <w:spacing w:after="210" w:line="360" w:lineRule="auto"/>
      </w:pPr>
      <w:r>
        <w:rPr>
          <w:rFonts w:ascii="inter" w:hAnsi="inter" w:eastAsia="inter" w:cs="inter"/>
          <w:color w:val="000000"/>
        </w:rPr>
        <w:t>在脂质介质代谢方面，脑缺血-再灌注后，雌性脑组织产生更多的促分解脂肪素和促消炎的脂肪酸代谢产物（如白三烯B4），而雄性产生更多的前列腺素E2，这种差异可能反映了性别间炎症解决过程的内在差异。这些发现为理解女性卒中患者预后相对较好的生物学基础，以及开发性别特异性治疗策略提供了重要的科学依据。</w:t>
      </w:r>
      <w:bookmarkStart w:id="97" w:name="fnref31_1"/>
      <w:bookmarkEnd w:id="97"/>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68F4D474">
      <w:pPr>
        <w:spacing w:before="315" w:after="105" w:line="360" w:lineRule="auto"/>
        <w:ind w:left="-30"/>
        <w:jc w:val="left"/>
      </w:pPr>
      <w:bookmarkStart w:id="98" w:name="九_新兴治疗策略与临床转化"/>
      <w:r>
        <w:rPr>
          <w:rFonts w:ascii="inter" w:hAnsi="inter" w:eastAsia="inter" w:cs="inter"/>
          <w:b/>
          <w:color w:val="000000"/>
          <w:sz w:val="24"/>
        </w:rPr>
        <w:t>九、新兴治疗策略与临床转化</w:t>
      </w:r>
      <w:bookmarkEnd w:id="98"/>
    </w:p>
    <w:p w14:paraId="01955D4D">
      <w:pPr>
        <w:spacing w:after="210" w:line="360" w:lineRule="auto"/>
      </w:pPr>
      <w:r>
        <w:rPr>
          <w:rFonts w:ascii="inter" w:hAnsi="inter" w:eastAsia="inter" w:cs="inter"/>
          <w:color w:val="000000"/>
        </w:rPr>
        <w:t>基于对中性粒细胞病理过程的深入理解，多种靶向中性粒细胞的治疗策略已在实验阶段显示出显著的神经保护效果，部分已进入临床试验阶段。</w:t>
      </w:r>
    </w:p>
    <w:p w14:paraId="5A547DCA">
      <w:pPr>
        <w:spacing w:before="315" w:after="105" w:line="360" w:lineRule="auto"/>
        <w:ind w:left="-30"/>
        <w:jc w:val="left"/>
      </w:pPr>
      <w:bookmarkStart w:id="99" w:name="bm_9_1_中性粒细胞外陷阱形成的抑制"/>
      <w:r>
        <w:rPr>
          <w:rFonts w:ascii="inter" w:hAnsi="inter" w:eastAsia="inter" w:cs="inter"/>
          <w:b/>
          <w:color w:val="000000"/>
          <w:sz w:val="24"/>
        </w:rPr>
        <w:t>9.1 中性粒细胞外陷阱形成的抑制</w:t>
      </w:r>
      <w:bookmarkEnd w:id="99"/>
    </w:p>
    <w:p w14:paraId="209C15FD">
      <w:pPr>
        <w:spacing w:after="210" w:line="360" w:lineRule="auto"/>
      </w:pPr>
      <w:r>
        <w:rPr>
          <w:rFonts w:ascii="inter" w:hAnsi="inter" w:eastAsia="inter" w:cs="inter"/>
          <w:color w:val="000000"/>
        </w:rPr>
        <w:t>PAD4是NET形成的关键酶，其抑制已成为一个有前景的治疗方向。在缺血性卒中小鼠中，PAD4抑制剂（如Cl-amidine）显著减少脑组织和循环中NETs的形成，同时改善了长期神经功能恢复并提高了存活率。值得注意的是，NET抑制对血管新生和血管重构呢具有促进作用（而非单纯的有害抑制），这与传统的"净损伤"模型不符，提示NET的角色在卒中的不同阶段具有复杂的时间依赖性。</w:t>
      </w:r>
      <w:bookmarkStart w:id="100" w:name="fnref15_5"/>
      <w:bookmarkEnd w:id="100"/>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101" w:name="fnref17_3"/>
      <w:bookmarkEnd w:id="101"/>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0AABB0E5">
      <w:pPr>
        <w:spacing w:after="210" w:line="360" w:lineRule="auto"/>
      </w:pPr>
      <w:r>
        <w:rPr>
          <w:rFonts w:ascii="inter" w:hAnsi="inter" w:eastAsia="inter" w:cs="inter"/>
          <w:color w:val="000000"/>
        </w:rPr>
        <w:t>最近开发的新生儿NET抑制因子（neonatal NET-inhibitory factor, nNIF）是人工合成的多肽，专门阻断血小板诱导的中性粒细胞NET形成。在小鼠卒中模型中，nNIF处理显著减少脑梗死体积、改善神经功能缺损评分，并显著提高卒中后存活率。关键的是，nNIF即使在卒中发症后1小时才给予仍具有保护效果，提示其具有较宽的临床应用时间窗口。nNIF的疗效在年轻、老龄、糖尿病和非糖尿病小鼠中均观察到，提示其广泛的可转化潜力。</w:t>
      </w:r>
      <w:bookmarkStart w:id="102" w:name="fnref17_4"/>
      <w:bookmarkEnd w:id="102"/>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103" w:name="fnref15_6"/>
      <w:bookmarkEnd w:id="103"/>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78BF615F">
      <w:pPr>
        <w:spacing w:before="315" w:after="105" w:line="360" w:lineRule="auto"/>
        <w:ind w:left="-30"/>
        <w:jc w:val="left"/>
      </w:pPr>
      <w:bookmarkStart w:id="104" w:name="bm_9_2_cxcr1_cxcr2拮抗"/>
      <w:r>
        <w:rPr>
          <w:rFonts w:ascii="inter" w:hAnsi="inter" w:eastAsia="inter" w:cs="inter"/>
          <w:b/>
          <w:color w:val="000000"/>
          <w:sz w:val="24"/>
        </w:rPr>
        <w:t>9.2 CXCR1/CXCR2拮抗</w:t>
      </w:r>
      <w:bookmarkEnd w:id="104"/>
    </w:p>
    <w:p w14:paraId="1B8A99DB">
      <w:pPr>
        <w:spacing w:after="210" w:line="360" w:lineRule="auto"/>
      </w:pPr>
      <w:r>
        <w:rPr>
          <w:rFonts w:ascii="inter" w:hAnsi="inter" w:eastAsia="inter" w:cs="inter"/>
          <w:color w:val="000000"/>
        </w:rPr>
        <w:t>CXCR2是CXCL1/CXCL2的主要受体，其阻断可减少中性粒细胞的骨髓动员和脑部浸润。Reparixin是CXCR1/CXCR2的等位基因拮抗剂，在啮齿动物脑缺血-再灌注模型中，Reparixin给药显著减少脑脊液中性粒细胞浸润、减少脑肿胀和梗死体积，改善神经功能结局。磁共振成像证实，CXCR2特异性拮抗剂SB225002在脑缺血后24小时也能有效减少大鼠脑中的中性粒细胞数量。</w:t>
      </w:r>
      <w:bookmarkStart w:id="105" w:name="fnref32"/>
      <w:bookmarkEnd w:id="105"/>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2716AA8B">
      <w:pPr>
        <w:spacing w:after="210" w:line="360" w:lineRule="auto"/>
      </w:pPr>
      <w:r>
        <w:rPr>
          <w:rFonts w:ascii="inter" w:hAnsi="inter" w:eastAsia="inter" w:cs="inter"/>
          <w:color w:val="000000"/>
        </w:rPr>
        <w:t>尽管CXCR1/2阻断在动物模型中显示出显著的神经保护效果，但其临床转化因多个因素而面临挑战，包括确保足够的血脑屏障穿透、最优化的给药时间窗口，以及与其他卒中治疗（如rt-PA血栓溶解）的相互作用。</w:t>
      </w:r>
    </w:p>
    <w:p w14:paraId="7EBA3750">
      <w:pPr>
        <w:spacing w:before="315" w:after="105" w:line="360" w:lineRule="auto"/>
        <w:ind w:left="-30"/>
        <w:jc w:val="left"/>
      </w:pPr>
      <w:bookmarkStart w:id="106" w:name="bm_9_3_髓过氧化物酶_mpo_的靶向抑制"/>
      <w:r>
        <w:rPr>
          <w:rFonts w:ascii="inter" w:hAnsi="inter" w:eastAsia="inter" w:cs="inter"/>
          <w:b/>
          <w:color w:val="000000"/>
          <w:sz w:val="24"/>
        </w:rPr>
        <w:t>9.3 髓过氧化物酶（MPO）的靶向抑制</w:t>
      </w:r>
      <w:bookmarkEnd w:id="106"/>
    </w:p>
    <w:p w14:paraId="26AF8701">
      <w:pPr>
        <w:spacing w:after="210" w:line="360" w:lineRule="auto"/>
      </w:pPr>
      <w:r>
        <w:rPr>
          <w:rFonts w:ascii="inter" w:hAnsi="inter" w:eastAsia="inter" w:cs="inter"/>
          <w:color w:val="000000"/>
        </w:rPr>
        <w:t>MPO是中性粒细胞和单核细胞产生次氯酸（HOCl）的关键酶，次氯酸是一种强氧化剂，可诱发脂质过氧化、蛋白质损伤和细胞死亡。MPO抑制剂N-乙酰基赖氨基酪氨基半胱氨酸酰胺（KYC）在卒中后脑内给予，显著减少脑组织中M1型小胶质细胞和N1型中性粒细胞的比例，促进神经干细胞的增殖和分化，并保护外源性移植的神经干细胞免受缺血脑环境的损伤。</w:t>
      </w:r>
      <w:bookmarkStart w:id="107" w:name="fnref33"/>
      <w:bookmarkEnd w:id="107"/>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p>
    <w:p w14:paraId="7F8BCAC1">
      <w:pPr>
        <w:spacing w:before="315" w:after="105" w:line="360" w:lineRule="auto"/>
        <w:ind w:left="-30"/>
        <w:jc w:val="left"/>
      </w:pPr>
      <w:bookmarkStart w:id="108" w:name="bm_9_4_专门促消炎脂质介质_spms_的补充"/>
      <w:r>
        <w:rPr>
          <w:rFonts w:ascii="inter" w:hAnsi="inter" w:eastAsia="inter" w:cs="inter"/>
          <w:b/>
          <w:color w:val="000000"/>
          <w:sz w:val="24"/>
        </w:rPr>
        <w:t>9.4 专门促消炎脂质介质（SPMs）的补充</w:t>
      </w:r>
      <w:bookmarkEnd w:id="108"/>
    </w:p>
    <w:p w14:paraId="1A465F44">
      <w:pPr>
        <w:spacing w:after="210" w:line="360" w:lineRule="auto"/>
      </w:pPr>
      <w:r>
        <w:rPr>
          <w:rFonts w:ascii="inter" w:hAnsi="inter" w:eastAsia="inter" w:cs="inter"/>
          <w:color w:val="000000"/>
        </w:rPr>
        <w:t>在脑卒中恢复过程中，专门促消炎脂质介质（包括脂氧素、resolvins、protectins和maresins）的内源性产生通常不足。外源给予脂氧素A4（LXA4）或D-resolvins（如RvD1）已显示出减少中性粒细胞浸润、促进微胶质细胞对中性粒细胞的吞噬、增强组织修复和促进功能恢复的效应。特别是，RvD1通过重编程小胶质细胞的能量代谢，增强其吞噬中性粒细胞的能力，从而减少中性粒细胞介导的组织损伤。这种方法的独特之处在于，它不是简单地抑制中性粒细胞的招募或激活，而是主动促进炎症解决过程，可能更符合生理的修复机制。</w:t>
      </w:r>
      <w:bookmarkStart w:id="109" w:name="fnref34"/>
      <w:bookmarkEnd w:id="109"/>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bookmarkStart w:id="110" w:name="fnref35"/>
      <w:bookmarkEnd w:id="110"/>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bookmarkStart w:id="111" w:name="fnref36"/>
      <w:bookmarkEnd w:id="111"/>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p>
    <w:p w14:paraId="3A23DEA1">
      <w:pPr>
        <w:spacing w:before="315" w:after="105" w:line="360" w:lineRule="auto"/>
        <w:ind w:left="-30"/>
        <w:jc w:val="left"/>
      </w:pPr>
      <w:bookmarkStart w:id="112" w:name="bm_9_5_其他新兴策略"/>
      <w:r>
        <w:rPr>
          <w:rFonts w:ascii="inter" w:hAnsi="inter" w:eastAsia="inter" w:cs="inter"/>
          <w:b/>
          <w:color w:val="000000"/>
          <w:sz w:val="24"/>
        </w:rPr>
        <w:t>9.5 其他新兴策略</w:t>
      </w:r>
      <w:bookmarkEnd w:id="112"/>
    </w:p>
    <w:p w14:paraId="3F85F378">
      <w:pPr>
        <w:spacing w:after="210" w:line="360" w:lineRule="auto"/>
      </w:pPr>
      <w:r>
        <w:rPr>
          <w:rFonts w:ascii="inter" w:hAnsi="inter" w:eastAsia="inter" w:cs="inter"/>
          <w:color w:val="000000"/>
        </w:rPr>
        <w:t>苯酰胺（benserazide），一种临床应用于帕金森病的DOPA脱羧酶抑制剂，最近被证实具有神经保护和抗炎作用。在体外，Benserazide显著抑制了PMA诱导的人类中性粒细胞的NETosis，并在与激活中性粒细胞共培养的神经元模型中提供了神经保护。在体内，周边给予Benserazide显著减少了脑内的中性粒细胞浸润、改变了小胶质细胞/巨噬细胞的表型，并改善了卒中后的行为学结局。Benserazide在欧洲已被批准用于临床治疗，这使其成为一个具有高度转化潜力的候选药物。</w:t>
      </w:r>
      <w:bookmarkStart w:id="113" w:name="fnref37"/>
      <w:bookmarkEnd w:id="113"/>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0E89A9A5">
      <w:pPr>
        <w:spacing w:before="315" w:after="105" w:line="360" w:lineRule="auto"/>
        <w:ind w:left="-30"/>
        <w:jc w:val="left"/>
      </w:pPr>
      <w:bookmarkStart w:id="114" w:name="十_临床试验的教训与未来挑战"/>
      <w:r>
        <w:rPr>
          <w:rFonts w:ascii="inter" w:hAnsi="inter" w:eastAsia="inter" w:cs="inter"/>
          <w:b/>
          <w:color w:val="000000"/>
          <w:sz w:val="24"/>
        </w:rPr>
        <w:t>十、临床试验的教训与未来挑战</w:t>
      </w:r>
      <w:bookmarkEnd w:id="114"/>
    </w:p>
    <w:p w14:paraId="1C1F202E">
      <w:pPr>
        <w:spacing w:before="315" w:after="105" w:line="360" w:lineRule="auto"/>
        <w:ind w:left="-30"/>
        <w:jc w:val="left"/>
      </w:pPr>
      <w:bookmarkStart w:id="115" w:name="bm_10_1_action_ii试验_中性粒细胞靶向治疗的失败与启示"/>
      <w:r>
        <w:rPr>
          <w:rFonts w:ascii="inter" w:hAnsi="inter" w:eastAsia="inter" w:cs="inter"/>
          <w:b/>
          <w:color w:val="000000"/>
          <w:sz w:val="24"/>
        </w:rPr>
        <w:t>10.1 ACTION II试验：中性粒细胞靶向治疗的失败与启示</w:t>
      </w:r>
      <w:bookmarkEnd w:id="115"/>
    </w:p>
    <w:p w14:paraId="5ED84A9B">
      <w:pPr>
        <w:spacing w:after="210" w:line="360" w:lineRule="auto"/>
      </w:pPr>
      <w:r>
        <w:rPr>
          <w:rFonts w:ascii="inter" w:hAnsi="inter" w:eastAsia="inter" w:cs="inter"/>
          <w:color w:val="000000"/>
        </w:rPr>
        <w:t>ACTION II是一项关键的临床试验，评估了中性粒细胞靶向单克隆抗体Natalizumab（靶向整合素α4）对急性缺血性卒中患者功能预后的影响。然而，这项试验最终失败，表明单纯的神经粒细胞清除策略在临床中可能过于简单化。</w:t>
      </w:r>
      <w:bookmarkStart w:id="116" w:name="fnref38"/>
      <w:bookmarkEnd w:id="116"/>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p>
    <w:p w14:paraId="45349F3C">
      <w:pPr>
        <w:spacing w:after="210" w:line="360" w:lineRule="auto"/>
      </w:pPr>
      <w:r>
        <w:rPr>
          <w:rFonts w:ascii="inter" w:hAnsi="inter" w:eastAsia="inter" w:cs="inter"/>
          <w:color w:val="000000"/>
        </w:rPr>
        <w:t>分析失败的根本原因揭示，仅在永久性中大脑中动脉闭塞（MCAO）和相对较小梗死灶的动物模型中，中性粒细胞清除才显示保护效果。这提示中性粒细胞的有害性与缺血的严重程度、血流恢复的完整性以及血脑屏障破坏程度等多个因素密切相关。在更复杂的临床情境中（如血流不完全阻塞、大面积梗死、或与早期再灌注治疗结合），单纯靶向中性粒细胞可能不够充分，甚至可能干扰正常的组织修复过程。</w:t>
      </w:r>
      <w:bookmarkStart w:id="117" w:name="fnref38_1"/>
      <w:bookmarkEnd w:id="117"/>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p>
    <w:p w14:paraId="6CDECA1B">
      <w:pPr>
        <w:spacing w:after="210" w:line="360" w:lineRule="auto"/>
      </w:pPr>
      <w:r>
        <w:rPr>
          <w:rFonts w:ascii="inter" w:hAnsi="inter" w:eastAsia="inter" w:cs="inter"/>
          <w:color w:val="000000"/>
        </w:rPr>
        <w:t>这一失败强调了几个关键认识：第一，中性粒细胞的靶向治疗需要更精准的患者选择标准；第二，治疗时间窗口至关重要，可能需要区分急性损伤阶段和恢复阶段采用不同策略；第三，组合治疗策略可能优于单一靶点干预。</w:t>
      </w:r>
    </w:p>
    <w:p w14:paraId="1E8C28BB">
      <w:pPr>
        <w:spacing w:before="315" w:after="105" w:line="360" w:lineRule="auto"/>
        <w:ind w:left="-30"/>
        <w:jc w:val="left"/>
      </w:pPr>
      <w:bookmarkStart w:id="118" w:name="bm_10_2_改进的治疗策略与个体化医学方向"/>
      <w:r>
        <w:rPr>
          <w:rFonts w:ascii="inter" w:hAnsi="inter" w:eastAsia="inter" w:cs="inter"/>
          <w:b/>
          <w:color w:val="000000"/>
          <w:sz w:val="24"/>
        </w:rPr>
        <w:t>10.2 改进的治疗策略与个体化医学方向</w:t>
      </w:r>
      <w:bookmarkEnd w:id="118"/>
    </w:p>
    <w:p w14:paraId="43850580">
      <w:pPr>
        <w:spacing w:after="210" w:line="360" w:lineRule="auto"/>
      </w:pPr>
      <w:r>
        <w:rPr>
          <w:rFonts w:ascii="inter" w:hAnsi="inter" w:eastAsia="inter" w:cs="inter"/>
          <w:color w:val="000000"/>
        </w:rPr>
        <w:t>鉴于ACTI II的教训，新兴的中性粒细胞靶向策略采用了更加精细化的设计：</w:t>
      </w:r>
    </w:p>
    <w:p w14:paraId="1C76539D">
      <w:pPr>
        <w:spacing w:after="210" w:line="360" w:lineRule="auto"/>
      </w:pPr>
      <w:r>
        <w:rPr>
          <w:rFonts w:ascii="inter" w:hAnsi="inter" w:eastAsia="inter" w:cs="inter"/>
          <w:b/>
          <w:color w:val="000000"/>
        </w:rPr>
        <w:t>时间优化</w:t>
      </w:r>
      <w:r>
        <w:rPr>
          <w:rFonts w:ascii="inter" w:hAnsi="inter" w:eastAsia="inter" w:cs="inter"/>
          <w:color w:val="000000"/>
        </w:rPr>
        <w:t>：许多新策略（如nNIF）已证实可在卒中发症后较晚的时间窗口（1小时或更晚）给予仍具有效果，这扩大了临床应用的可行性。</w:t>
      </w:r>
    </w:p>
    <w:p w14:paraId="00DAF660">
      <w:pPr>
        <w:spacing w:after="210" w:line="360" w:lineRule="auto"/>
      </w:pPr>
      <w:r>
        <w:rPr>
          <w:rFonts w:ascii="inter" w:hAnsi="inter" w:eastAsia="inter" w:cs="inter"/>
          <w:b/>
          <w:color w:val="000000"/>
        </w:rPr>
        <w:t>表型特异性靶向</w:t>
      </w:r>
      <w:r>
        <w:rPr>
          <w:rFonts w:ascii="inter" w:hAnsi="inter" w:eastAsia="inter" w:cs="inter"/>
          <w:color w:val="000000"/>
        </w:rPr>
        <w:t>：区分不同的中性粒细胞亚群（N1 vs N2，衰老型 vs 免疫抑制型），仅靶向有害的亚群，可能比全局中性粒细胞清除更安全有效。</w:t>
      </w:r>
    </w:p>
    <w:p w14:paraId="5966C6C0">
      <w:pPr>
        <w:spacing w:after="210" w:line="360" w:lineRule="auto"/>
      </w:pPr>
      <w:r>
        <w:rPr>
          <w:rFonts w:ascii="inter" w:hAnsi="inter" w:eastAsia="inter" w:cs="inter"/>
          <w:b/>
          <w:color w:val="000000"/>
        </w:rPr>
        <w:t>性别和年龄特异性方法</w:t>
      </w:r>
      <w:r>
        <w:rPr>
          <w:rFonts w:ascii="inter" w:hAnsi="inter" w:eastAsia="inter" w:cs="inter"/>
          <w:color w:val="000000"/>
        </w:rPr>
        <w:t>：基于衰老增强中性粒细胞病理性、性别影响中性粒细胞招募程度的认识，未来的临床试验应分别在老龄和年轻患者群体、男性和女性患者中进行评估，而不是混合分析。</w:t>
      </w:r>
    </w:p>
    <w:p w14:paraId="6E81288A">
      <w:pPr>
        <w:spacing w:after="210" w:line="360" w:lineRule="auto"/>
      </w:pPr>
      <w:r>
        <w:rPr>
          <w:rFonts w:ascii="inter" w:hAnsi="inter" w:eastAsia="inter" w:cs="inter"/>
          <w:b/>
          <w:color w:val="000000"/>
        </w:rPr>
        <w:t>生物标志物驱动的患者选择</w:t>
      </w:r>
      <w:r>
        <w:rPr>
          <w:rFonts w:ascii="inter" w:hAnsi="inter" w:eastAsia="inter" w:cs="inter"/>
          <w:color w:val="000000"/>
        </w:rPr>
        <w:t>：使用NLR、NET标志物（H3Cit、MPO-DNA）、中性粒细胞弹性蛋白酶等作为生物标志物来识别那些中性粒细胞驱动的炎症占主导的患者，可能更有效地选择将从中性粒细胞靶向治疗中获益的患者。</w:t>
      </w:r>
    </w:p>
    <w:p w14:paraId="18D4E1A4">
      <w:pPr>
        <w:spacing w:after="210" w:line="360" w:lineRule="auto"/>
      </w:pPr>
      <w:r>
        <w:rPr>
          <w:rFonts w:ascii="inter" w:hAnsi="inter" w:eastAsia="inter" w:cs="inter"/>
          <w:b/>
          <w:color w:val="000000"/>
        </w:rPr>
        <w:t>整合治疗策略</w:t>
      </w:r>
      <w:r>
        <w:rPr>
          <w:rFonts w:ascii="inter" w:hAnsi="inter" w:eastAsia="inter" w:cs="inter"/>
          <w:color w:val="000000"/>
        </w:rPr>
        <w:t>：将中性粒细胞靶向与促炎症消退策略（如SPM给予）相结合，既抑制有害的N1极化，又促进有益的N2极化和组织修复，可能比单纯抑制策略更优。</w:t>
      </w:r>
    </w:p>
    <w:p w14:paraId="14AC9BBF">
      <w:pPr>
        <w:spacing w:before="315" w:after="105" w:line="360" w:lineRule="auto"/>
        <w:ind w:left="-30"/>
        <w:jc w:val="left"/>
      </w:pPr>
      <w:bookmarkStart w:id="119" w:name="十一_与其他神经系统疾病的类比与更广泛的意义"/>
      <w:r>
        <w:rPr>
          <w:rFonts w:ascii="inter" w:hAnsi="inter" w:eastAsia="inter" w:cs="inter"/>
          <w:b/>
          <w:color w:val="000000"/>
          <w:sz w:val="24"/>
        </w:rPr>
        <w:t>十一、与其他神经系统疾病的类比与更广泛的意义</w:t>
      </w:r>
      <w:bookmarkEnd w:id="119"/>
    </w:p>
    <w:p w14:paraId="4C341E71">
      <w:pPr>
        <w:spacing w:after="210" w:line="360" w:lineRule="auto"/>
      </w:pPr>
      <w:r>
        <w:rPr>
          <w:rFonts w:ascii="inter" w:hAnsi="inter" w:eastAsia="inter" w:cs="inter"/>
          <w:color w:val="000000"/>
        </w:rPr>
        <w:t>中性粒细胞介导的神经炎症的机制在多种神经系统疾病中表现出了显著的共通性，这为理解广泛的神经病理学过程和开发通用的神经炎症靶向治疗提供了机会。</w:t>
      </w:r>
    </w:p>
    <w:p w14:paraId="2BF5CC98">
      <w:pPr>
        <w:spacing w:before="315" w:after="105" w:line="360" w:lineRule="auto"/>
        <w:ind w:left="-30"/>
        <w:jc w:val="left"/>
      </w:pPr>
      <w:bookmarkStart w:id="120" w:name="bm_11_1_创伤性脑损伤与脑缺血的平行性"/>
      <w:r>
        <w:rPr>
          <w:rFonts w:ascii="inter" w:hAnsi="inter" w:eastAsia="inter" w:cs="inter"/>
          <w:b/>
          <w:color w:val="000000"/>
          <w:sz w:val="24"/>
        </w:rPr>
        <w:t>11.1 创伤性脑损伤与脑缺血的平行性</w:t>
      </w:r>
      <w:bookmarkEnd w:id="120"/>
    </w:p>
    <w:p w14:paraId="371E08F2">
      <w:pPr>
        <w:spacing w:after="210" w:line="360" w:lineRule="auto"/>
      </w:pPr>
      <w:r>
        <w:rPr>
          <w:rFonts w:ascii="inter" w:hAnsi="inter" w:eastAsia="inter" w:cs="inter"/>
          <w:color w:val="000000"/>
        </w:rPr>
        <w:t>创伤性脑损伤（TBI）后的急性炎症过程与脑缺血-再灌注损伤在中性粒细胞募集、BBB破坏和NETosis形成等方面表现出显著的相似性。在两种情况下，损伤相关分子模式（DAMPs）释放都诱发类似的粘附分子表达级联和趋化因子梯度形成。有趣的是，在创伤性脑损伤中，利用工程化的中性粒细胞作为药物递送载体的新策略已被提出，因为中性粒细胞的阿米巴样运动特性使其相比传统纳米颗粒更容易穿越受伤的血脑屏障。</w:t>
      </w:r>
      <w:bookmarkStart w:id="121" w:name="fnref39"/>
      <w:bookmarkEnd w:id="121"/>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p>
    <w:p w14:paraId="3CAC41EE">
      <w:pPr>
        <w:spacing w:before="315" w:after="105" w:line="360" w:lineRule="auto"/>
        <w:ind w:left="-30"/>
        <w:jc w:val="left"/>
      </w:pPr>
      <w:bookmarkStart w:id="122" w:name="bm_11_2_神经退行性疾病中的中性粒细胞参与"/>
      <w:r>
        <w:rPr>
          <w:rFonts w:ascii="inter" w:hAnsi="inter" w:eastAsia="inter" w:cs="inter"/>
          <w:b/>
          <w:color w:val="000000"/>
          <w:sz w:val="24"/>
        </w:rPr>
        <w:t>11.2 神经退行性疾病中的中性粒细胞参与</w:t>
      </w:r>
      <w:bookmarkEnd w:id="122"/>
    </w:p>
    <w:p w14:paraId="2B328503">
      <w:pPr>
        <w:spacing w:after="210" w:line="360" w:lineRule="auto"/>
      </w:pPr>
      <w:r>
        <w:rPr>
          <w:rFonts w:ascii="inter" w:hAnsi="inter" w:eastAsia="inter" w:cs="inter"/>
          <w:color w:val="000000"/>
        </w:rPr>
        <w:t>证据日益增多表明，异常的中性粒细胞反应可能参与阿尔茨海默病和多发性硬化症等神经退行性疾病的早期和进展阶段。在阿尔茨海默病中，β-淀粉样蛋白聚集和Tau缠结诱发的神经炎症涉及中性粒细胞的招募和NETosis，后者可进一步加速神经元退化。这些发现提示，在不同的神经病理背景下（急性缺血、外伤、神经退行性变），靶向中性粒细胞的一些策略可能具有广泛的适用性。</w:t>
      </w:r>
    </w:p>
    <w:p w14:paraId="19EE616B">
      <w:pPr>
        <w:spacing w:before="315" w:after="105" w:line="360" w:lineRule="auto"/>
        <w:ind w:left="-30"/>
        <w:jc w:val="left"/>
      </w:pPr>
      <w:bookmarkStart w:id="123" w:name="bm_11_3_全身炎症反应与远隔效应"/>
      <w:r>
        <w:rPr>
          <w:rFonts w:ascii="inter" w:hAnsi="inter" w:eastAsia="inter" w:cs="inter"/>
          <w:b/>
          <w:color w:val="000000"/>
          <w:sz w:val="24"/>
        </w:rPr>
        <w:t>11.3 全身炎症反应与远隔效应</w:t>
      </w:r>
      <w:bookmarkEnd w:id="123"/>
    </w:p>
    <w:p w14:paraId="4E96F59F">
      <w:pPr>
        <w:spacing w:after="210" w:line="360" w:lineRule="auto"/>
      </w:pPr>
      <w:r>
        <w:rPr>
          <w:rFonts w:ascii="inter" w:hAnsi="inter" w:eastAsia="inter" w:cs="inter"/>
          <w:color w:val="000000"/>
        </w:rPr>
        <w:t>脑缺血诱发的中性粒细胞大规模动员和激活不仅对脑部造成直接伤害，还可触发全身性炎症反应，导致肺部、心脏、肠道等远隔器官的继发性损伤。这一认识扩展了脑卒中病理学的视野，提示中性粒细胞靶向治疗的潜在全身健康益处可能超越神经组织。</w:t>
      </w:r>
    </w:p>
    <w:p w14:paraId="3612A73F">
      <w:pPr>
        <w:spacing w:before="315" w:after="105" w:line="360" w:lineRule="auto"/>
        <w:ind w:left="-30"/>
        <w:jc w:val="left"/>
      </w:pPr>
      <w:bookmarkStart w:id="124" w:name="十二_展望与未来研究方向"/>
      <w:r>
        <w:rPr>
          <w:rFonts w:ascii="inter" w:hAnsi="inter" w:eastAsia="inter" w:cs="inter"/>
          <w:b/>
          <w:color w:val="000000"/>
          <w:sz w:val="24"/>
        </w:rPr>
        <w:t>十二、展望与未来研究方向</w:t>
      </w:r>
      <w:bookmarkEnd w:id="124"/>
    </w:p>
    <w:p w14:paraId="23D952AD">
      <w:pPr>
        <w:spacing w:before="315" w:after="105" w:line="360" w:lineRule="auto"/>
        <w:ind w:left="-30"/>
        <w:jc w:val="left"/>
      </w:pPr>
      <w:bookmarkStart w:id="125" w:name="bm_12_1_多组学与精准医学的整合"/>
      <w:r>
        <w:rPr>
          <w:rFonts w:ascii="inter" w:hAnsi="inter" w:eastAsia="inter" w:cs="inter"/>
          <w:b/>
          <w:color w:val="000000"/>
          <w:sz w:val="24"/>
        </w:rPr>
        <w:t>12.1 多组学与精准医学的整合</w:t>
      </w:r>
      <w:bookmarkEnd w:id="125"/>
    </w:p>
    <w:p w14:paraId="023CB1E5">
      <w:pPr>
        <w:spacing w:after="210" w:line="360" w:lineRule="auto"/>
      </w:pPr>
      <w:r>
        <w:rPr>
          <w:rFonts w:ascii="inter" w:hAnsi="inter" w:eastAsia="inter" w:cs="inter"/>
          <w:color w:val="000000"/>
        </w:rPr>
        <w:t>尽管本综述总结了大量关于中性粒细胞在脑缺血中作用的研究，但许多关键问题仍未完全解答。未来的研究应利用单细胞转录组学、蛋白质组学和代谢组学等多组学技术，绘制不同中性粒细胞亚群的完整分子图景，理解亚群间的可塑性和转变的分子驱动力。</w:t>
      </w:r>
    </w:p>
    <w:p w14:paraId="5696AF86">
      <w:pPr>
        <w:spacing w:before="315" w:after="105" w:line="360" w:lineRule="auto"/>
        <w:ind w:left="-30"/>
        <w:jc w:val="left"/>
      </w:pPr>
      <w:bookmarkStart w:id="126" w:name="bm_12_2_时空动态与微环境影响"/>
      <w:r>
        <w:rPr>
          <w:rFonts w:ascii="inter" w:hAnsi="inter" w:eastAsia="inter" w:cs="inter"/>
          <w:b/>
          <w:color w:val="000000"/>
          <w:sz w:val="24"/>
        </w:rPr>
        <w:t>12.2 时空动态与微环境影响</w:t>
      </w:r>
      <w:bookmarkEnd w:id="126"/>
    </w:p>
    <w:p w14:paraId="4090A4AA">
      <w:pPr>
        <w:spacing w:after="210" w:line="360" w:lineRule="auto"/>
      </w:pPr>
      <w:r>
        <w:rPr>
          <w:rFonts w:ascii="inter" w:hAnsi="inter" w:eastAsia="inter" w:cs="inter"/>
          <w:color w:val="000000"/>
        </w:rPr>
        <w:t>中性粒细胞的功能不仅取决于其内在特性，也受到局部微环境（如氧分压、代谢产物浓度、基质刚度）的深刻影响。结合高分辨率成像和实时监测技术，追踪单个中性粒细胞在脑缺血中的动态行为，理解其与脑细胞、胶质细胞和血管细胞的实时相互作用，将有助于更深入地理解中性粒细胞的功能转变。</w:t>
      </w:r>
    </w:p>
    <w:p w14:paraId="3B2C1D33">
      <w:pPr>
        <w:spacing w:before="315" w:after="105" w:line="360" w:lineRule="auto"/>
        <w:ind w:left="-30"/>
        <w:jc w:val="left"/>
      </w:pPr>
      <w:bookmarkStart w:id="127" w:name="bm_12_3_性别与年龄特异性临床试验设计"/>
      <w:r>
        <w:rPr>
          <w:rFonts w:ascii="inter" w:hAnsi="inter" w:eastAsia="inter" w:cs="inter"/>
          <w:b/>
          <w:color w:val="000000"/>
          <w:sz w:val="24"/>
        </w:rPr>
        <w:t>12.3 性别与年龄特异性临床试验设计</w:t>
      </w:r>
      <w:bookmarkEnd w:id="127"/>
    </w:p>
    <w:p w14:paraId="5EB0FE30">
      <w:pPr>
        <w:spacing w:after="210" w:line="360" w:lineRule="auto"/>
      </w:pPr>
      <w:r>
        <w:rPr>
          <w:rFonts w:ascii="inter" w:hAnsi="inter" w:eastAsia="inter" w:cs="inter"/>
          <w:color w:val="000000"/>
        </w:rPr>
        <w:t>鉴于性别和年龄对中性粒细胞病理性的深刻影响，未来的临床试验应明确计划在不同年龄和性别群体中的分层分析，而不仅仅是事后亚组分析。这可能需要增加样本量，但必要的精准医学方法应成为新时代卒中治疗临床试验的标准做法。</w:t>
      </w:r>
    </w:p>
    <w:p w14:paraId="66F754B6">
      <w:pPr>
        <w:spacing w:before="315" w:after="105" w:line="360" w:lineRule="auto"/>
        <w:ind w:left="-30"/>
        <w:jc w:val="left"/>
      </w:pPr>
      <w:bookmarkStart w:id="128" w:name="bm_12_4_再灌注治疗的优化与联合策略"/>
      <w:r>
        <w:rPr>
          <w:rFonts w:ascii="inter" w:hAnsi="inter" w:eastAsia="inter" w:cs="inter"/>
          <w:b/>
          <w:color w:val="000000"/>
          <w:sz w:val="24"/>
        </w:rPr>
        <w:t>12.4 再灌注治疗的优化与联合策略</w:t>
      </w:r>
      <w:bookmarkEnd w:id="128"/>
    </w:p>
    <w:p w14:paraId="5FC62154">
      <w:pPr>
        <w:spacing w:after="210" w:line="360" w:lineRule="auto"/>
      </w:pPr>
      <w:r>
        <w:rPr>
          <w:rFonts w:ascii="inter" w:hAnsi="inter" w:eastAsia="inter" w:cs="inter"/>
          <w:color w:val="000000"/>
        </w:rPr>
        <w:t>血栓溶解（rt-PA）和机械血栓切除术（MT）通过恢复血流而拯救缺血脑组织，但同时也加速了再灌注损伤级联，包括NETosis的启动和额外的中性粒细胞活化。理想的结合策略应首先通过再灌注恢复灌注，同时通过靶向治疗（特别是NET抑制或促进炎症消退）来最小化再灌注损伤。</w:t>
      </w:r>
    </w:p>
    <w:p w14:paraId="594B1D8C">
      <w:pPr>
        <w:spacing w:before="315" w:after="105" w:line="360" w:lineRule="auto"/>
        <w:ind w:left="-30"/>
        <w:jc w:val="left"/>
      </w:pPr>
      <w:bookmarkStart w:id="129" w:name="bm_12_5_神经_免疫轴的更深入理解"/>
      <w:r>
        <w:rPr>
          <w:rFonts w:ascii="inter" w:hAnsi="inter" w:eastAsia="inter" w:cs="inter"/>
          <w:b/>
          <w:color w:val="000000"/>
          <w:sz w:val="24"/>
        </w:rPr>
        <w:t>12.5 神经-免疫轴的更深入理解</w:t>
      </w:r>
      <w:bookmarkEnd w:id="129"/>
    </w:p>
    <w:p w14:paraId="676E3CFE">
      <w:pPr>
        <w:spacing w:after="210" w:line="360" w:lineRule="auto"/>
      </w:pPr>
      <w:r>
        <w:rPr>
          <w:rFonts w:ascii="inter" w:hAnsi="inter" w:eastAsia="inter" w:cs="inter"/>
          <w:color w:val="000000"/>
        </w:rPr>
        <w:t>中枢神经系统通过迷走神经和交感神经的传出信号，以及循环细胞因子的输入信号，与外周免疫系统建立双向交流。进一步解析脑缺血引发的神经-免疫轴重编程，可能揭示为什么某些患者的中性粒细胞反应过度而其他患者相对温和，从而识别个体化治疗的新标志物。</w:t>
      </w:r>
    </w:p>
    <w:p w14:paraId="6D5848B2">
      <w:pPr>
        <w:spacing w:before="315" w:after="105" w:line="360" w:lineRule="auto"/>
        <w:ind w:left="-30"/>
        <w:jc w:val="left"/>
      </w:pPr>
      <w:bookmarkStart w:id="130" w:name="结论"/>
      <w:r>
        <w:rPr>
          <w:rFonts w:ascii="inter" w:hAnsi="inter" w:eastAsia="inter" w:cs="inter"/>
          <w:b/>
          <w:color w:val="000000"/>
          <w:sz w:val="24"/>
        </w:rPr>
        <w:t>结论</w:t>
      </w:r>
      <w:bookmarkEnd w:id="130"/>
    </w:p>
    <w:p w14:paraId="0B905A39">
      <w:pPr>
        <w:spacing w:after="210" w:line="360" w:lineRule="auto"/>
      </w:pPr>
      <w:r>
        <w:rPr>
          <w:rFonts w:ascii="inter" w:hAnsi="inter" w:eastAsia="inter" w:cs="inter"/>
          <w:color w:val="000000"/>
        </w:rPr>
        <w:t>中性粒细胞在脑缺血病理生物学中的角色是复杂、多面且时间依赖的。这一综述的证据表明，虽然中性粒细胞在卒中急性期主要通过释放蛋白酶、ROS和NETs而加重脑损伤，但它们在恢复期（N2表型）也参与必要的组织清理、血管重构和神经修复过程。脑缺血后的最优神经保护策略不应简单地追求"中性粒细胞最少化"，而应追求更精细的"中性粒细胞功能优化"——抑制早期的有害N1极化和NETosis，同时促进和延长N2表型的保护功能。</w:t>
      </w:r>
    </w:p>
    <w:p w14:paraId="307A1A17">
      <w:pPr>
        <w:spacing w:after="210" w:line="360" w:lineRule="auto"/>
      </w:pPr>
      <w:r>
        <w:rPr>
          <w:rFonts w:ascii="inter" w:hAnsi="inter" w:eastAsia="inter" w:cs="inter"/>
          <w:color w:val="000000"/>
        </w:rPr>
        <w:t>新兴的靶向策略（特别是NET抑制和促消炎脂质介质给予）已在实验模型中显示出有前景的结果，部分具有较宽的临床应用时间窗口和在老龄患者中的特殊优势。成功的临床转化需要精准的患者选择（基于生物标志物和人口统计学特征）、优化的给药时间窗口、与现有再灌注治疗的合理整合，以及性别和年龄特异性的临床试验设计。</w:t>
      </w:r>
    </w:p>
    <w:p w14:paraId="034F68C0">
      <w:pPr>
        <w:spacing w:after="210" w:line="360" w:lineRule="auto"/>
      </w:pPr>
      <w:r>
        <w:rPr>
          <w:rFonts w:ascii="inter" w:hAnsi="inter" w:eastAsia="inter" w:cs="inter"/>
          <w:color w:val="000000"/>
        </w:rPr>
        <w:t>随着单细胞技术、多组学和高分辨率活体成像技术的进步，我们对中性粒细胞在脑缺血中的分子和细胞机制的理解将继续深化，为开发真正个体化的卒中治疗奠定科学基础。未来的脑卒中治疗将不仅仅关注再灌注的及时性和完整性，更将关注如何精准调控卒中触发的内源性免疫反应，将有害转化为有益，这是提高卒中患者预后的关键前沿。</w:t>
      </w:r>
    </w:p>
    <w:p w14:paraId="76E0B165">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45903FB0">
      <w:pPr>
        <w:spacing w:before="315" w:after="105" w:line="360" w:lineRule="auto"/>
        <w:ind w:left="-30"/>
        <w:jc w:val="left"/>
      </w:pPr>
      <w:bookmarkStart w:id="131" w:name="参考文献速查"/>
      <w:r>
        <w:rPr>
          <w:rFonts w:ascii="inter" w:hAnsi="inter" w:eastAsia="inter" w:cs="inter"/>
          <w:b/>
          <w:color w:val="000000"/>
          <w:sz w:val="24"/>
        </w:rPr>
        <w:t>参考文献速查</w:t>
      </w:r>
      <w:bookmarkEnd w:id="131"/>
    </w:p>
    <w:p w14:paraId="768BA944">
      <w:pPr>
        <w:spacing w:after="210" w:line="360" w:lineRule="auto"/>
      </w:pPr>
      <w:r>
        <w:rPr>
          <w:rFonts w:ascii="inter" w:hAnsi="inter" w:eastAsia="inter" w:cs="inter"/>
          <w:color w:val="000000"/>
        </w:rPr>
        <w:t>Functional dynamics of neutrophils after ischemic stroke (2019) - PMC6993940</w:t>
      </w:r>
      <w:bookmarkStart w:id="132" w:name="fnref2_5"/>
      <w:bookmarkEnd w:id="13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Neutrophil extracellular traps released by neutrophils impair revascularization (2020) - Nature</w:t>
      </w:r>
      <w:bookmarkStart w:id="133" w:name="fnref19_1"/>
      <w:bookmarkEnd w:id="133"/>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Neutrophil extracellular traps regulate ischemic stroke brain injury (2022) - JCI</w:t>
      </w:r>
      <w:bookmarkStart w:id="134" w:name="fnref17_5"/>
      <w:bookmarkEnd w:id="134"/>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Harmful neutrophil subsets in patients with ischemic stroke (2019) - Neurology</w:t>
      </w:r>
      <w:bookmarkStart w:id="135" w:name="fnref14_5"/>
      <w:bookmarkEnd w:id="135"/>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Neutrophil Extracellular Traps in Cerebral Ischemia/Reperfusion Injury (2023) - PMC</w:t>
      </w:r>
      <w:bookmarkStart w:id="136" w:name="fnref33_1"/>
      <w:bookmarkEnd w:id="136"/>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Neutrophil extracellular traps in ischemic stroke (2025) - Frontiers</w:t>
      </w:r>
      <w:bookmarkStart w:id="137" w:name="fnref20_1"/>
      <w:bookmarkEnd w:id="137"/>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New Insight Into Neutrophils: A Potential Therapeutic Target (2021) - Frontiers</w:t>
      </w:r>
      <w:bookmarkStart w:id="138" w:name="fnref3_5"/>
      <w:bookmarkEnd w:id="138"/>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Neutrophils Obstructing Brain Capillaries Are a Major Cause of No-Reflow (2020) - Nature</w:t>
      </w:r>
      <w:bookmarkStart w:id="139" w:name="fnref40"/>
      <w:bookmarkEnd w:id="139"/>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Mapping neutrophil fate and function in ischemic stroke - Science</w:t>
      </w:r>
      <w:bookmarkStart w:id="140" w:name="fnref41"/>
      <w:bookmarkEnd w:id="140"/>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N2 neutrophils may participate in spontaneous recovery after transient cerebral ischemia (2019) - Science</w:t>
      </w:r>
      <w:bookmarkStart w:id="141" w:name="fnref7_2"/>
      <w:bookmarkEnd w:id="141"/>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Neutrophil-Related Oxidants Drive Heart and Brain Remodeling (2020) - Frontiers</w:t>
      </w:r>
      <w:bookmarkStart w:id="142" w:name="fnref24_3"/>
      <w:bookmarkEnd w:id="142"/>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Aging exacerbates neutrophil pathogenicity in ischemic stroke (2020) - PMC</w:t>
      </w:r>
      <w:bookmarkStart w:id="143" w:name="fnref12_5"/>
      <w:bookmarkEnd w:id="143"/>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ROS-activated CXCR2+ neutrophils recruited by CXCL1 (2022) - Nature</w:t>
      </w:r>
      <w:bookmarkStart w:id="144" w:name="fnref11_1"/>
      <w:bookmarkEnd w:id="144"/>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Blockade of CXCR1/2 chemokine receptors protects against brain (2013) - PMC</w:t>
      </w:r>
      <w:bookmarkStart w:id="145" w:name="fnref32_1"/>
      <w:bookmarkEnd w:id="145"/>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Aging alters the immunological response to ischemic stroke (2018) - PMC</w:t>
      </w:r>
      <w:bookmarkStart w:id="146" w:name="fnref29_1"/>
      <w:bookmarkEnd w:id="146"/>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Targeting neutrophils in ischemic stroke: translational insights (2015) - PMC</w:t>
      </w:r>
      <w:bookmarkStart w:id="147" w:name="fnref1_4"/>
      <w:bookmarkEnd w:id="147"/>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Advancement in neutrophil-based drug delivery systems (2025) - PMC</w:t>
      </w:r>
      <w:bookmarkStart w:id="148" w:name="fnref39_1"/>
      <w:bookmarkEnd w:id="148"/>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Harmful neutrophil subsets in patients with ischemic stroke (2019) - PMC</w:t>
      </w:r>
      <w:bookmarkStart w:id="149" w:name="fnref13_2"/>
      <w:bookmarkEnd w:id="149"/>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缺血性脑卒中与炎症反应的相关性 (丁香园)</w:t>
      </w:r>
      <w:bookmarkStart w:id="150" w:name="fnref10_1"/>
      <w:bookmarkEnd w:id="150"/>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The association between variation of neutrophil-to-lymphocyte ratio (2025) - Nature</w:t>
      </w:r>
      <w:bookmarkStart w:id="151" w:name="fnref5_1"/>
      <w:bookmarkEnd w:id="151"/>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缺血性脑卒中:从机制到治疗 (2024)</w:t>
      </w:r>
      <w:bookmarkStart w:id="152" w:name="fnref42"/>
      <w:bookmarkEnd w:id="152"/>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中性粒细胞外陷阱在脑卒中病理学中的演变及作用机制</w:t>
      </w:r>
      <w:bookmarkStart w:id="153" w:name="fnref43"/>
      <w:bookmarkEnd w:id="153"/>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Neutrophil Mobilization Triggers Microglial Functional Change (2025) - Advanced Science</w:t>
      </w:r>
      <w:bookmarkStart w:id="154" w:name="fnref44"/>
      <w:bookmarkEnd w:id="154"/>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中性粒细胞在缺血性脑卒中的作用研究进展</w:t>
      </w:r>
      <w:bookmarkStart w:id="155" w:name="fnref45"/>
      <w:bookmarkEnd w:id="155"/>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Neutrophil extracellular traps regulate ischemic stroke brain injury (2022) - PMC</w:t>
      </w:r>
      <w:bookmarkStart w:id="156" w:name="fnref15_7"/>
      <w:bookmarkEnd w:id="156"/>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Immune Cells in the BBB Disruption After Acute Ischemic Stroke (2021) - PMC</w:t>
      </w:r>
      <w:bookmarkStart w:id="157" w:name="fnref18_2"/>
      <w:bookmarkEnd w:id="157"/>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Blood-brain barrier breakdown in brain ischemia (2024) - PMC</w:t>
      </w:r>
      <w:bookmarkStart w:id="158" w:name="fnref46"/>
      <w:bookmarkEnd w:id="158"/>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Mast Cells Promote Blood Brain Barrier Breakdown (2015) - journals.sagepub</w:t>
      </w:r>
      <w:bookmarkStart w:id="159" w:name="fnref47"/>
      <w:bookmarkEnd w:id="159"/>
      <w:r>
        <w:fldChar w:fldCharType="begin"/>
      </w:r>
      <w:r>
        <w:instrText xml:space="preserve"> HYPERLINK \l "fn47" \h </w:instrText>
      </w:r>
      <w:r>
        <w:fldChar w:fldCharType="separate"/>
      </w:r>
      <w:r>
        <w:rPr>
          <w:rFonts w:ascii="inter" w:hAnsi="inter" w:eastAsia="inter" w:cs="inter"/>
          <w:color w:val="000000"/>
          <w:u w:val="single"/>
          <w:vertAlign w:val="superscript"/>
        </w:rPr>
        <w:t>[47]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Research trends on neutrophil extracellular traps in ischemic stroke (2025) - PMC</w:t>
      </w:r>
      <w:bookmarkStart w:id="160" w:name="fnref16_1"/>
      <w:bookmarkEnd w:id="160"/>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Inhibition of Neutrophil Extracellular Traps (2025) - IMRPress</w:t>
      </w:r>
      <w:bookmarkStart w:id="161" w:name="fnref48"/>
      <w:bookmarkEnd w:id="161"/>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Neutrophil N1 polarization induced by cardiomyocyte-derived (2024) - PMC</w:t>
      </w:r>
      <w:bookmarkStart w:id="162" w:name="fnref49"/>
      <w:bookmarkEnd w:id="162"/>
      <w:r>
        <w:fldChar w:fldCharType="begin"/>
      </w:r>
      <w:r>
        <w:instrText xml:space="preserve"> HYPERLINK \l "fn49" \h </w:instrText>
      </w:r>
      <w:r>
        <w:fldChar w:fldCharType="separate"/>
      </w:r>
      <w:r>
        <w:rPr>
          <w:rFonts w:ascii="inter" w:hAnsi="inter" w:eastAsia="inter" w:cs="inter"/>
          <w:color w:val="000000"/>
          <w:u w:val="single"/>
          <w:vertAlign w:val="superscript"/>
        </w:rPr>
        <w:t>[49]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The NLRP3 inflammasome in ischemic stroke (2024) - Frontiers</w:t>
      </w:r>
      <w:bookmarkStart w:id="163" w:name="fnref50"/>
      <w:bookmarkEnd w:id="163"/>
      <w:r>
        <w:fldChar w:fldCharType="begin"/>
      </w:r>
      <w:r>
        <w:instrText xml:space="preserve"> HYPERLINK \l "fn50" \h </w:instrText>
      </w:r>
      <w:r>
        <w:fldChar w:fldCharType="separate"/>
      </w:r>
      <w:r>
        <w:rPr>
          <w:rFonts w:ascii="inter" w:hAnsi="inter" w:eastAsia="inter" w:cs="inter"/>
          <w:color w:val="000000"/>
          <w:u w:val="single"/>
          <w:vertAlign w:val="superscript"/>
        </w:rPr>
        <w:t>[50]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The NLRP3 inflammasome and stroke (2015) - PMC</w:t>
      </w:r>
      <w:bookmarkStart w:id="164" w:name="fnref51"/>
      <w:bookmarkEnd w:id="164"/>
      <w:r>
        <w:fldChar w:fldCharType="begin"/>
      </w:r>
      <w:r>
        <w:instrText xml:space="preserve"> HYPERLINK \l "fn51" \h </w:instrText>
      </w:r>
      <w:r>
        <w:fldChar w:fldCharType="separate"/>
      </w:r>
      <w:r>
        <w:rPr>
          <w:rFonts w:ascii="inter" w:hAnsi="inter" w:eastAsia="inter" w:cs="inter"/>
          <w:color w:val="000000"/>
          <w:u w:val="single"/>
          <w:vertAlign w:val="superscript"/>
        </w:rPr>
        <w:t>[51]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Neutrophil dynamics and inflammaging in acute ischemic stroke (2022) - PMC</w:t>
      </w:r>
      <w:bookmarkStart w:id="165" w:name="fnref52"/>
      <w:bookmarkEnd w:id="165"/>
      <w:r>
        <w:fldChar w:fldCharType="begin"/>
      </w:r>
      <w:r>
        <w:instrText xml:space="preserve"> HYPERLINK \l "fn52" \h </w:instrText>
      </w:r>
      <w:r>
        <w:fldChar w:fldCharType="separate"/>
      </w:r>
      <w:r>
        <w:rPr>
          <w:rFonts w:ascii="inter" w:hAnsi="inter" w:eastAsia="inter" w:cs="inter"/>
          <w:color w:val="000000"/>
          <w:u w:val="single"/>
          <w:vertAlign w:val="superscript"/>
        </w:rPr>
        <w:t>[52]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Neutrophils in Tissue Injury and Repair (2025) - PMC</w:t>
      </w:r>
      <w:bookmarkStart w:id="166" w:name="fnref6_1"/>
      <w:bookmarkEnd w:id="166"/>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 labeling strategy for the three-dimensional recognition (2022) - Theranostics</w:t>
      </w:r>
      <w:bookmarkStart w:id="167" w:name="fnref22_2"/>
      <w:bookmarkEnd w:id="167"/>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Crosstalk between oxidative stress and neutrophil response (2023) - PMC</w:t>
      </w:r>
      <w:bookmarkStart w:id="168" w:name="fnref21_2"/>
      <w:bookmarkEnd w:id="168"/>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Microglial cell loss after ischemic stroke favors brain neutrophil (2018) - PMC</w:t>
      </w:r>
      <w:bookmarkStart w:id="169" w:name="fnref26_1"/>
      <w:bookmarkEnd w:id="169"/>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Sustaining microglial reparative function enhances stroke recovery (2024) - bioRxiv</w:t>
      </w:r>
      <w:bookmarkStart w:id="170" w:name="fnref27_1"/>
      <w:bookmarkEnd w:id="170"/>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No-reflow phenomenon in the heart and brain (2018) - AJP</w:t>
      </w:r>
      <w:bookmarkStart w:id="171" w:name="fnref4_1"/>
      <w:bookmarkEnd w:id="171"/>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Neutrophils Obstructing Brain Capillaries Are a Major Cause (2020) - Cell</w:t>
      </w:r>
      <w:bookmarkStart w:id="172" w:name="fnref23_2"/>
      <w:bookmarkEnd w:id="172"/>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Resolvin D1 reprograms energy metabolism to promote microglia (2023) - Cell Rep</w:t>
      </w:r>
      <w:bookmarkStart w:id="173" w:name="fnref34_1"/>
      <w:bookmarkEnd w:id="173"/>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Neutrophil-Related Oxidants Drive Heart and Brain Remodeling (2020) - PMC</w:t>
      </w:r>
      <w:bookmarkStart w:id="174" w:name="fnref25_1"/>
      <w:bookmarkEnd w:id="174"/>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Analysis of the correlation between neutrophil percentage (2025) - Frontiers</w:t>
      </w:r>
      <w:bookmarkStart w:id="175" w:name="fnref28_1"/>
      <w:bookmarkEnd w:id="175"/>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Benserazide is neuroprotective and improves functional recovery (2024) - Nature</w:t>
      </w:r>
      <w:bookmarkStart w:id="176" w:name="fnref37_1"/>
      <w:bookmarkEnd w:id="176"/>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Comparison of the predictive performance of systemic immune (2026) - Taylor &amp; Francis</w:t>
      </w:r>
      <w:bookmarkStart w:id="177" w:name="fnref8_3"/>
      <w:bookmarkEnd w:id="177"/>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Targeting neutrophils as a novel therapeutic strategy (2021) - PMC</w:t>
      </w:r>
      <w:bookmarkStart w:id="178" w:name="fnref38_2"/>
      <w:bookmarkEnd w:id="178"/>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Poststroke neutrophil count is predictive of outcomes (2023) - Nature</w:t>
      </w:r>
      <w:bookmarkStart w:id="179" w:name="fnref53"/>
      <w:bookmarkEnd w:id="179"/>
      <w:r>
        <w:fldChar w:fldCharType="begin"/>
      </w:r>
      <w:r>
        <w:instrText xml:space="preserve"> HYPERLINK \l "fn53" \h </w:instrText>
      </w:r>
      <w:r>
        <w:fldChar w:fldCharType="separate"/>
      </w:r>
      <w:r>
        <w:rPr>
          <w:rFonts w:ascii="inter" w:hAnsi="inter" w:eastAsia="inter" w:cs="inter"/>
          <w:color w:val="000000"/>
          <w:u w:val="single"/>
          <w:vertAlign w:val="superscript"/>
        </w:rPr>
        <w:t>[53]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The impact of inflammatory markers on clinical outcomes (2025) - Science Direct</w:t>
      </w:r>
      <w:bookmarkStart w:id="180" w:name="fnref9_3"/>
      <w:bookmarkEnd w:id="18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Sex-specific regulation of chemokine Cxcl5/6 (2015) - PMC</w:t>
      </w:r>
      <w:bookmarkStart w:id="181" w:name="fnref30_2"/>
      <w:bookmarkEnd w:id="181"/>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Roles of Specialized Pro-Resolving Lipid Mediators (2018) - PMC</w:t>
      </w:r>
      <w:bookmarkStart w:id="182" w:name="fnref35_1"/>
      <w:bookmarkEnd w:id="182"/>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Eicosanoid production varies by sex in mesenteric ischemia (2020) - PMC</w:t>
      </w:r>
      <w:bookmarkStart w:id="183" w:name="fnref31_2"/>
      <w:bookmarkEnd w:id="183"/>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Lipoxin and Resolvin Receptors Transducing the Resolution (2018) - Frontiers</w:t>
      </w:r>
      <w:bookmarkStart w:id="184" w:name="fnref36_1"/>
      <w:bookmarkEnd w:id="184"/>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Temporal dynamics of neutrophil responses - chart</w:t>
      </w:r>
    </w:p>
    <w:p w14:paraId="03A16AAC"/>
    <w:p w14:paraId="104C3E8B">
      <w:pPr>
        <w:spacing w:after="210" w:line="360" w:lineRule="auto"/>
      </w:pPr>
      <w:r>
        <w:rPr>
          <w:rFonts w:ascii="inter" w:hAnsi="inter" w:eastAsia="inter" w:cs="inter"/>
          <w:color w:val="000000"/>
        </w:rPr>
        <w:t>Temporal dynamics of neutrophil responses and molecular events in acute ischemic stroke. The timeline illustrates coordinated waves of neutrophil recruitment, activation, effector functions, and the emergence of distinct disease phases.</w:t>
      </w:r>
    </w:p>
    <w:p w14:paraId="00F0057A">
      <w:pPr>
        <w:spacing w:after="210" w:line="360" w:lineRule="auto"/>
      </w:pPr>
      <w:r>
        <w:rPr>
          <w:rFonts w:ascii="inter" w:hAnsi="inter" w:eastAsia="inter" w:cs="inter"/>
          <w:color w:val="000000"/>
        </w:rPr>
        <w:t>Neutrophil phenotypic heterogeneity - chart</w:t>
      </w:r>
    </w:p>
    <w:p w14:paraId="0B87B101">
      <w:pPr>
        <w:spacing w:after="0" w:line="360" w:lineRule="auto"/>
        <w:jc w:val="center"/>
      </w:pPr>
      <w:r>
        <w:rPr>
          <w:rFonts w:ascii="inter" w:hAnsi="inter" w:eastAsia="inter" w:cs="inter"/>
          <w:color w:val="000000"/>
        </w:rPr>
        <w:drawing>
          <wp:inline distT="0" distB="0" distL="0" distR="0">
            <wp:extent cx="952500" cy="952500"/>
            <wp:effectExtent l="0" t="0" r="0" b="0"/>
            <wp:docPr id="3" name="image-not-found.png" descr="Neutrophil phenotypic heterogeneity in ischemic stroke. Distinct subsets exhibit differential spatiotemporal expression, functional capabilities, and clinical associations throughout the stroke-recovery continuum."/>
            <wp:cNvGraphicFramePr/>
            <a:graphic xmlns:a="http://schemas.openxmlformats.org/drawingml/2006/main">
              <a:graphicData uri="http://schemas.openxmlformats.org/drawingml/2006/picture">
                <pic:pic xmlns:pic="http://schemas.openxmlformats.org/drawingml/2006/picture">
                  <pic:nvPicPr>
                    <pic:cNvPr id="3" name="image-not-found.png" descr="Neutrophil phenotypic heterogeneity in ischemic stroke. Distinct subsets exhibit differential spatiotemporal expression, functional capabilities, and clinical associations throughout the stroke-recovery continuum."/>
                    <pic:cNvPicPr/>
                  </pic:nvPicPr>
                  <pic:blipFill>
                    <a:blip r:embed="rId6" cstate="print"/>
                    <a:srcRect/>
                    <a:stretch>
                      <a:fillRect/>
                    </a:stretch>
                  </pic:blipFill>
                  <pic:spPr>
                    <a:xfrm>
                      <a:off x="0" y="0"/>
                      <a:ext cx="952500" cy="952500"/>
                    </a:xfrm>
                    <a:prstGeom prst="rect">
                      <a:avLst/>
                    </a:prstGeom>
                  </pic:spPr>
                </pic:pic>
              </a:graphicData>
            </a:graphic>
          </wp:inline>
        </w:drawing>
      </w:r>
    </w:p>
    <w:p w14:paraId="2E5EBC46">
      <w:pPr>
        <w:spacing w:after="210" w:line="360" w:lineRule="auto"/>
      </w:pPr>
      <w:r>
        <w:rPr>
          <w:rFonts w:ascii="inter" w:hAnsi="inter" w:eastAsia="inter" w:cs="inter"/>
          <w:color w:val="000000"/>
        </w:rPr>
        <w:t>Neutrophil phenotypic heterogeneity in ischemic stroke. Distinct subsets exhibit differential spatiotemporal expression, functional capabilities, and clinical associations throughout the stroke-recovery continuum.</w:t>
      </w:r>
    </w:p>
    <w:p w14:paraId="34B6D820">
      <w:pPr>
        <w:spacing w:after="210" w:line="360" w:lineRule="auto"/>
      </w:pPr>
      <w:r>
        <w:rPr>
          <w:rFonts w:ascii="inter" w:hAnsi="inter" w:eastAsia="inter" w:cs="inter"/>
          <w:color w:val="000000"/>
        </w:rPr>
        <w:t>Integrated molecular mechanisms - chart</w:t>
      </w:r>
    </w:p>
    <w:p w14:paraId="58897DE4"/>
    <w:p w14:paraId="2C034E23">
      <w:pPr>
        <w:spacing w:after="210" w:line="360" w:lineRule="auto"/>
      </w:pPr>
      <w:r>
        <w:rPr>
          <w:rFonts w:ascii="inter" w:hAnsi="inter" w:eastAsia="inter" w:cs="inter"/>
          <w:color w:val="000000"/>
        </w:rPr>
        <w:t>Integrated molecular mechanisms of neutrophil-mediated ischemic stroke injury. Eight major pathological pathways operate across distinct temporal windows with overlapping and synergistic effects on cerebral tissue damage.</w:t>
      </w:r>
      <w:r>
        <w:rPr>
          <w:rFonts w:ascii="inter" w:hAnsi="inter" w:eastAsia="inter" w:cs="inter"/>
          <w:color w:val="000000"/>
        </w:rPr>
        <w:br w:type="textWrapping"/>
      </w:r>
    </w:p>
    <w:p w14:paraId="79798ADD">
      <w:pPr>
        <w:spacing w:line="360" w:lineRule="auto"/>
      </w:pPr>
      <w:r>
        <w:rPr>
          <w:rFonts w:ascii="inter" w:hAnsi="inter" w:eastAsia="inter" w:cs="inter"/>
          <w:color w:val="000000"/>
        </w:rPr>
        <w:t>⁂</w:t>
      </w:r>
    </w:p>
    <w:p w14:paraId="356BA37D">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2CF360E4">
      <w:pPr>
        <w:numPr>
          <w:ilvl w:val="0"/>
          <w:numId w:val="1"/>
        </w:numPr>
        <w:spacing w:after="210" w:line="360" w:lineRule="auto"/>
      </w:pPr>
      <w:bookmarkStart w:id="185" w:name="fn1"/>
      <w:bookmarkEnd w:id="185"/>
      <w:r>
        <w:fldChar w:fldCharType="begin"/>
      </w:r>
      <w:r>
        <w:instrText xml:space="preserve"> HYPERLINK "https://pmc.ncbi.nlm.nih.gov/articles/PMC4640255/" \h </w:instrText>
      </w:r>
      <w:r>
        <w:fldChar w:fldCharType="separate"/>
      </w:r>
      <w:r>
        <w:rPr>
          <w:rFonts w:ascii="inter" w:hAnsi="inter" w:eastAsia="inter" w:cs="inter"/>
          <w:color w:val="000000"/>
          <w:sz w:val="18"/>
          <w:u w:val="single"/>
        </w:rPr>
        <w:t>https://pmc.ncbi.nlm.nih.gov/articles/PMC4640255/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935A2E">
      <w:pPr>
        <w:numPr>
          <w:ilvl w:val="0"/>
          <w:numId w:val="1"/>
        </w:numPr>
        <w:spacing w:after="210" w:line="360" w:lineRule="auto"/>
      </w:pPr>
      <w:bookmarkStart w:id="186" w:name="fn2"/>
      <w:bookmarkEnd w:id="186"/>
      <w:r>
        <w:fldChar w:fldCharType="begin"/>
      </w:r>
      <w:r>
        <w:instrText xml:space="preserve"> HYPERLINK "https://pmc.ncbi.nlm.nih.gov/articles/PMC6993940/" \h </w:instrText>
      </w:r>
      <w:r>
        <w:fldChar w:fldCharType="separate"/>
      </w:r>
      <w:r>
        <w:rPr>
          <w:rFonts w:ascii="inter" w:hAnsi="inter" w:eastAsia="inter" w:cs="inter"/>
          <w:color w:val="000000"/>
          <w:sz w:val="18"/>
          <w:u w:val="single"/>
        </w:rPr>
        <w:t>https://pmc.ncbi.nlm.nih.gov/articles/PMC6993940/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F61484">
      <w:pPr>
        <w:numPr>
          <w:ilvl w:val="0"/>
          <w:numId w:val="1"/>
        </w:numPr>
        <w:spacing w:after="210" w:line="360" w:lineRule="auto"/>
      </w:pPr>
      <w:bookmarkStart w:id="187" w:name="fn3"/>
      <w:bookmarkEnd w:id="187"/>
      <w:r>
        <w:fldChar w:fldCharType="begin"/>
      </w:r>
      <w:r>
        <w:instrText xml:space="preserve"> HYPERLINK "https://www.frontiersin.org/journals/immunology/articles/10.3389/fimmu.2021.692061/full" \h </w:instrText>
      </w:r>
      <w:r>
        <w:fldChar w:fldCharType="separate"/>
      </w:r>
      <w:r>
        <w:rPr>
          <w:rFonts w:ascii="inter" w:hAnsi="inter" w:eastAsia="inter" w:cs="inter"/>
          <w:color w:val="000000"/>
          <w:sz w:val="18"/>
          <w:u w:val="single"/>
        </w:rPr>
        <w:t>https://www.frontiersin.org/journals/immunology/articles/10.3389/fimmu.2021.692061/full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6DBB47">
      <w:pPr>
        <w:numPr>
          <w:ilvl w:val="0"/>
          <w:numId w:val="1"/>
        </w:numPr>
        <w:spacing w:after="210" w:line="360" w:lineRule="auto"/>
      </w:pPr>
      <w:bookmarkStart w:id="188" w:name="fn4"/>
      <w:bookmarkEnd w:id="188"/>
      <w:r>
        <w:fldChar w:fldCharType="begin"/>
      </w:r>
      <w:r>
        <w:instrText xml:space="preserve"> HYPERLINK "https://journals.physiology.org/doi/full/10.1152/ajpheart.00183.2018" \h </w:instrText>
      </w:r>
      <w:r>
        <w:fldChar w:fldCharType="separate"/>
      </w:r>
      <w:r>
        <w:rPr>
          <w:rFonts w:ascii="inter" w:hAnsi="inter" w:eastAsia="inter" w:cs="inter"/>
          <w:color w:val="000000"/>
          <w:sz w:val="18"/>
          <w:u w:val="single"/>
        </w:rPr>
        <w:t>https://journals.physiology.org/doi/full/10.1152/ajpheart.00183.2018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B3B5B7">
      <w:pPr>
        <w:numPr>
          <w:ilvl w:val="0"/>
          <w:numId w:val="1"/>
        </w:numPr>
        <w:spacing w:after="210" w:line="360" w:lineRule="auto"/>
      </w:pPr>
      <w:bookmarkStart w:id="189" w:name="fn5"/>
      <w:bookmarkEnd w:id="189"/>
      <w:r>
        <w:fldChar w:fldCharType="begin"/>
      </w:r>
      <w:r>
        <w:instrText xml:space="preserve"> HYPERLINK "https://www.nature.com/articles/s41598-025-91334-z" \h </w:instrText>
      </w:r>
      <w:r>
        <w:fldChar w:fldCharType="separate"/>
      </w:r>
      <w:r>
        <w:rPr>
          <w:rFonts w:ascii="inter" w:hAnsi="inter" w:eastAsia="inter" w:cs="inter"/>
          <w:color w:val="000000"/>
          <w:sz w:val="18"/>
          <w:u w:val="single"/>
        </w:rPr>
        <w:t>https://www.nature.com/articles/s41598-025-91334-z</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CF3208F">
      <w:pPr>
        <w:numPr>
          <w:ilvl w:val="0"/>
          <w:numId w:val="1"/>
        </w:numPr>
        <w:spacing w:after="210" w:line="360" w:lineRule="auto"/>
      </w:pPr>
      <w:bookmarkStart w:id="190" w:name="fn6"/>
      <w:bookmarkEnd w:id="190"/>
      <w:r>
        <w:fldChar w:fldCharType="begin"/>
      </w:r>
      <w:r>
        <w:instrText xml:space="preserve"> HYPERLINK "https://pmc.ncbi.nlm.nih.gov/articles/PMC12010766/" \h </w:instrText>
      </w:r>
      <w:r>
        <w:fldChar w:fldCharType="separate"/>
      </w:r>
      <w:r>
        <w:rPr>
          <w:rFonts w:ascii="inter" w:hAnsi="inter" w:eastAsia="inter" w:cs="inter"/>
          <w:color w:val="000000"/>
          <w:sz w:val="18"/>
          <w:u w:val="single"/>
        </w:rPr>
        <w:t>https://pmc.ncbi.nlm.nih.gov/articles/PMC12010766/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58F5099">
      <w:pPr>
        <w:numPr>
          <w:ilvl w:val="0"/>
          <w:numId w:val="1"/>
        </w:numPr>
        <w:spacing w:after="210" w:line="360" w:lineRule="auto"/>
      </w:pPr>
      <w:bookmarkStart w:id="191" w:name="fn7"/>
      <w:bookmarkEnd w:id="191"/>
      <w:r>
        <w:fldChar w:fldCharType="begin"/>
      </w:r>
      <w:r>
        <w:instrText xml:space="preserve"> HYPERLINK "https://www.sciencedirect.com/science/article/abs/pii/S1567576919315243" \h </w:instrText>
      </w:r>
      <w:r>
        <w:fldChar w:fldCharType="separate"/>
      </w:r>
      <w:r>
        <w:rPr>
          <w:rFonts w:ascii="inter" w:hAnsi="inter" w:eastAsia="inter" w:cs="inter"/>
          <w:color w:val="000000"/>
          <w:sz w:val="18"/>
          <w:u w:val="single"/>
        </w:rPr>
        <w:t>https://www.sciencedirect.com/science/article/abs/pii/S1567576919315243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F34357">
      <w:pPr>
        <w:numPr>
          <w:ilvl w:val="0"/>
          <w:numId w:val="1"/>
        </w:numPr>
        <w:spacing w:after="210" w:line="360" w:lineRule="auto"/>
      </w:pPr>
      <w:bookmarkStart w:id="192" w:name="fn8"/>
      <w:bookmarkEnd w:id="192"/>
      <w:r>
        <w:fldChar w:fldCharType="begin"/>
      </w:r>
      <w:r>
        <w:instrText xml:space="preserve"> HYPERLINK "https://www.tandfonline.com/doi/full/10.1080/07853890.2026.2612820" \h </w:instrText>
      </w:r>
      <w:r>
        <w:fldChar w:fldCharType="separate"/>
      </w:r>
      <w:r>
        <w:rPr>
          <w:rFonts w:ascii="inter" w:hAnsi="inter" w:eastAsia="inter" w:cs="inter"/>
          <w:color w:val="000000"/>
          <w:sz w:val="18"/>
          <w:u w:val="single"/>
        </w:rPr>
        <w:t>https://www.tandfonline.com/doi/full/10.1080/07853890.2026.2612820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07302E">
      <w:pPr>
        <w:numPr>
          <w:ilvl w:val="0"/>
          <w:numId w:val="1"/>
        </w:numPr>
        <w:spacing w:after="210" w:line="360" w:lineRule="auto"/>
      </w:pPr>
      <w:bookmarkStart w:id="193" w:name="fn9"/>
      <w:bookmarkEnd w:id="193"/>
      <w:r>
        <w:fldChar w:fldCharType="begin"/>
      </w:r>
      <w:r>
        <w:instrText xml:space="preserve"> HYPERLINK "https://www.sciencedirect.com/science/article/pii/S0022510X25002047" \h </w:instrText>
      </w:r>
      <w:r>
        <w:fldChar w:fldCharType="separate"/>
      </w:r>
      <w:r>
        <w:rPr>
          <w:rFonts w:ascii="inter" w:hAnsi="inter" w:eastAsia="inter" w:cs="inter"/>
          <w:color w:val="000000"/>
          <w:sz w:val="18"/>
          <w:u w:val="single"/>
        </w:rPr>
        <w:t>https://www.sciencedirect.com/science/article/pii/S0022510X25002047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94FC800">
      <w:pPr>
        <w:numPr>
          <w:ilvl w:val="0"/>
          <w:numId w:val="1"/>
        </w:numPr>
        <w:spacing w:after="210" w:line="360" w:lineRule="auto"/>
      </w:pPr>
      <w:bookmarkStart w:id="194" w:name="fn10"/>
      <w:bookmarkEnd w:id="194"/>
      <w:r>
        <w:fldChar w:fldCharType="begin"/>
      </w:r>
      <w:r>
        <w:instrText xml:space="preserve"> HYPERLINK "http://neuro.dxy.cn/article/25641" \h </w:instrText>
      </w:r>
      <w:r>
        <w:fldChar w:fldCharType="separate"/>
      </w:r>
      <w:r>
        <w:rPr>
          <w:rFonts w:ascii="inter" w:hAnsi="inter" w:eastAsia="inter" w:cs="inter"/>
          <w:color w:val="000000"/>
          <w:sz w:val="18"/>
          <w:u w:val="single"/>
        </w:rPr>
        <w:t>http://neuro.dxy.cn/article/25641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3EB4F3">
      <w:pPr>
        <w:numPr>
          <w:ilvl w:val="0"/>
          <w:numId w:val="1"/>
        </w:numPr>
        <w:spacing w:after="210" w:line="360" w:lineRule="auto"/>
      </w:pPr>
      <w:bookmarkStart w:id="195" w:name="fn11"/>
      <w:bookmarkEnd w:id="195"/>
      <w:r>
        <w:fldChar w:fldCharType="begin"/>
      </w:r>
      <w:r>
        <w:instrText xml:space="preserve"> HYPERLINK "https://www.nature.com/articles/s12276-022-00805-0" \h </w:instrText>
      </w:r>
      <w:r>
        <w:fldChar w:fldCharType="separate"/>
      </w:r>
      <w:r>
        <w:rPr>
          <w:rFonts w:ascii="inter" w:hAnsi="inter" w:eastAsia="inter" w:cs="inter"/>
          <w:color w:val="000000"/>
          <w:sz w:val="18"/>
          <w:u w:val="single"/>
        </w:rPr>
        <w:t>https://www.nature.com/articles/s12276-022-00805-0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989476">
      <w:pPr>
        <w:numPr>
          <w:ilvl w:val="0"/>
          <w:numId w:val="1"/>
        </w:numPr>
        <w:spacing w:after="210" w:line="360" w:lineRule="auto"/>
      </w:pPr>
      <w:bookmarkStart w:id="196" w:name="fn12"/>
      <w:bookmarkEnd w:id="196"/>
      <w:r>
        <w:fldChar w:fldCharType="begin"/>
      </w:r>
      <w:r>
        <w:instrText xml:space="preserve"> HYPERLINK "https://pmc.ncbi.nlm.nih.gov/articles/PMC6977697/" \h </w:instrText>
      </w:r>
      <w:r>
        <w:fldChar w:fldCharType="separate"/>
      </w:r>
      <w:r>
        <w:rPr>
          <w:rFonts w:ascii="inter" w:hAnsi="inter" w:eastAsia="inter" w:cs="inter"/>
          <w:color w:val="000000"/>
          <w:sz w:val="18"/>
          <w:u w:val="single"/>
        </w:rPr>
        <w:t>https://pmc.ncbi.nlm.nih.gov/articles/PMC6977697/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087C33">
      <w:pPr>
        <w:numPr>
          <w:ilvl w:val="0"/>
          <w:numId w:val="1"/>
        </w:numPr>
        <w:spacing w:after="210" w:line="360" w:lineRule="auto"/>
      </w:pPr>
      <w:bookmarkStart w:id="197" w:name="fn13"/>
      <w:bookmarkEnd w:id="197"/>
      <w:r>
        <w:fldChar w:fldCharType="begin"/>
      </w:r>
      <w:r>
        <w:instrText xml:space="preserve"> HYPERLINK "https://pmc.ncbi.nlm.nih.gov/articles/PMC6624098/" \h </w:instrText>
      </w:r>
      <w:r>
        <w:fldChar w:fldCharType="separate"/>
      </w:r>
      <w:r>
        <w:rPr>
          <w:rFonts w:ascii="inter" w:hAnsi="inter" w:eastAsia="inter" w:cs="inter"/>
          <w:color w:val="000000"/>
          <w:sz w:val="18"/>
          <w:u w:val="single"/>
        </w:rPr>
        <w:t>https://pmc.ncbi.nlm.nih.gov/articles/PMC6624098/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4AF367">
      <w:pPr>
        <w:numPr>
          <w:ilvl w:val="0"/>
          <w:numId w:val="1"/>
        </w:numPr>
        <w:spacing w:after="210" w:line="360" w:lineRule="auto"/>
      </w:pPr>
      <w:bookmarkStart w:id="198" w:name="fn14"/>
      <w:bookmarkEnd w:id="198"/>
      <w:r>
        <w:fldChar w:fldCharType="begin"/>
      </w:r>
      <w:r>
        <w:instrText xml:space="preserve"> HYPERLINK "https://www.neurology.org/doi/10.1212/NXI.0000000000000571" \h </w:instrText>
      </w:r>
      <w:r>
        <w:fldChar w:fldCharType="separate"/>
      </w:r>
      <w:r>
        <w:rPr>
          <w:rFonts w:ascii="inter" w:hAnsi="inter" w:eastAsia="inter" w:cs="inter"/>
          <w:color w:val="000000"/>
          <w:sz w:val="18"/>
          <w:u w:val="single"/>
        </w:rPr>
        <w:t>https://www.neurology.org/doi/10.1212/NXI.0000000000000571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EF8901">
      <w:pPr>
        <w:numPr>
          <w:ilvl w:val="0"/>
          <w:numId w:val="1"/>
        </w:numPr>
        <w:spacing w:after="210" w:line="360" w:lineRule="auto"/>
      </w:pPr>
      <w:bookmarkStart w:id="199" w:name="fn15"/>
      <w:bookmarkEnd w:id="199"/>
      <w:r>
        <w:fldChar w:fldCharType="begin"/>
      </w:r>
      <w:r>
        <w:instrText xml:space="preserve"> HYPERLINK "https://pmc.ncbi.nlm.nih.gov/articles/PMC9106355/" \h </w:instrText>
      </w:r>
      <w:r>
        <w:fldChar w:fldCharType="separate"/>
      </w:r>
      <w:r>
        <w:rPr>
          <w:rFonts w:ascii="inter" w:hAnsi="inter" w:eastAsia="inter" w:cs="inter"/>
          <w:color w:val="000000"/>
          <w:sz w:val="18"/>
          <w:u w:val="single"/>
        </w:rPr>
        <w:t>https://pmc.ncbi.nlm.nih.gov/articles/PMC9106355/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BF4A7C">
      <w:pPr>
        <w:numPr>
          <w:ilvl w:val="0"/>
          <w:numId w:val="1"/>
        </w:numPr>
        <w:spacing w:after="210" w:line="360" w:lineRule="auto"/>
      </w:pPr>
      <w:bookmarkStart w:id="200" w:name="fn16"/>
      <w:bookmarkEnd w:id="200"/>
      <w:r>
        <w:fldChar w:fldCharType="begin"/>
      </w:r>
      <w:r>
        <w:instrText xml:space="preserve"> HYPERLINK "https://pmc.ncbi.nlm.nih.gov/articles/PMC12021921/" \h </w:instrText>
      </w:r>
      <w:r>
        <w:fldChar w:fldCharType="separate"/>
      </w:r>
      <w:r>
        <w:rPr>
          <w:rFonts w:ascii="inter" w:hAnsi="inter" w:eastAsia="inter" w:cs="inter"/>
          <w:color w:val="000000"/>
          <w:sz w:val="18"/>
          <w:u w:val="single"/>
        </w:rPr>
        <w:t>https://pmc.ncbi.nlm.nih.gov/articles/PMC12021921/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72E8AF">
      <w:pPr>
        <w:numPr>
          <w:ilvl w:val="0"/>
          <w:numId w:val="1"/>
        </w:numPr>
        <w:spacing w:after="210" w:line="360" w:lineRule="auto"/>
      </w:pPr>
      <w:bookmarkStart w:id="201" w:name="fn17"/>
      <w:bookmarkEnd w:id="201"/>
      <w:r>
        <w:fldChar w:fldCharType="begin"/>
      </w:r>
      <w:r>
        <w:instrText xml:space="preserve"> HYPERLINK "https://www.jci.org/articles/view/154225" \h </w:instrText>
      </w:r>
      <w:r>
        <w:fldChar w:fldCharType="separate"/>
      </w:r>
      <w:r>
        <w:rPr>
          <w:rFonts w:ascii="inter" w:hAnsi="inter" w:eastAsia="inter" w:cs="inter"/>
          <w:color w:val="000000"/>
          <w:sz w:val="18"/>
          <w:u w:val="single"/>
        </w:rPr>
        <w:t>https://www.jci.org/articles/view/154225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2C7AB5">
      <w:pPr>
        <w:numPr>
          <w:ilvl w:val="0"/>
          <w:numId w:val="1"/>
        </w:numPr>
        <w:spacing w:after="210" w:line="360" w:lineRule="auto"/>
      </w:pPr>
      <w:bookmarkStart w:id="202" w:name="fn18"/>
      <w:bookmarkEnd w:id="202"/>
      <w:r>
        <w:fldChar w:fldCharType="begin"/>
      </w:r>
      <w:r>
        <w:instrText xml:space="preserve"> HYPERLINK "https://pmc.ncbi.nlm.nih.gov/articles/PMC8260997/" \h </w:instrText>
      </w:r>
      <w:r>
        <w:fldChar w:fldCharType="separate"/>
      </w:r>
      <w:r>
        <w:rPr>
          <w:rFonts w:ascii="inter" w:hAnsi="inter" w:eastAsia="inter" w:cs="inter"/>
          <w:color w:val="000000"/>
          <w:sz w:val="18"/>
          <w:u w:val="single"/>
        </w:rPr>
        <w:t>https://pmc.ncbi.nlm.nih.gov/articles/PMC8260997/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53DF56">
      <w:pPr>
        <w:numPr>
          <w:ilvl w:val="0"/>
          <w:numId w:val="1"/>
        </w:numPr>
        <w:spacing w:after="210" w:line="360" w:lineRule="auto"/>
      </w:pPr>
      <w:bookmarkStart w:id="203" w:name="fn19"/>
      <w:bookmarkEnd w:id="203"/>
      <w:r>
        <w:fldChar w:fldCharType="begin"/>
      </w:r>
      <w:r>
        <w:instrText xml:space="preserve"> HYPERLINK "https://www.nature.com/articles/s41467-020-16191-y" \h </w:instrText>
      </w:r>
      <w:r>
        <w:fldChar w:fldCharType="separate"/>
      </w:r>
      <w:r>
        <w:rPr>
          <w:rFonts w:ascii="inter" w:hAnsi="inter" w:eastAsia="inter" w:cs="inter"/>
          <w:color w:val="000000"/>
          <w:sz w:val="18"/>
          <w:u w:val="single"/>
        </w:rPr>
        <w:t>https://www.nature.com/articles/s41467-020-16191-y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B8D306">
      <w:pPr>
        <w:numPr>
          <w:ilvl w:val="0"/>
          <w:numId w:val="1"/>
        </w:numPr>
        <w:spacing w:after="210" w:line="360" w:lineRule="auto"/>
      </w:pPr>
      <w:bookmarkStart w:id="204" w:name="fn20"/>
      <w:bookmarkEnd w:id="204"/>
      <w:r>
        <w:fldChar w:fldCharType="begin"/>
      </w:r>
      <w:r>
        <w:instrText xml:space="preserve"> HYPERLINK "https://www.frontiersin.org/journals/neurology/articles/10.3389/fneur.2025.1641985/full" \h </w:instrText>
      </w:r>
      <w:r>
        <w:fldChar w:fldCharType="separate"/>
      </w:r>
      <w:r>
        <w:rPr>
          <w:rFonts w:ascii="inter" w:hAnsi="inter" w:eastAsia="inter" w:cs="inter"/>
          <w:color w:val="000000"/>
          <w:sz w:val="18"/>
          <w:u w:val="single"/>
        </w:rPr>
        <w:t>https://www.frontiersin.org/journals/neurology/articles/10.3389/fneur.2025.1641985/full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85B89F">
      <w:pPr>
        <w:numPr>
          <w:ilvl w:val="0"/>
          <w:numId w:val="1"/>
        </w:numPr>
        <w:spacing w:after="210" w:line="360" w:lineRule="auto"/>
      </w:pPr>
      <w:bookmarkStart w:id="205" w:name="fn21"/>
      <w:bookmarkEnd w:id="205"/>
      <w:r>
        <w:fldChar w:fldCharType="begin"/>
      </w:r>
      <w:r>
        <w:instrText xml:space="preserve"> HYPERLINK "https://pmc.ncbi.nlm.nih.gov/articles/PMC10169595/" \h </w:instrText>
      </w:r>
      <w:r>
        <w:fldChar w:fldCharType="separate"/>
      </w:r>
      <w:r>
        <w:rPr>
          <w:rFonts w:ascii="inter" w:hAnsi="inter" w:eastAsia="inter" w:cs="inter"/>
          <w:color w:val="000000"/>
          <w:sz w:val="18"/>
          <w:u w:val="single"/>
        </w:rPr>
        <w:t>https://pmc.ncbi.nlm.nih.gov/articles/PMC10169595/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52CF7B">
      <w:pPr>
        <w:numPr>
          <w:ilvl w:val="0"/>
          <w:numId w:val="1"/>
        </w:numPr>
        <w:spacing w:after="210" w:line="360" w:lineRule="auto"/>
      </w:pPr>
      <w:bookmarkStart w:id="206" w:name="fn22"/>
      <w:bookmarkEnd w:id="206"/>
      <w:r>
        <w:fldChar w:fldCharType="begin"/>
      </w:r>
      <w:r>
        <w:instrText xml:space="preserve"> HYPERLINK "https://www.thno.org/v13p0403.htm" \h </w:instrText>
      </w:r>
      <w:r>
        <w:fldChar w:fldCharType="separate"/>
      </w:r>
      <w:r>
        <w:rPr>
          <w:rFonts w:ascii="inter" w:hAnsi="inter" w:eastAsia="inter" w:cs="inter"/>
          <w:color w:val="000000"/>
          <w:sz w:val="18"/>
          <w:u w:val="single"/>
        </w:rPr>
        <w:t>https://www.thno.org/v13p0403.htm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C2AD0B">
      <w:pPr>
        <w:numPr>
          <w:ilvl w:val="0"/>
          <w:numId w:val="1"/>
        </w:numPr>
        <w:spacing w:after="210" w:line="360" w:lineRule="auto"/>
      </w:pPr>
      <w:bookmarkStart w:id="207" w:name="fn23"/>
      <w:bookmarkEnd w:id="207"/>
      <w:r>
        <w:fldChar w:fldCharType="begin"/>
      </w:r>
      <w:r>
        <w:instrText xml:space="preserve"> HYPERLINK "https://pubmed.ncbi.nlm.nih.gov/33053341/" \h </w:instrText>
      </w:r>
      <w:r>
        <w:fldChar w:fldCharType="separate"/>
      </w:r>
      <w:r>
        <w:rPr>
          <w:rFonts w:ascii="inter" w:hAnsi="inter" w:eastAsia="inter" w:cs="inter"/>
          <w:color w:val="000000"/>
          <w:sz w:val="18"/>
          <w:u w:val="single"/>
        </w:rPr>
        <w:t>https://pubmed.ncbi.nlm.nih.gov/33053341/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C68A45F">
      <w:pPr>
        <w:numPr>
          <w:ilvl w:val="0"/>
          <w:numId w:val="1"/>
        </w:numPr>
        <w:spacing w:after="210" w:line="360" w:lineRule="auto"/>
      </w:pPr>
      <w:bookmarkStart w:id="208" w:name="fn24"/>
      <w:bookmarkEnd w:id="208"/>
      <w:r>
        <w:fldChar w:fldCharType="begin"/>
      </w:r>
      <w:r>
        <w:instrText xml:space="preserve"> HYPERLINK "https://www.frontiersin.org/journals/physiology/articles/10.3389/fphys.2019.01587/full" \h </w:instrText>
      </w:r>
      <w:r>
        <w:fldChar w:fldCharType="separate"/>
      </w:r>
      <w:r>
        <w:rPr>
          <w:rFonts w:ascii="inter" w:hAnsi="inter" w:eastAsia="inter" w:cs="inter"/>
          <w:color w:val="000000"/>
          <w:sz w:val="18"/>
          <w:u w:val="single"/>
        </w:rPr>
        <w:t>https://www.frontiersin.org/journals/physiology/articles/10.3389/fphys.2019.01587/full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45D741">
      <w:pPr>
        <w:numPr>
          <w:ilvl w:val="0"/>
          <w:numId w:val="1"/>
        </w:numPr>
        <w:spacing w:after="210" w:line="360" w:lineRule="auto"/>
      </w:pPr>
      <w:bookmarkStart w:id="209" w:name="fn25"/>
      <w:bookmarkEnd w:id="209"/>
      <w:r>
        <w:fldChar w:fldCharType="begin"/>
      </w:r>
      <w:r>
        <w:instrText xml:space="preserve"> HYPERLINK "https://pmc.ncbi.nlm.nih.gov/articles/PMC7010855/" \h </w:instrText>
      </w:r>
      <w:r>
        <w:fldChar w:fldCharType="separate"/>
      </w:r>
      <w:r>
        <w:rPr>
          <w:rFonts w:ascii="inter" w:hAnsi="inter" w:eastAsia="inter" w:cs="inter"/>
          <w:color w:val="000000"/>
          <w:sz w:val="18"/>
          <w:u w:val="single"/>
        </w:rPr>
        <w:t>https://pmc.ncbi.nlm.nih.gov/articles/PMC7010855/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351BE88">
      <w:pPr>
        <w:numPr>
          <w:ilvl w:val="0"/>
          <w:numId w:val="1"/>
        </w:numPr>
        <w:spacing w:after="210" w:line="360" w:lineRule="auto"/>
      </w:pPr>
      <w:bookmarkStart w:id="210" w:name="fn26"/>
      <w:bookmarkEnd w:id="210"/>
      <w:r>
        <w:fldChar w:fldCharType="begin"/>
      </w:r>
      <w:r>
        <w:instrText xml:space="preserve"> HYPERLINK "https://pmc.ncbi.nlm.nih.gov/articles/PMC6513908/" \h </w:instrText>
      </w:r>
      <w:r>
        <w:fldChar w:fldCharType="separate"/>
      </w:r>
      <w:r>
        <w:rPr>
          <w:rFonts w:ascii="inter" w:hAnsi="inter" w:eastAsia="inter" w:cs="inter"/>
          <w:color w:val="000000"/>
          <w:sz w:val="18"/>
          <w:u w:val="single"/>
        </w:rPr>
        <w:t>https://pmc.ncbi.nlm.nih.gov/articles/PMC6513908/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E30389">
      <w:pPr>
        <w:numPr>
          <w:ilvl w:val="0"/>
          <w:numId w:val="1"/>
        </w:numPr>
        <w:spacing w:after="210" w:line="360" w:lineRule="auto"/>
      </w:pPr>
      <w:bookmarkStart w:id="211" w:name="fn27"/>
      <w:bookmarkEnd w:id="211"/>
      <w:r>
        <w:fldChar w:fldCharType="begin"/>
      </w:r>
      <w:r>
        <w:instrText xml:space="preserve"> HYPERLINK "https://www.biorxiv.org/content/10.1101/2024.04.10.588813v1.full-text" \h </w:instrText>
      </w:r>
      <w:r>
        <w:fldChar w:fldCharType="separate"/>
      </w:r>
      <w:r>
        <w:rPr>
          <w:rFonts w:ascii="inter" w:hAnsi="inter" w:eastAsia="inter" w:cs="inter"/>
          <w:color w:val="000000"/>
          <w:sz w:val="18"/>
          <w:u w:val="single"/>
        </w:rPr>
        <w:t>https://www.biorxiv.org/content/10.1101/2024.04.10.588813v1.full-text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01BF30">
      <w:pPr>
        <w:numPr>
          <w:ilvl w:val="0"/>
          <w:numId w:val="1"/>
        </w:numPr>
        <w:spacing w:after="210" w:line="360" w:lineRule="auto"/>
      </w:pPr>
      <w:bookmarkStart w:id="212" w:name="fn28"/>
      <w:bookmarkEnd w:id="212"/>
      <w:r>
        <w:fldChar w:fldCharType="begin"/>
      </w:r>
      <w:r>
        <w:instrText xml:space="preserve"> HYPERLINK "https://www.frontiersin.org/journals/neurology/articles/10.3389/fneur.2025.1512355/full" \h </w:instrText>
      </w:r>
      <w:r>
        <w:fldChar w:fldCharType="separate"/>
      </w:r>
      <w:r>
        <w:rPr>
          <w:rFonts w:ascii="inter" w:hAnsi="inter" w:eastAsia="inter" w:cs="inter"/>
          <w:color w:val="000000"/>
          <w:sz w:val="18"/>
          <w:u w:val="single"/>
        </w:rPr>
        <w:t>https://www.frontiersin.org/journals/neurology/articles/10.3389/fneur.2025.1512355/full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F8499E">
      <w:pPr>
        <w:numPr>
          <w:ilvl w:val="0"/>
          <w:numId w:val="1"/>
        </w:numPr>
        <w:spacing w:after="210" w:line="360" w:lineRule="auto"/>
      </w:pPr>
      <w:bookmarkStart w:id="213" w:name="fn29"/>
      <w:bookmarkEnd w:id="213"/>
      <w:r>
        <w:fldChar w:fldCharType="begin"/>
      </w:r>
      <w:r>
        <w:instrText xml:space="preserve"> HYPERLINK "https://pmc.ncbi.nlm.nih.gov/articles/PMC6015099/" \h </w:instrText>
      </w:r>
      <w:r>
        <w:fldChar w:fldCharType="separate"/>
      </w:r>
      <w:r>
        <w:rPr>
          <w:rFonts w:ascii="inter" w:hAnsi="inter" w:eastAsia="inter" w:cs="inter"/>
          <w:color w:val="000000"/>
          <w:sz w:val="18"/>
          <w:u w:val="single"/>
        </w:rPr>
        <w:t>https://pmc.ncbi.nlm.nih.gov/articles/PMC6015099/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AE5156">
      <w:pPr>
        <w:numPr>
          <w:ilvl w:val="0"/>
          <w:numId w:val="1"/>
        </w:numPr>
        <w:spacing w:after="210" w:line="360" w:lineRule="auto"/>
      </w:pPr>
      <w:bookmarkStart w:id="214" w:name="fn30"/>
      <w:bookmarkEnd w:id="214"/>
      <w:r>
        <w:fldChar w:fldCharType="begin"/>
      </w:r>
      <w:r>
        <w:instrText xml:space="preserve"> HYPERLINK "https://pmc.ncbi.nlm.nih.gov/articles/PMC4661984/" \h </w:instrText>
      </w:r>
      <w:r>
        <w:fldChar w:fldCharType="separate"/>
      </w:r>
      <w:r>
        <w:rPr>
          <w:rFonts w:ascii="inter" w:hAnsi="inter" w:eastAsia="inter" w:cs="inter"/>
          <w:color w:val="000000"/>
          <w:sz w:val="18"/>
          <w:u w:val="single"/>
        </w:rPr>
        <w:t>https://pmc.ncbi.nlm.nih.gov/articles/PMC4661984/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35FD2E">
      <w:pPr>
        <w:numPr>
          <w:ilvl w:val="0"/>
          <w:numId w:val="1"/>
        </w:numPr>
        <w:spacing w:after="210" w:line="360" w:lineRule="auto"/>
      </w:pPr>
      <w:bookmarkStart w:id="215" w:name="fn31"/>
      <w:bookmarkEnd w:id="215"/>
      <w:r>
        <w:fldChar w:fldCharType="begin"/>
      </w:r>
      <w:r>
        <w:instrText xml:space="preserve"> HYPERLINK "https://pmc.ncbi.nlm.nih.gov/articles/PMC7572867/" \h </w:instrText>
      </w:r>
      <w:r>
        <w:fldChar w:fldCharType="separate"/>
      </w:r>
      <w:r>
        <w:rPr>
          <w:rFonts w:ascii="inter" w:hAnsi="inter" w:eastAsia="inter" w:cs="inter"/>
          <w:color w:val="000000"/>
          <w:sz w:val="18"/>
          <w:u w:val="single"/>
        </w:rPr>
        <w:t>https://pmc.ncbi.nlm.nih.gov/articles/PMC7572867/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84D2A5">
      <w:pPr>
        <w:numPr>
          <w:ilvl w:val="0"/>
          <w:numId w:val="1"/>
        </w:numPr>
        <w:spacing w:after="210" w:line="360" w:lineRule="auto"/>
      </w:pPr>
      <w:bookmarkStart w:id="216" w:name="fn32"/>
      <w:bookmarkEnd w:id="216"/>
      <w:r>
        <w:fldChar w:fldCharType="begin"/>
      </w:r>
      <w:r>
        <w:instrText xml:space="preserve"> HYPERLINK "https://pmc.ncbi.nlm.nih.gov/articles/PMC3611745/" \h </w:instrText>
      </w:r>
      <w:r>
        <w:fldChar w:fldCharType="separate"/>
      </w:r>
      <w:r>
        <w:rPr>
          <w:rFonts w:ascii="inter" w:hAnsi="inter" w:eastAsia="inter" w:cs="inter"/>
          <w:color w:val="000000"/>
          <w:sz w:val="18"/>
          <w:u w:val="single"/>
        </w:rPr>
        <w:t>https://pmc.ncbi.nlm.nih.gov/articles/PMC3611745/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2A32DB">
      <w:pPr>
        <w:numPr>
          <w:ilvl w:val="0"/>
          <w:numId w:val="1"/>
        </w:numPr>
        <w:spacing w:after="210" w:line="360" w:lineRule="auto"/>
      </w:pPr>
      <w:bookmarkStart w:id="217" w:name="fn33"/>
      <w:bookmarkEnd w:id="217"/>
      <w:r>
        <w:fldChar w:fldCharType="begin"/>
      </w:r>
      <w:r>
        <w:instrText xml:space="preserve"> HYPERLINK "https://pmc.ncbi.nlm.nih.gov/articles/PMC10556361/" \h </w:instrText>
      </w:r>
      <w:r>
        <w:fldChar w:fldCharType="separate"/>
      </w:r>
      <w:r>
        <w:rPr>
          <w:rFonts w:ascii="inter" w:hAnsi="inter" w:eastAsia="inter" w:cs="inter"/>
          <w:color w:val="000000"/>
          <w:sz w:val="18"/>
          <w:u w:val="single"/>
        </w:rPr>
        <w:t>https://pmc.ncbi.nlm.nih.gov/articles/PMC10556361/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0686E2">
      <w:pPr>
        <w:numPr>
          <w:ilvl w:val="0"/>
          <w:numId w:val="1"/>
        </w:numPr>
        <w:spacing w:after="210" w:line="360" w:lineRule="auto"/>
      </w:pPr>
      <w:bookmarkStart w:id="218" w:name="fn34"/>
      <w:bookmarkEnd w:id="218"/>
      <w:r>
        <w:fldChar w:fldCharType="begin"/>
      </w:r>
      <w:r>
        <w:instrText xml:space="preserve"> HYPERLINK "https://www.sciencedirect.com/science/article/pii/S2211124723006289" \h </w:instrText>
      </w:r>
      <w:r>
        <w:fldChar w:fldCharType="separate"/>
      </w:r>
      <w:r>
        <w:rPr>
          <w:rFonts w:ascii="inter" w:hAnsi="inter" w:eastAsia="inter" w:cs="inter"/>
          <w:color w:val="000000"/>
          <w:sz w:val="18"/>
          <w:u w:val="single"/>
        </w:rPr>
        <w:t>https://www.sciencedirect.com/science/article/pii/S2211124723006289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2D1AA0">
      <w:pPr>
        <w:numPr>
          <w:ilvl w:val="0"/>
          <w:numId w:val="1"/>
        </w:numPr>
        <w:spacing w:after="210" w:line="360" w:lineRule="auto"/>
      </w:pPr>
      <w:bookmarkStart w:id="219" w:name="fn35"/>
      <w:bookmarkEnd w:id="219"/>
      <w:r>
        <w:fldChar w:fldCharType="begin"/>
      </w:r>
      <w:r>
        <w:instrText xml:space="preserve"> HYPERLINK "https://pmc.ncbi.nlm.nih.gov/articles/PMC6090140/" \h </w:instrText>
      </w:r>
      <w:r>
        <w:fldChar w:fldCharType="separate"/>
      </w:r>
      <w:r>
        <w:rPr>
          <w:rFonts w:ascii="inter" w:hAnsi="inter" w:eastAsia="inter" w:cs="inter"/>
          <w:color w:val="000000"/>
          <w:sz w:val="18"/>
          <w:u w:val="single"/>
        </w:rPr>
        <w:t>https://pmc.ncbi.nlm.nih.gov/articles/PMC6090140/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60B00F">
      <w:pPr>
        <w:numPr>
          <w:ilvl w:val="0"/>
          <w:numId w:val="1"/>
        </w:numPr>
        <w:spacing w:after="210" w:line="360" w:lineRule="auto"/>
      </w:pPr>
      <w:bookmarkStart w:id="220" w:name="fn36"/>
      <w:bookmarkEnd w:id="220"/>
      <w:r>
        <w:fldChar w:fldCharType="begin"/>
      </w:r>
      <w:r>
        <w:instrText xml:space="preserve"> HYPERLINK "https://www.frontiersin.org/journals/pharmacology/articles/10.3389/fphar.2018.01273/full" \h </w:instrText>
      </w:r>
      <w:r>
        <w:fldChar w:fldCharType="separate"/>
      </w:r>
      <w:r>
        <w:rPr>
          <w:rFonts w:ascii="inter" w:hAnsi="inter" w:eastAsia="inter" w:cs="inter"/>
          <w:color w:val="000000"/>
          <w:sz w:val="18"/>
          <w:u w:val="single"/>
        </w:rPr>
        <w:t>https://www.frontiersin.org/journals/pharmacology/articles/10.3389/fphar.2018.01273/full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6ED95A">
      <w:pPr>
        <w:numPr>
          <w:ilvl w:val="0"/>
          <w:numId w:val="1"/>
        </w:numPr>
        <w:spacing w:after="210" w:line="360" w:lineRule="auto"/>
      </w:pPr>
      <w:bookmarkStart w:id="221" w:name="fn37"/>
      <w:bookmarkEnd w:id="221"/>
      <w:r>
        <w:fldChar w:fldCharType="begin"/>
      </w:r>
      <w:r>
        <w:instrText xml:space="preserve"> HYPERLINK "https://www.nature.com/articles/s41598-024-68986-4" \h </w:instrText>
      </w:r>
      <w:r>
        <w:fldChar w:fldCharType="separate"/>
      </w:r>
      <w:r>
        <w:rPr>
          <w:rFonts w:ascii="inter" w:hAnsi="inter" w:eastAsia="inter" w:cs="inter"/>
          <w:color w:val="000000"/>
          <w:sz w:val="18"/>
          <w:u w:val="single"/>
        </w:rPr>
        <w:t>https://www.nature.com/articles/s41598-024-68986-4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670268">
      <w:pPr>
        <w:numPr>
          <w:ilvl w:val="0"/>
          <w:numId w:val="1"/>
        </w:numPr>
        <w:spacing w:after="210" w:line="360" w:lineRule="auto"/>
      </w:pPr>
      <w:bookmarkStart w:id="222" w:name="fn38"/>
      <w:bookmarkEnd w:id="222"/>
      <w:r>
        <w:fldChar w:fldCharType="begin"/>
      </w:r>
      <w:r>
        <w:instrText xml:space="preserve"> HYPERLINK "https://pmc.ncbi.nlm.nih.gov/articles/PMC8393299/" \h </w:instrText>
      </w:r>
      <w:r>
        <w:fldChar w:fldCharType="separate"/>
      </w:r>
      <w:r>
        <w:rPr>
          <w:rFonts w:ascii="inter" w:hAnsi="inter" w:eastAsia="inter" w:cs="inter"/>
          <w:color w:val="000000"/>
          <w:sz w:val="18"/>
          <w:u w:val="single"/>
        </w:rPr>
        <w:t>https://pmc.ncbi.nlm.nih.gov/articles/PMC8393299/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25748A2">
      <w:pPr>
        <w:numPr>
          <w:ilvl w:val="0"/>
          <w:numId w:val="1"/>
        </w:numPr>
        <w:spacing w:after="210" w:line="360" w:lineRule="auto"/>
      </w:pPr>
      <w:bookmarkStart w:id="223" w:name="fn39"/>
      <w:bookmarkEnd w:id="223"/>
      <w:r>
        <w:fldChar w:fldCharType="begin"/>
      </w:r>
      <w:r>
        <w:instrText xml:space="preserve"> HYPERLINK "https://pmc.ncbi.nlm.nih.gov/articles/PMC12382319/" \h </w:instrText>
      </w:r>
      <w:r>
        <w:fldChar w:fldCharType="separate"/>
      </w:r>
      <w:r>
        <w:rPr>
          <w:rFonts w:ascii="inter" w:hAnsi="inter" w:eastAsia="inter" w:cs="inter"/>
          <w:color w:val="000000"/>
          <w:sz w:val="18"/>
          <w:u w:val="single"/>
        </w:rPr>
        <w:t>https://pmc.ncbi.nlm.nih.gov/articles/PMC12382319/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F31FAB">
      <w:pPr>
        <w:numPr>
          <w:ilvl w:val="0"/>
          <w:numId w:val="1"/>
        </w:numPr>
        <w:spacing w:after="210" w:line="360" w:lineRule="auto"/>
      </w:pPr>
      <w:bookmarkStart w:id="224" w:name="fn40"/>
      <w:bookmarkEnd w:id="224"/>
      <w:r>
        <w:fldChar w:fldCharType="begin"/>
      </w:r>
      <w:r>
        <w:instrText xml:space="preserve"> HYPERLINK "https://www.sciencedirect.com/science/article/pii/S2211124720312493" \h </w:instrText>
      </w:r>
      <w:r>
        <w:fldChar w:fldCharType="separate"/>
      </w:r>
      <w:r>
        <w:rPr>
          <w:rFonts w:ascii="inter" w:hAnsi="inter" w:eastAsia="inter" w:cs="inter"/>
          <w:color w:val="000000"/>
          <w:sz w:val="18"/>
          <w:u w:val="single"/>
        </w:rPr>
        <w:t>https://www.sciencedirect.com/science/article/pii/S2211124720312493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91288B">
      <w:pPr>
        <w:numPr>
          <w:ilvl w:val="0"/>
          <w:numId w:val="1"/>
        </w:numPr>
        <w:spacing w:after="210" w:line="360" w:lineRule="auto"/>
      </w:pPr>
      <w:bookmarkStart w:id="225" w:name="fn41"/>
      <w:bookmarkEnd w:id="225"/>
      <w:r>
        <w:fldChar w:fldCharType="begin"/>
      </w:r>
      <w:r>
        <w:instrText xml:space="preserve"> HYPERLINK "https://www.sciencedirect.com/science/article/abs/pii/S0006291X25013750" \h </w:instrText>
      </w:r>
      <w:r>
        <w:fldChar w:fldCharType="separate"/>
      </w:r>
      <w:r>
        <w:rPr>
          <w:rFonts w:ascii="inter" w:hAnsi="inter" w:eastAsia="inter" w:cs="inter"/>
          <w:color w:val="000000"/>
          <w:sz w:val="18"/>
          <w:u w:val="single"/>
        </w:rPr>
        <w:t>https://www.sciencedirect.com/science/article/abs/pii/S0006291X25013750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E23A22">
      <w:pPr>
        <w:numPr>
          <w:ilvl w:val="0"/>
          <w:numId w:val="1"/>
        </w:numPr>
        <w:spacing w:after="210" w:line="360" w:lineRule="auto"/>
      </w:pPr>
      <w:bookmarkStart w:id="226" w:name="fn42"/>
      <w:bookmarkEnd w:id="226"/>
      <w:r>
        <w:fldChar w:fldCharType="begin"/>
      </w:r>
      <w:r>
        <w:instrText xml:space="preserve"> HYPERLINK "https://pdf.hanspub.org/acm2024146_1148100308.pdf" \h </w:instrText>
      </w:r>
      <w:r>
        <w:fldChar w:fldCharType="separate"/>
      </w:r>
      <w:r>
        <w:rPr>
          <w:rFonts w:ascii="inter" w:hAnsi="inter" w:eastAsia="inter" w:cs="inter"/>
          <w:color w:val="000000"/>
          <w:sz w:val="18"/>
          <w:u w:val="single"/>
        </w:rPr>
        <w:t>https://pdf.hanspub.org/acm2024146_1148100308.pdf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AD7686">
      <w:pPr>
        <w:numPr>
          <w:ilvl w:val="0"/>
          <w:numId w:val="1"/>
        </w:numPr>
        <w:spacing w:after="210" w:line="360" w:lineRule="auto"/>
      </w:pPr>
      <w:bookmarkStart w:id="227" w:name="fn43"/>
      <w:bookmarkEnd w:id="227"/>
      <w:r>
        <w:fldChar w:fldCharType="begin"/>
      </w:r>
      <w:r>
        <w:instrText xml:space="preserve"> HYPERLINK "https://www.sjzsyj.com.cn/CN/10.4103/NRR.NRR-D-25-00364" \h </w:instrText>
      </w:r>
      <w:r>
        <w:fldChar w:fldCharType="separate"/>
      </w:r>
      <w:r>
        <w:rPr>
          <w:rFonts w:ascii="inter" w:hAnsi="inter" w:eastAsia="inter" w:cs="inter"/>
          <w:color w:val="000000"/>
          <w:sz w:val="18"/>
          <w:u w:val="single"/>
        </w:rPr>
        <w:t>https://www.sjzsyj.com.cn/CN/10.4103/NRR.NRR-D-25-00364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7CCAC4F">
      <w:pPr>
        <w:numPr>
          <w:ilvl w:val="0"/>
          <w:numId w:val="1"/>
        </w:numPr>
        <w:spacing w:after="210" w:line="360" w:lineRule="auto"/>
      </w:pPr>
      <w:bookmarkStart w:id="228" w:name="fn44"/>
      <w:bookmarkEnd w:id="228"/>
      <w:r>
        <w:fldChar w:fldCharType="begin"/>
      </w:r>
      <w:r>
        <w:instrText xml:space="preserve"> HYPERLINK "https://advanced.onlinelibrary.wiley.com/doi/10.1002/advs.202503722" \h </w:instrText>
      </w:r>
      <w:r>
        <w:fldChar w:fldCharType="separate"/>
      </w:r>
      <w:r>
        <w:rPr>
          <w:rFonts w:ascii="inter" w:hAnsi="inter" w:eastAsia="inter" w:cs="inter"/>
          <w:color w:val="000000"/>
          <w:sz w:val="18"/>
          <w:u w:val="single"/>
        </w:rPr>
        <w:t>https://advanced.onlinelibrary.wiley.com/doi/10.1002/advs.202503722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45AE7A3">
      <w:pPr>
        <w:numPr>
          <w:ilvl w:val="0"/>
          <w:numId w:val="1"/>
        </w:numPr>
        <w:spacing w:after="210" w:line="360" w:lineRule="auto"/>
      </w:pPr>
      <w:bookmarkStart w:id="229" w:name="fn45"/>
      <w:bookmarkEnd w:id="229"/>
      <w:r>
        <w:fldChar w:fldCharType="begin"/>
      </w:r>
      <w:r>
        <w:instrText xml:space="preserve"> HYPERLINK "http://sjssygncj.chmed.net/ch/reader/view_abstract.aspx?file_no=20231107&amp;flag=1" \h </w:instrText>
      </w:r>
      <w:r>
        <w:fldChar w:fldCharType="separate"/>
      </w:r>
      <w:r>
        <w:rPr>
          <w:rFonts w:ascii="inter" w:hAnsi="inter" w:eastAsia="inter" w:cs="inter"/>
          <w:color w:val="000000"/>
          <w:sz w:val="18"/>
          <w:u w:val="single"/>
        </w:rPr>
        <w:t>http://sjssygncj.chmed.net/ch/reader/view_abstract.aspx?file_no=20231107&amp;flag=1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C4181E">
      <w:pPr>
        <w:numPr>
          <w:ilvl w:val="0"/>
          <w:numId w:val="1"/>
        </w:numPr>
        <w:spacing w:after="210" w:line="360" w:lineRule="auto"/>
      </w:pPr>
      <w:bookmarkStart w:id="230" w:name="fn46"/>
      <w:bookmarkEnd w:id="230"/>
      <w:r>
        <w:fldChar w:fldCharType="begin"/>
      </w:r>
      <w:r>
        <w:instrText xml:space="preserve"> HYPERLINK "https://pmc.ncbi.nlm.nih.gov/articles/PMC11840350/" \h </w:instrText>
      </w:r>
      <w:r>
        <w:fldChar w:fldCharType="separate"/>
      </w:r>
      <w:r>
        <w:rPr>
          <w:rFonts w:ascii="inter" w:hAnsi="inter" w:eastAsia="inter" w:cs="inter"/>
          <w:color w:val="000000"/>
          <w:sz w:val="18"/>
          <w:u w:val="single"/>
        </w:rPr>
        <w:t>https://pmc.ncbi.nlm.nih.gov/articles/PMC11840350/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4ECE11">
      <w:pPr>
        <w:numPr>
          <w:ilvl w:val="0"/>
          <w:numId w:val="1"/>
        </w:numPr>
        <w:spacing w:after="210" w:line="360" w:lineRule="auto"/>
      </w:pPr>
      <w:bookmarkStart w:id="231" w:name="fn47"/>
      <w:bookmarkEnd w:id="231"/>
      <w:r>
        <w:fldChar w:fldCharType="begin"/>
      </w:r>
      <w:r>
        <w:instrText xml:space="preserve"> HYPERLINK "https://journals.sagepub.com/doi/10.1038/jcbfm.2014.239" \h </w:instrText>
      </w:r>
      <w:r>
        <w:fldChar w:fldCharType="separate"/>
      </w:r>
      <w:r>
        <w:rPr>
          <w:rFonts w:ascii="inter" w:hAnsi="inter" w:eastAsia="inter" w:cs="inter"/>
          <w:color w:val="000000"/>
          <w:sz w:val="18"/>
          <w:u w:val="single"/>
        </w:rPr>
        <w:t>https://journals.sagepub.com/doi/10.1038/jcbfm.2014.239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B0C9AF">
      <w:pPr>
        <w:numPr>
          <w:ilvl w:val="0"/>
          <w:numId w:val="1"/>
        </w:numPr>
        <w:spacing w:after="210" w:line="360" w:lineRule="auto"/>
      </w:pPr>
      <w:bookmarkStart w:id="232" w:name="fn48"/>
      <w:bookmarkEnd w:id="232"/>
      <w:r>
        <w:fldChar w:fldCharType="begin"/>
      </w:r>
      <w:r>
        <w:instrText xml:space="preserve"> HYPERLINK "https://www.imrpress.com/journal/jin/24/4/10.31083/JIN26357" \h </w:instrText>
      </w:r>
      <w:r>
        <w:fldChar w:fldCharType="separate"/>
      </w:r>
      <w:r>
        <w:rPr>
          <w:rFonts w:ascii="inter" w:hAnsi="inter" w:eastAsia="inter" w:cs="inter"/>
          <w:color w:val="000000"/>
          <w:sz w:val="18"/>
          <w:u w:val="single"/>
        </w:rPr>
        <w:t>https://www.imrpress.com/journal/jin/24/4/10.31083/JIN26357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B74A1C">
      <w:pPr>
        <w:numPr>
          <w:ilvl w:val="0"/>
          <w:numId w:val="1"/>
        </w:numPr>
        <w:spacing w:after="210" w:line="360" w:lineRule="auto"/>
      </w:pPr>
      <w:bookmarkStart w:id="233" w:name="fn49"/>
      <w:bookmarkEnd w:id="233"/>
      <w:r>
        <w:fldChar w:fldCharType="begin"/>
      </w:r>
      <w:r>
        <w:instrText xml:space="preserve"> HYPERLINK "https://pmc.ncbi.nlm.nih.gov/articles/PMC11484374/" \h </w:instrText>
      </w:r>
      <w:r>
        <w:fldChar w:fldCharType="separate"/>
      </w:r>
      <w:r>
        <w:rPr>
          <w:rFonts w:ascii="inter" w:hAnsi="inter" w:eastAsia="inter" w:cs="inter"/>
          <w:color w:val="000000"/>
          <w:sz w:val="18"/>
          <w:u w:val="single"/>
        </w:rPr>
        <w:t>https://pmc.ncbi.nlm.nih.gov/articles/PMC11484374/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885347B">
      <w:pPr>
        <w:numPr>
          <w:ilvl w:val="0"/>
          <w:numId w:val="1"/>
        </w:numPr>
        <w:spacing w:after="210" w:line="360" w:lineRule="auto"/>
      </w:pPr>
      <w:bookmarkStart w:id="234" w:name="fn50"/>
      <w:bookmarkEnd w:id="234"/>
      <w:r>
        <w:fldChar w:fldCharType="begin"/>
      </w:r>
      <w:r>
        <w:instrText xml:space="preserve"> HYPERLINK "https://www.frontiersin.org/journals/stroke/articles/10.3389/fstro.2024.1382379/full" \h </w:instrText>
      </w:r>
      <w:r>
        <w:fldChar w:fldCharType="separate"/>
      </w:r>
      <w:r>
        <w:rPr>
          <w:rFonts w:ascii="inter" w:hAnsi="inter" w:eastAsia="inter" w:cs="inter"/>
          <w:color w:val="000000"/>
          <w:sz w:val="18"/>
          <w:u w:val="single"/>
        </w:rPr>
        <w:t>https://www.frontiersin.org/journals/stroke/articles/10.3389/fstro.2024.1382379/full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383DF1B">
      <w:pPr>
        <w:numPr>
          <w:ilvl w:val="0"/>
          <w:numId w:val="1"/>
        </w:numPr>
        <w:spacing w:after="210" w:line="360" w:lineRule="auto"/>
      </w:pPr>
      <w:bookmarkStart w:id="235" w:name="fn51"/>
      <w:bookmarkEnd w:id="235"/>
      <w:r>
        <w:fldChar w:fldCharType="begin"/>
      </w:r>
      <w:r>
        <w:instrText xml:space="preserve"> HYPERLINK "https://pmc.ncbi.nlm.nih.gov/articles/PMC4483817/" \h </w:instrText>
      </w:r>
      <w:r>
        <w:fldChar w:fldCharType="separate"/>
      </w:r>
      <w:r>
        <w:rPr>
          <w:rFonts w:ascii="inter" w:hAnsi="inter" w:eastAsia="inter" w:cs="inter"/>
          <w:color w:val="000000"/>
          <w:sz w:val="18"/>
          <w:u w:val="single"/>
        </w:rPr>
        <w:t>https://pmc.ncbi.nlm.nih.gov/articles/PMC4483817/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5747E43">
      <w:pPr>
        <w:numPr>
          <w:ilvl w:val="0"/>
          <w:numId w:val="1"/>
        </w:numPr>
        <w:spacing w:after="210" w:line="360" w:lineRule="auto"/>
      </w:pPr>
      <w:bookmarkStart w:id="236" w:name="fn52"/>
      <w:bookmarkEnd w:id="236"/>
      <w:r>
        <w:fldChar w:fldCharType="begin"/>
      </w:r>
      <w:r>
        <w:instrText xml:space="preserve"> HYPERLINK "https://pmc.ncbi.nlm.nih.gov/articles/PMC9813499/" \h </w:instrText>
      </w:r>
      <w:r>
        <w:fldChar w:fldCharType="separate"/>
      </w:r>
      <w:r>
        <w:rPr>
          <w:rFonts w:ascii="inter" w:hAnsi="inter" w:eastAsia="inter" w:cs="inter"/>
          <w:color w:val="000000"/>
          <w:sz w:val="18"/>
          <w:u w:val="single"/>
        </w:rPr>
        <w:t>https://pmc.ncbi.nlm.nih.gov/articles/PMC9813499/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01B91B">
      <w:pPr>
        <w:numPr>
          <w:ilvl w:val="0"/>
          <w:numId w:val="1"/>
        </w:numPr>
        <w:spacing w:after="210" w:line="360" w:lineRule="auto"/>
      </w:pPr>
      <w:bookmarkStart w:id="237" w:name="fn53"/>
      <w:bookmarkEnd w:id="237"/>
      <w:r>
        <w:fldChar w:fldCharType="begin"/>
      </w:r>
      <w:r>
        <w:instrText xml:space="preserve"> HYPERLINK "https://www.nature.com/articles/s41598-023-37815-5" \h </w:instrText>
      </w:r>
      <w:r>
        <w:fldChar w:fldCharType="separate"/>
      </w:r>
      <w:r>
        <w:rPr>
          <w:rFonts w:ascii="inter" w:hAnsi="inter" w:eastAsia="inter" w:cs="inter"/>
          <w:color w:val="000000"/>
          <w:sz w:val="18"/>
          <w:u w:val="single"/>
        </w:rPr>
        <w:t>https://www.nature.com/articles/s41598-023-37815-5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16F160">
      <w:pPr>
        <w:numPr>
          <w:ilvl w:val="0"/>
          <w:numId w:val="1"/>
        </w:numPr>
        <w:spacing w:after="210" w:line="360" w:lineRule="auto"/>
      </w:pPr>
      <w:bookmarkStart w:id="238" w:name="fn54"/>
      <w:bookmarkEnd w:id="238"/>
      <w:r>
        <w:fldChar w:fldCharType="begin"/>
      </w:r>
      <w:r>
        <w:instrText xml:space="preserve"> HYPERLINK "https://pubmed.ncbi.nlm.nih.gov/23543449/" \h </w:instrText>
      </w:r>
      <w:r>
        <w:fldChar w:fldCharType="separate"/>
      </w:r>
      <w:r>
        <w:rPr>
          <w:rFonts w:ascii="inter" w:hAnsi="inter" w:eastAsia="inter" w:cs="inter"/>
          <w:color w:val="000000"/>
          <w:sz w:val="18"/>
          <w:u w:val="single"/>
        </w:rPr>
        <w:t>https://pubmed.ncbi.nlm.nih.gov/23543449/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5F231D">
      <w:pPr>
        <w:numPr>
          <w:ilvl w:val="0"/>
          <w:numId w:val="1"/>
        </w:numPr>
        <w:spacing w:after="210" w:line="360" w:lineRule="auto"/>
      </w:pPr>
      <w:bookmarkStart w:id="239" w:name="fn55"/>
      <w:bookmarkEnd w:id="239"/>
      <w:r>
        <w:fldChar w:fldCharType="begin"/>
      </w:r>
      <w:r>
        <w:instrText xml:space="preserve"> HYPERLINK "https://www.neurology.org/doi/10.1212/WNL.0000000000007851" \h </w:instrText>
      </w:r>
      <w:r>
        <w:fldChar w:fldCharType="separate"/>
      </w:r>
      <w:r>
        <w:rPr>
          <w:rFonts w:ascii="inter" w:hAnsi="inter" w:eastAsia="inter" w:cs="inter"/>
          <w:color w:val="000000"/>
          <w:sz w:val="18"/>
          <w:u w:val="single"/>
        </w:rPr>
        <w:t>https://www.neurology.org/doi/10.1212/WNL.0000000000007851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696618">
      <w:pPr>
        <w:numPr>
          <w:ilvl w:val="0"/>
          <w:numId w:val="1"/>
        </w:numPr>
        <w:spacing w:after="210" w:line="360" w:lineRule="auto"/>
      </w:pPr>
      <w:bookmarkStart w:id="240" w:name="fn56"/>
      <w:bookmarkEnd w:id="240"/>
      <w:r>
        <w:fldChar w:fldCharType="begin"/>
      </w:r>
      <w:r>
        <w:instrText xml:space="preserve"> HYPERLINK "https://www.sciencedirect.com/science/article/pii/S0361923025004800" \h </w:instrText>
      </w:r>
      <w:r>
        <w:fldChar w:fldCharType="separate"/>
      </w:r>
      <w:r>
        <w:rPr>
          <w:rFonts w:ascii="inter" w:hAnsi="inter" w:eastAsia="inter" w:cs="inter"/>
          <w:color w:val="000000"/>
          <w:sz w:val="18"/>
          <w:u w:val="single"/>
        </w:rPr>
        <w:t>https://www.sciencedirect.com/science/article/pii/S0361923025004800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20CEA7">
      <w:pPr>
        <w:numPr>
          <w:ilvl w:val="0"/>
          <w:numId w:val="1"/>
        </w:numPr>
        <w:spacing w:after="210" w:line="360" w:lineRule="auto"/>
      </w:pPr>
      <w:bookmarkStart w:id="241" w:name="fn57"/>
      <w:bookmarkEnd w:id="241"/>
      <w:r>
        <w:fldChar w:fldCharType="begin"/>
      </w:r>
      <w:r>
        <w:instrText xml:space="preserve"> HYPERLINK "https://www.sciencedirect.com/science/article/abs/pii/S0006291X20310469" \h </w:instrText>
      </w:r>
      <w:r>
        <w:fldChar w:fldCharType="separate"/>
      </w:r>
      <w:r>
        <w:rPr>
          <w:rFonts w:ascii="inter" w:hAnsi="inter" w:eastAsia="inter" w:cs="inter"/>
          <w:color w:val="000000"/>
          <w:sz w:val="18"/>
          <w:u w:val="single"/>
        </w:rPr>
        <w:t>https://www.sciencedirect.com/science/article/abs/pii/S0006291X20310469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3D3AED">
      <w:pPr>
        <w:numPr>
          <w:ilvl w:val="0"/>
          <w:numId w:val="1"/>
        </w:numPr>
        <w:spacing w:after="210" w:line="360" w:lineRule="auto"/>
      </w:pPr>
      <w:bookmarkStart w:id="242" w:name="fn58"/>
      <w:bookmarkEnd w:id="242"/>
      <w:r>
        <w:fldChar w:fldCharType="begin"/>
      </w:r>
      <w:r>
        <w:instrText xml:space="preserve"> HYPERLINK "https://journals.physiology.org/doi/10.1152/ajpcell.00136.2018" \h </w:instrText>
      </w:r>
      <w:r>
        <w:fldChar w:fldCharType="separate"/>
      </w:r>
      <w:r>
        <w:rPr>
          <w:rFonts w:ascii="inter" w:hAnsi="inter" w:eastAsia="inter" w:cs="inter"/>
          <w:color w:val="000000"/>
          <w:sz w:val="18"/>
          <w:u w:val="single"/>
        </w:rPr>
        <w:t>https://journals.physiology.org/doi/10.1152/ajpcell.00136.2018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CB1ACD">
      <w:pPr>
        <w:numPr>
          <w:ilvl w:val="0"/>
          <w:numId w:val="1"/>
        </w:numPr>
        <w:spacing w:after="210" w:line="360" w:lineRule="auto"/>
      </w:pPr>
      <w:bookmarkStart w:id="243" w:name="fn59"/>
      <w:bookmarkEnd w:id="243"/>
      <w:r>
        <w:fldChar w:fldCharType="begin"/>
      </w:r>
      <w:r>
        <w:instrText xml:space="preserve"> HYPERLINK "https://www.biorxiv.org/content/10.1101/2024.09.06.611551v1.full" \h </w:instrText>
      </w:r>
      <w:r>
        <w:fldChar w:fldCharType="separate"/>
      </w:r>
      <w:r>
        <w:rPr>
          <w:rFonts w:ascii="inter" w:hAnsi="inter" w:eastAsia="inter" w:cs="inter"/>
          <w:color w:val="000000"/>
          <w:sz w:val="18"/>
          <w:u w:val="single"/>
        </w:rPr>
        <w:t>https://www.biorxiv.org/content/10.1101/2024.09.06.611551v1.full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4BC33F">
      <w:pPr>
        <w:numPr>
          <w:ilvl w:val="0"/>
          <w:numId w:val="1"/>
        </w:numPr>
        <w:spacing w:after="210" w:line="360" w:lineRule="auto"/>
      </w:pPr>
      <w:bookmarkStart w:id="244" w:name="fn60"/>
      <w:bookmarkEnd w:id="244"/>
      <w:r>
        <w:fldChar w:fldCharType="begin"/>
      </w:r>
      <w:r>
        <w:instrText xml:space="preserve"> HYPERLINK "https://www.nature.com/articles/s41598-018-24350-x" \h </w:instrText>
      </w:r>
      <w:r>
        <w:fldChar w:fldCharType="separate"/>
      </w:r>
      <w:r>
        <w:rPr>
          <w:rFonts w:ascii="inter" w:hAnsi="inter" w:eastAsia="inter" w:cs="inter"/>
          <w:color w:val="000000"/>
          <w:sz w:val="18"/>
          <w:u w:val="single"/>
        </w:rPr>
        <w:t>https://www.nature.com/articles/s41598-018-24350-x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9DAFD3">
      <w:pPr>
        <w:numPr>
          <w:ilvl w:val="0"/>
          <w:numId w:val="1"/>
        </w:numPr>
        <w:spacing w:after="210" w:line="360" w:lineRule="auto"/>
      </w:pPr>
      <w:bookmarkStart w:id="245" w:name="fn61"/>
      <w:bookmarkEnd w:id="245"/>
      <w:r>
        <w:fldChar w:fldCharType="begin"/>
      </w:r>
      <w:r>
        <w:instrText xml:space="preserve"> HYPERLINK "https://www.sciencedirect.com/science/article/pii/S2405844024082021" \h </w:instrText>
      </w:r>
      <w:r>
        <w:fldChar w:fldCharType="separate"/>
      </w:r>
      <w:r>
        <w:rPr>
          <w:rFonts w:ascii="inter" w:hAnsi="inter" w:eastAsia="inter" w:cs="inter"/>
          <w:color w:val="000000"/>
          <w:sz w:val="18"/>
          <w:u w:val="single"/>
        </w:rPr>
        <w:t>https://www.sciencedirect.com/science/article/pii/S2405844024082021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A712EB">
      <w:pPr>
        <w:numPr>
          <w:ilvl w:val="0"/>
          <w:numId w:val="1"/>
        </w:numPr>
        <w:spacing w:after="210" w:line="360" w:lineRule="auto"/>
      </w:pPr>
      <w:bookmarkStart w:id="246" w:name="fn62"/>
      <w:bookmarkEnd w:id="246"/>
      <w:r>
        <w:fldChar w:fldCharType="begin"/>
      </w:r>
      <w:r>
        <w:instrText xml:space="preserve"> HYPERLINK "https://pmc.ncbi.nlm.nih.gov/articles/PMC12802677/" \h </w:instrText>
      </w:r>
      <w:r>
        <w:fldChar w:fldCharType="separate"/>
      </w:r>
      <w:r>
        <w:rPr>
          <w:rFonts w:ascii="inter" w:hAnsi="inter" w:eastAsia="inter" w:cs="inter"/>
          <w:color w:val="000000"/>
          <w:sz w:val="18"/>
          <w:u w:val="single"/>
        </w:rPr>
        <w:t>https://pmc.ncbi.nlm.nih.gov/articles/PMC12802677/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6CFB87">
      <w:pPr>
        <w:numPr>
          <w:ilvl w:val="0"/>
          <w:numId w:val="1"/>
        </w:numPr>
        <w:spacing w:after="210" w:line="360" w:lineRule="auto"/>
      </w:pPr>
      <w:bookmarkStart w:id="247" w:name="fn63"/>
      <w:bookmarkEnd w:id="247"/>
      <w:r>
        <w:fldChar w:fldCharType="begin"/>
      </w:r>
      <w:r>
        <w:instrText xml:space="preserve"> HYPERLINK "https://www.jci.org/articles/view/124616" \h </w:instrText>
      </w:r>
      <w:r>
        <w:fldChar w:fldCharType="separate"/>
      </w:r>
      <w:r>
        <w:rPr>
          <w:rFonts w:ascii="inter" w:hAnsi="inter" w:eastAsia="inter" w:cs="inter"/>
          <w:color w:val="000000"/>
          <w:sz w:val="18"/>
          <w:u w:val="single"/>
        </w:rPr>
        <w:t>https://www.jci.org/articles/view/124616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0C1409">
      <w:pPr>
        <w:numPr>
          <w:ilvl w:val="0"/>
          <w:numId w:val="1"/>
        </w:numPr>
        <w:spacing w:after="210" w:line="360" w:lineRule="auto"/>
      </w:pPr>
      <w:bookmarkStart w:id="248" w:name="fn64"/>
      <w:bookmarkEnd w:id="248"/>
      <w:r>
        <w:fldChar w:fldCharType="begin"/>
      </w:r>
      <w:r>
        <w:instrText xml:space="preserve"> HYPERLINK "https://www.sciencedirect.com/science/article/pii/S0361923022003240" \h </w:instrText>
      </w:r>
      <w:r>
        <w:fldChar w:fldCharType="separate"/>
      </w:r>
      <w:r>
        <w:rPr>
          <w:rFonts w:ascii="inter" w:hAnsi="inter" w:eastAsia="inter" w:cs="inter"/>
          <w:color w:val="000000"/>
          <w:sz w:val="18"/>
          <w:u w:val="single"/>
        </w:rPr>
        <w:t>https://www.sciencedirect.com/science/article/pii/S0361923022003240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0B3A07">
      <w:pPr>
        <w:numPr>
          <w:ilvl w:val="0"/>
          <w:numId w:val="1"/>
        </w:numPr>
        <w:spacing w:after="210" w:line="360" w:lineRule="auto"/>
      </w:pPr>
      <w:bookmarkStart w:id="249" w:name="fn65"/>
      <w:bookmarkEnd w:id="249"/>
      <w:r>
        <w:fldChar w:fldCharType="begin"/>
      </w:r>
      <w:r>
        <w:instrText xml:space="preserve"> HYPERLINK "https://ajronline.org/doi/10.2214/AJR.07.2518" \h </w:instrText>
      </w:r>
      <w:r>
        <w:fldChar w:fldCharType="separate"/>
      </w:r>
      <w:r>
        <w:rPr>
          <w:rFonts w:ascii="inter" w:hAnsi="inter" w:eastAsia="inter" w:cs="inter"/>
          <w:color w:val="000000"/>
          <w:sz w:val="18"/>
          <w:u w:val="single"/>
        </w:rPr>
        <w:t>https://ajronline.org/doi/10.2214/AJR.07.2518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CD09D7D">
      <w:pPr>
        <w:numPr>
          <w:ilvl w:val="0"/>
          <w:numId w:val="1"/>
        </w:numPr>
        <w:spacing w:after="210" w:line="360" w:lineRule="auto"/>
      </w:pPr>
      <w:bookmarkStart w:id="250" w:name="fn66"/>
      <w:bookmarkEnd w:id="250"/>
      <w:r>
        <w:fldChar w:fldCharType="begin"/>
      </w:r>
      <w:r>
        <w:instrText xml:space="preserve"> HYPERLINK "https://www.frontiersin.org/journals/immunology/articles/10.3389/fimmu.2021.790201/full" \h </w:instrText>
      </w:r>
      <w:r>
        <w:fldChar w:fldCharType="separate"/>
      </w:r>
      <w:r>
        <w:rPr>
          <w:rFonts w:ascii="inter" w:hAnsi="inter" w:eastAsia="inter" w:cs="inter"/>
          <w:color w:val="000000"/>
          <w:sz w:val="18"/>
          <w:u w:val="single"/>
        </w:rPr>
        <w:t>https://www.frontiersin.org/journals/immunology/articles/10.3389/fimmu.2021.790201/full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BD328F">
      <w:pPr>
        <w:numPr>
          <w:ilvl w:val="0"/>
          <w:numId w:val="1"/>
        </w:numPr>
        <w:spacing w:after="210" w:line="360" w:lineRule="auto"/>
      </w:pPr>
      <w:bookmarkStart w:id="251" w:name="fn67"/>
      <w:bookmarkEnd w:id="251"/>
      <w:r>
        <w:fldChar w:fldCharType="begin"/>
      </w:r>
      <w:r>
        <w:instrText xml:space="preserve"> HYPERLINK "https://onlinelibrary.wiley.com/doi/10.1155/2016/2183026" \h </w:instrText>
      </w:r>
      <w:r>
        <w:fldChar w:fldCharType="separate"/>
      </w:r>
      <w:r>
        <w:rPr>
          <w:rFonts w:ascii="inter" w:hAnsi="inter" w:eastAsia="inter" w:cs="inter"/>
          <w:color w:val="000000"/>
          <w:sz w:val="18"/>
          <w:u w:val="single"/>
        </w:rPr>
        <w:t>https://onlinelibrary.wiley.com/doi/10.1155/2016/2183026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43596A">
      <w:pPr>
        <w:numPr>
          <w:ilvl w:val="0"/>
          <w:numId w:val="1"/>
        </w:numPr>
        <w:spacing w:after="210" w:line="360" w:lineRule="auto"/>
      </w:pPr>
      <w:bookmarkStart w:id="252" w:name="fn68"/>
      <w:bookmarkEnd w:id="252"/>
      <w:r>
        <w:fldChar w:fldCharType="begin"/>
      </w:r>
      <w:r>
        <w:instrText xml:space="preserve"> HYPERLINK "https://www.sciencedirect.com/science/article/pii/S1052305725002009" \h </w:instrText>
      </w:r>
      <w:r>
        <w:fldChar w:fldCharType="separate"/>
      </w:r>
      <w:r>
        <w:rPr>
          <w:rFonts w:ascii="inter" w:hAnsi="inter" w:eastAsia="inter" w:cs="inter"/>
          <w:color w:val="000000"/>
          <w:sz w:val="18"/>
          <w:u w:val="single"/>
        </w:rPr>
        <w:t>https://www.sciencedirect.com/science/article/pii/S1052305725002009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4CE328">
      <w:pPr>
        <w:numPr>
          <w:ilvl w:val="0"/>
          <w:numId w:val="1"/>
        </w:numPr>
        <w:spacing w:after="210" w:line="360" w:lineRule="auto"/>
      </w:pPr>
      <w:bookmarkStart w:id="253" w:name="fn69"/>
      <w:bookmarkEnd w:id="253"/>
      <w:r>
        <w:fldChar w:fldCharType="begin"/>
      </w:r>
      <w:r>
        <w:instrText xml:space="preserve"> HYPERLINK "https://www.clinicaltrials.gov/study/NCT02900833" \h </w:instrText>
      </w:r>
      <w:r>
        <w:fldChar w:fldCharType="separate"/>
      </w:r>
      <w:r>
        <w:rPr>
          <w:rFonts w:ascii="inter" w:hAnsi="inter" w:eastAsia="inter" w:cs="inter"/>
          <w:color w:val="000000"/>
          <w:sz w:val="18"/>
          <w:u w:val="single"/>
        </w:rPr>
        <w:t>https://www.clinicaltrials.gov/study/NCT02900833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830514">
      <w:pPr>
        <w:numPr>
          <w:ilvl w:val="0"/>
          <w:numId w:val="1"/>
        </w:numPr>
        <w:spacing w:after="210" w:line="360" w:lineRule="auto"/>
      </w:pPr>
      <w:bookmarkStart w:id="254" w:name="fn70"/>
      <w:bookmarkEnd w:id="254"/>
      <w:r>
        <w:fldChar w:fldCharType="begin"/>
      </w:r>
      <w:r>
        <w:instrText xml:space="preserve"> HYPERLINK "https://pubmed.ncbi.nlm.nih.gov/41527423/" \h </w:instrText>
      </w:r>
      <w:r>
        <w:fldChar w:fldCharType="separate"/>
      </w:r>
      <w:r>
        <w:rPr>
          <w:rFonts w:ascii="inter" w:hAnsi="inter" w:eastAsia="inter" w:cs="inter"/>
          <w:color w:val="000000"/>
          <w:sz w:val="18"/>
          <w:u w:val="single"/>
        </w:rPr>
        <w:t>https://pubmed.ncbi.nlm.nih.gov/41527423/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C9283C">
      <w:pPr>
        <w:numPr>
          <w:ilvl w:val="0"/>
          <w:numId w:val="1"/>
        </w:numPr>
        <w:spacing w:after="210" w:line="360" w:lineRule="auto"/>
      </w:pPr>
      <w:bookmarkStart w:id="255" w:name="fn71"/>
      <w:bookmarkEnd w:id="255"/>
      <w:r>
        <w:fldChar w:fldCharType="begin"/>
      </w:r>
      <w:r>
        <w:instrText xml:space="preserve"> HYPERLINK "https://pmc.ncbi.nlm.nih.gov/articles/PMC7869696/" \h </w:instrText>
      </w:r>
      <w:r>
        <w:fldChar w:fldCharType="separate"/>
      </w:r>
      <w:r>
        <w:rPr>
          <w:rFonts w:ascii="inter" w:hAnsi="inter" w:eastAsia="inter" w:cs="inter"/>
          <w:color w:val="000000"/>
          <w:sz w:val="18"/>
          <w:u w:val="single"/>
        </w:rPr>
        <w:t>https://pmc.ncbi.nlm.nih.gov/articles/PMC7869696/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D0F789">
      <w:pPr>
        <w:numPr>
          <w:ilvl w:val="0"/>
          <w:numId w:val="1"/>
        </w:numPr>
        <w:spacing w:after="210" w:line="360" w:lineRule="auto"/>
      </w:pPr>
      <w:bookmarkStart w:id="256" w:name="fn72"/>
      <w:bookmarkEnd w:id="256"/>
      <w:r>
        <w:fldChar w:fldCharType="begin"/>
      </w:r>
      <w:r>
        <w:instrText xml:space="preserve"> HYPERLINK "https://www.sciencedirect.com/science/article/abs/pii/S0168365924006369" \h </w:instrText>
      </w:r>
      <w:r>
        <w:fldChar w:fldCharType="separate"/>
      </w:r>
      <w:r>
        <w:rPr>
          <w:rFonts w:ascii="inter" w:hAnsi="inter" w:eastAsia="inter" w:cs="inter"/>
          <w:color w:val="000000"/>
          <w:sz w:val="18"/>
          <w:u w:val="single"/>
        </w:rPr>
        <w:t>https://www.sciencedirect.com/science/article/abs/pii/S0168365924006369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FB60F3">
      <w:pPr>
        <w:numPr>
          <w:ilvl w:val="0"/>
          <w:numId w:val="1"/>
        </w:numPr>
        <w:spacing w:after="210" w:line="360" w:lineRule="auto"/>
      </w:pPr>
      <w:bookmarkStart w:id="257" w:name="fn73"/>
      <w:bookmarkEnd w:id="257"/>
      <w:r>
        <w:fldChar w:fldCharType="begin"/>
      </w:r>
      <w:r>
        <w:instrText xml:space="preserve"> HYPERLINK "https://www.sciencedirect.com/science/article/pii/S0168365925012131" \h </w:instrText>
      </w:r>
      <w:r>
        <w:fldChar w:fldCharType="separate"/>
      </w:r>
      <w:r>
        <w:rPr>
          <w:rFonts w:ascii="inter" w:hAnsi="inter" w:eastAsia="inter" w:cs="inter"/>
          <w:color w:val="000000"/>
          <w:sz w:val="18"/>
          <w:u w:val="single"/>
        </w:rPr>
        <w:t>https://www.sciencedirect.com/science/article/pii/S0168365925012131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0BCC00F">
      <w:pPr>
        <w:numPr>
          <w:ilvl w:val="0"/>
          <w:numId w:val="1"/>
        </w:numPr>
        <w:spacing w:after="210" w:line="360" w:lineRule="auto"/>
      </w:pPr>
      <w:bookmarkStart w:id="258" w:name="fn74"/>
      <w:bookmarkEnd w:id="258"/>
      <w:r>
        <w:fldChar w:fldCharType="begin"/>
      </w:r>
      <w:r>
        <w:instrText xml:space="preserve"> HYPERLINK "https://digitalcommons.library.tmc.edu/utgsbs_dissertations/874/" \h </w:instrText>
      </w:r>
      <w:r>
        <w:fldChar w:fldCharType="separate"/>
      </w:r>
      <w:r>
        <w:rPr>
          <w:rFonts w:ascii="inter" w:hAnsi="inter" w:eastAsia="inter" w:cs="inter"/>
          <w:color w:val="000000"/>
          <w:sz w:val="18"/>
          <w:u w:val="single"/>
        </w:rPr>
        <w:t>https://digitalcommons.library.tmc.edu/utgsbs_dissertations/874/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A7BD01">
      <w:pPr>
        <w:numPr>
          <w:ilvl w:val="0"/>
          <w:numId w:val="1"/>
        </w:numPr>
        <w:spacing w:after="210" w:line="360" w:lineRule="auto"/>
      </w:pPr>
      <w:bookmarkStart w:id="259" w:name="fn75"/>
      <w:bookmarkEnd w:id="259"/>
      <w:r>
        <w:fldChar w:fldCharType="begin"/>
      </w:r>
      <w:r>
        <w:instrText xml:space="preserve"> HYPERLINK "https://www.sciencedirect.com/science/article/abs/pii/S0301008218300017" \h </w:instrText>
      </w:r>
      <w:r>
        <w:fldChar w:fldCharType="separate"/>
      </w:r>
      <w:r>
        <w:rPr>
          <w:rFonts w:ascii="inter" w:hAnsi="inter" w:eastAsia="inter" w:cs="inter"/>
          <w:color w:val="000000"/>
          <w:sz w:val="18"/>
          <w:u w:val="single"/>
        </w:rPr>
        <w:t>https://www.sciencedirect.com/science/article/abs/pii/S0301008218300017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6BD460">
      <w:pPr>
        <w:numPr>
          <w:ilvl w:val="0"/>
          <w:numId w:val="1"/>
        </w:numPr>
        <w:spacing w:after="210" w:line="360" w:lineRule="auto"/>
      </w:pPr>
      <w:bookmarkStart w:id="260" w:name="fn76"/>
      <w:bookmarkEnd w:id="260"/>
      <w:r>
        <w:fldChar w:fldCharType="begin"/>
      </w:r>
      <w:r>
        <w:instrText xml:space="preserve"> HYPERLINK "https://pmc.ncbi.nlm.nih.gov/articles/PMC4515371/" \h </w:instrText>
      </w:r>
      <w:r>
        <w:fldChar w:fldCharType="separate"/>
      </w:r>
      <w:r>
        <w:rPr>
          <w:rFonts w:ascii="inter" w:hAnsi="inter" w:eastAsia="inter" w:cs="inter"/>
          <w:color w:val="000000"/>
          <w:sz w:val="18"/>
          <w:u w:val="single"/>
        </w:rPr>
        <w:t>https://pmc.ncbi.nlm.nih.gov/articles/PMC4515371/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630BB6">
      <w:pPr>
        <w:numPr>
          <w:ilvl w:val="0"/>
          <w:numId w:val="1"/>
        </w:numPr>
        <w:spacing w:after="210" w:line="360" w:lineRule="auto"/>
      </w:pPr>
      <w:bookmarkStart w:id="261" w:name="fn77"/>
      <w:bookmarkEnd w:id="261"/>
      <w:r>
        <w:fldChar w:fldCharType="begin"/>
      </w:r>
      <w:r>
        <w:instrText xml:space="preserve"> HYPERLINK "https://www.sciencedirect.com/science/article/abs/pii/S0959438822001647" \h </w:instrText>
      </w:r>
      <w:r>
        <w:fldChar w:fldCharType="separate"/>
      </w:r>
      <w:r>
        <w:rPr>
          <w:rFonts w:ascii="inter" w:hAnsi="inter" w:eastAsia="inter" w:cs="inter"/>
          <w:color w:val="000000"/>
          <w:sz w:val="18"/>
          <w:u w:val="single"/>
        </w:rPr>
        <w:t>https://www.sciencedirect.com/science/article/abs/pii/S0959438822001647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AB7866">
      <w:pPr>
        <w:numPr>
          <w:ilvl w:val="0"/>
          <w:numId w:val="1"/>
        </w:numPr>
        <w:spacing w:after="210" w:line="360" w:lineRule="auto"/>
      </w:pPr>
      <w:bookmarkStart w:id="262" w:name="fn78"/>
      <w:bookmarkEnd w:id="262"/>
      <w:r>
        <w:fldChar w:fldCharType="begin"/>
      </w:r>
      <w:r>
        <w:instrText xml:space="preserve"> HYPERLINK "https://journals.physiology.org/doi/full/10.1152/ajpheart.00694.2005" \h </w:instrText>
      </w:r>
      <w:r>
        <w:fldChar w:fldCharType="separate"/>
      </w:r>
      <w:r>
        <w:rPr>
          <w:rFonts w:ascii="inter" w:hAnsi="inter" w:eastAsia="inter" w:cs="inter"/>
          <w:color w:val="000000"/>
          <w:sz w:val="18"/>
          <w:u w:val="single"/>
        </w:rPr>
        <w:t>https://journals.physiology.org/doi/full/10.1152/ajpheart.00694.2005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FEBA6E">
      <w:pPr>
        <w:numPr>
          <w:ilvl w:val="0"/>
          <w:numId w:val="1"/>
        </w:numPr>
        <w:spacing w:after="210" w:line="360" w:lineRule="auto"/>
      </w:pPr>
      <w:bookmarkStart w:id="263" w:name="fn79"/>
      <w:bookmarkEnd w:id="263"/>
      <w:r>
        <w:fldChar w:fldCharType="begin"/>
      </w:r>
      <w:r>
        <w:instrText xml:space="preserve"> HYPERLINK "https://www.sciencedirect.com/science/article/pii/S1568997225001570" \h </w:instrText>
      </w:r>
      <w:r>
        <w:fldChar w:fldCharType="separate"/>
      </w:r>
      <w:r>
        <w:rPr>
          <w:rFonts w:ascii="inter" w:hAnsi="inter" w:eastAsia="inter" w:cs="inter"/>
          <w:color w:val="000000"/>
          <w:sz w:val="18"/>
          <w:u w:val="single"/>
        </w:rPr>
        <w:t>https://www.sciencedirect.com/science/article/pii/S1568997225001570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13C542">
      <w:pPr>
        <w:numPr>
          <w:ilvl w:val="0"/>
          <w:numId w:val="1"/>
        </w:numPr>
        <w:spacing w:after="210" w:line="360" w:lineRule="auto"/>
      </w:pPr>
      <w:bookmarkStart w:id="264" w:name="fn80"/>
      <w:bookmarkEnd w:id="264"/>
      <w:r>
        <w:fldChar w:fldCharType="begin"/>
      </w:r>
      <w:r>
        <w:instrText xml:space="preserve"> HYPERLINK "https://www.aginganddisease.org/EN/10.14336/AD.2023.0721-1" \h </w:instrText>
      </w:r>
      <w:r>
        <w:fldChar w:fldCharType="separate"/>
      </w:r>
      <w:r>
        <w:rPr>
          <w:rFonts w:ascii="inter" w:hAnsi="inter" w:eastAsia="inter" w:cs="inter"/>
          <w:color w:val="000000"/>
          <w:sz w:val="18"/>
          <w:u w:val="single"/>
        </w:rPr>
        <w:t>https://www.aginganddisease.org/EN/10.14336/AD.2023.0721-1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8B1940">
      <w:pPr>
        <w:numPr>
          <w:ilvl w:val="0"/>
          <w:numId w:val="1"/>
        </w:numPr>
        <w:spacing w:after="210" w:line="360" w:lineRule="auto"/>
      </w:pPr>
      <w:bookmarkStart w:id="265" w:name="fn81"/>
      <w:bookmarkEnd w:id="265"/>
      <w:r>
        <w:fldChar w:fldCharType="begin"/>
      </w:r>
      <w:r>
        <w:instrText xml:space="preserve"> HYPERLINK "https://www.nature.com/articles/s41598-017-03696-8" \h </w:instrText>
      </w:r>
      <w:r>
        <w:fldChar w:fldCharType="separate"/>
      </w:r>
      <w:r>
        <w:rPr>
          <w:rFonts w:ascii="inter" w:hAnsi="inter" w:eastAsia="inter" w:cs="inter"/>
          <w:color w:val="000000"/>
          <w:sz w:val="18"/>
          <w:u w:val="single"/>
        </w:rPr>
        <w:t>https://www.nature.com/articles/s41598-017-03696-8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A929D5">
      <w:pPr>
        <w:numPr>
          <w:ilvl w:val="0"/>
          <w:numId w:val="1"/>
        </w:numPr>
        <w:spacing w:after="210" w:line="360" w:lineRule="auto"/>
      </w:pPr>
      <w:bookmarkStart w:id="266" w:name="fn82"/>
      <w:bookmarkEnd w:id="266"/>
      <w:r>
        <w:fldChar w:fldCharType="begin"/>
      </w:r>
      <w:r>
        <w:instrText xml:space="preserve"> HYPERLINK "https://www.jci.org/articles/view/97943" \h </w:instrText>
      </w:r>
      <w:r>
        <w:fldChar w:fldCharType="separate"/>
      </w:r>
      <w:r>
        <w:rPr>
          <w:rFonts w:ascii="inter" w:hAnsi="inter" w:eastAsia="inter" w:cs="inter"/>
          <w:color w:val="000000"/>
          <w:sz w:val="18"/>
          <w:u w:val="single"/>
        </w:rPr>
        <w:t>https://www.jci.org/articles/view/97943</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tabs>
          <w:tab w:val="left" w:pos="900"/>
        </w:tabs>
        <w:ind w:left="5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1777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911</Words>
  <Characters>1184</Characters>
  <TotalTime>0</TotalTime>
  <ScaleCrop>false</ScaleCrop>
  <LinksUpToDate>false</LinksUpToDate>
  <CharactersWithSpaces>1214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2026-01-18T06:43:00Z</dcterms:created>
  <dc:creator>html-to-docx</dc:creator>
  <cp:keywords>html-to-docx</cp:keywords>
  <cp:lastModifiedBy>dyx</cp:lastModifiedBy>
  <dcterms:modified xsi:type="dcterms:W3CDTF">2026-01-18T06:44:28Z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BDBD883341C140CE87B599C6370E8F42_12</vt:lpwstr>
  </property>
</Properties>
</file>