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6E3BD">
      <w:pPr>
        <w:spacing w:before="210" w:after="0" w:line="360" w:lineRule="auto"/>
      </w:pPr>
      <w:bookmarkStart w:id="35" w:name="_GoBack"/>
      <w:bookmarkEnd w:id="35"/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56C7262">
      <w:pPr>
        <w:spacing w:before="157" w:after="157" w:line="270" w:lineRule="auto"/>
        <w:jc w:val="left"/>
      </w:pPr>
      <w:bookmarkStart w:id="0" w:name="中性粒细胞在脑缺血全周期的功能演变_细胞互作与临床结局预测"/>
      <w:r>
        <w:rPr>
          <w:rFonts w:ascii="inter" w:hAnsi="inter" w:eastAsia="inter" w:cs="inter"/>
          <w:b/>
          <w:color w:val="000000"/>
          <w:sz w:val="39"/>
        </w:rPr>
        <w:t>中性粒细胞在脑缺血全周期的功能演变、细胞互作与临床结局预测</w:t>
      </w:r>
      <w:bookmarkEnd w:id="0"/>
    </w:p>
    <w:p w14:paraId="1D4DDD54">
      <w:pPr>
        <w:spacing w:before="315" w:after="105" w:line="360" w:lineRule="auto"/>
        <w:ind w:left="-30"/>
        <w:jc w:val="left"/>
      </w:pPr>
      <w:bookmarkStart w:id="1" w:name="核心摘要"/>
      <w:r>
        <w:rPr>
          <w:rFonts w:ascii="inter" w:hAnsi="inter" w:eastAsia="inter" w:cs="inter"/>
          <w:b/>
          <w:color w:val="000000"/>
          <w:sz w:val="24"/>
        </w:rPr>
        <w:t>核心摘要</w:t>
      </w:r>
      <w:bookmarkEnd w:id="1"/>
    </w:p>
    <w:p w14:paraId="0518FF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近三年（2023-2025）的研究彻底改变了中性粒细胞仅作为“急性期破坏者”的传统认知。最新的证据表明，中性粒细胞通过**“微血管停滞（Capillary Stalling）”</w:t>
      </w:r>
      <w:r>
        <w:rPr>
          <w:rFonts w:ascii="inter" w:hAnsi="inter" w:eastAsia="inter" w:cs="inter"/>
          <w:b/>
          <w:color w:val="000000"/>
        </w:rPr>
        <w:t>机制与周细胞共同主导了无复流现象；而在慢性期，其残留的NETs（中性粒细胞胞外诱捕网）通过</w:t>
      </w:r>
      <w:r>
        <w:rPr>
          <w:rFonts w:ascii="inter" w:hAnsi="inter" w:eastAsia="inter" w:cs="inter"/>
          <w:color w:val="000000"/>
        </w:rPr>
        <w:t>cGAS-STING通路</w:t>
      </w:r>
      <w:r>
        <w:rPr>
          <w:rFonts w:ascii="inter" w:hAnsi="inter" w:eastAsia="inter" w:cs="inter"/>
          <w:b/>
          <w:color w:val="000000"/>
        </w:rPr>
        <w:t>成为血管重塑的主要障碍。更重要的是，急性期的中性粒细胞负荷已成为预测</w:t>
      </w:r>
      <w:r>
        <w:rPr>
          <w:rFonts w:ascii="inter" w:hAnsi="inter" w:eastAsia="inter" w:cs="inter"/>
          <w:color w:val="000000"/>
        </w:rPr>
        <w:t>卒中后认知障碍（PSCI）**的关键生物标志物。</w:t>
      </w:r>
    </w:p>
    <w:p w14:paraId="6B9B6185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6EC2E75">
      <w:pPr>
        <w:spacing w:before="315" w:after="105" w:line="360" w:lineRule="auto"/>
        <w:ind w:left="-30"/>
        <w:jc w:val="left"/>
      </w:pPr>
      <w:bookmarkStart w:id="2" w:name="bm_1_急性期与慢性期的功能演变_从物理封锁到信号干扰"/>
      <w:r>
        <w:rPr>
          <w:rFonts w:ascii="inter" w:hAnsi="inter" w:eastAsia="inter" w:cs="inter"/>
          <w:b/>
          <w:color w:val="000000"/>
          <w:sz w:val="24"/>
        </w:rPr>
        <w:t>1. 急性期与慢性期的功能演变：从物理封锁到信号干扰</w:t>
      </w:r>
      <w:bookmarkEnd w:id="2"/>
    </w:p>
    <w:p w14:paraId="50D391C0">
      <w:pPr>
        <w:spacing w:before="315" w:after="105" w:line="360" w:lineRule="auto"/>
        <w:ind w:left="-30"/>
        <w:jc w:val="left"/>
      </w:pPr>
      <w:bookmarkStart w:id="3" w:name="bm_1_1_急性期_0_72小时_微循环封锁与免疫血栓"/>
      <w:r>
        <w:rPr>
          <w:rFonts w:ascii="inter" w:hAnsi="inter" w:eastAsia="inter" w:cs="inter"/>
          <w:b/>
          <w:color w:val="000000"/>
          <w:sz w:val="24"/>
        </w:rPr>
        <w:t>1.1 急性期（0-72小时）：微循环封锁与免疫血栓</w:t>
      </w:r>
      <w:bookmarkEnd w:id="3"/>
    </w:p>
    <w:p w14:paraId="7B1189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在缺血发生的数小时内，中性粒细胞不仅引发炎症，更参与了物理性的微循环封锁。</w:t>
      </w:r>
    </w:p>
    <w:p w14:paraId="250088AC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与周细胞的致死联盟（No-Reflow机制）：</w:t>
      </w:r>
      <w:r>
        <w:rPr>
          <w:rFonts w:ascii="inter" w:hAnsi="inter" w:eastAsia="inter" w:cs="inter"/>
          <w:color w:val="000000"/>
          <w:sz w:val="21"/>
        </w:rPr>
        <w:t xml:space="preserve"> 2024年的研究揭示了一个关键机制——</w:t>
      </w:r>
      <w:r>
        <w:rPr>
          <w:rFonts w:ascii="inter" w:hAnsi="inter" w:eastAsia="inter" w:cs="inter"/>
          <w:b/>
          <w:color w:val="000000"/>
          <w:sz w:val="21"/>
        </w:rPr>
        <w:t>周细胞收缩</w:t>
      </w:r>
      <w:r>
        <w:rPr>
          <w:rFonts w:ascii="inter" w:hAnsi="inter" w:eastAsia="inter" w:cs="inter"/>
          <w:color w:val="000000"/>
          <w:sz w:val="21"/>
        </w:rPr>
        <w:t>。缺血导致毛细血管上的薄股周细胞（Thin-strand pericytes）持续收缩，而僵硬的中性粒细胞恰好卡在这些收缩点上，形成“中性粒细胞-周细胞栓塞”。即使大血管溶栓通过，微循环依然无法恢复灌注（无复流现象）。</w:t>
      </w:r>
      <w:bookmarkStart w:id="4" w:name="fnref1"/>
      <w:bookmarkEnd w:id="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5" w:name="fnref2"/>
      <w:bookmarkEnd w:id="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2D39C59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γδ T细胞的驱动作用：</w:t>
      </w:r>
      <w:r>
        <w:rPr>
          <w:rFonts w:ascii="inter" w:hAnsi="inter" w:eastAsia="inter" w:cs="inter"/>
          <w:color w:val="000000"/>
          <w:sz w:val="21"/>
        </w:rPr>
        <w:t xml:space="preserve"> 最新的研究发现，</w:t>
      </w:r>
      <w:r>
        <w:rPr>
          <w:rFonts w:ascii="inter" w:hAnsi="inter" w:eastAsia="inter" w:cs="inter"/>
          <w:b/>
          <w:color w:val="000000"/>
          <w:sz w:val="21"/>
        </w:rPr>
        <w:t>γδ T细胞</w:t>
      </w:r>
      <w:r>
        <w:rPr>
          <w:rFonts w:ascii="inter" w:hAnsi="inter" w:eastAsia="inter" w:cs="inter"/>
          <w:color w:val="000000"/>
          <w:sz w:val="21"/>
        </w:rPr>
        <w:t>是中性粒细胞爆发性浸润的“幕后推手”。它们在脑膜和实质内迅速分泌IL-17和IL-23，通过“IL-17-中性粒细胞轴”放大炎症级联反应，加重早期脑损伤。</w:t>
      </w:r>
      <w:bookmarkStart w:id="6" w:name="fnref3"/>
      <w:bookmarkEnd w:id="6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E1BDB65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免疫血栓形成：</w:t>
      </w:r>
      <w:r>
        <w:rPr>
          <w:rFonts w:ascii="inter" w:hAnsi="inter" w:eastAsia="inter" w:cs="inter"/>
          <w:color w:val="000000"/>
          <w:sz w:val="21"/>
        </w:rPr>
        <w:t xml:space="preserve"> 中性粒细胞释放的NETs充当支架，捕获血小板并激活凝血因子XII，形成富含DNA的致密血栓。这种血栓对tPA溶栓具有天然抵抗力，是临床溶栓失败的重要原因。</w:t>
      </w:r>
      <w:bookmarkStart w:id="7" w:name="fnref4"/>
      <w:bookmarkEnd w:id="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8" w:name="fnref5"/>
      <w:bookmarkEnd w:id="8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7556AE7">
      <w:pPr>
        <w:spacing w:before="315" w:after="105" w:line="360" w:lineRule="auto"/>
        <w:ind w:left="-30"/>
        <w:jc w:val="left"/>
      </w:pPr>
      <w:bookmarkStart w:id="9" w:name="bm_1_2_慢性期_3天_数周_血管新生的_刹车_与_油门"/>
      <w:r>
        <w:rPr>
          <w:rFonts w:ascii="inter" w:hAnsi="inter" w:eastAsia="inter" w:cs="inter"/>
          <w:b/>
          <w:color w:val="000000"/>
          <w:sz w:val="24"/>
        </w:rPr>
        <w:t>1.2 慢性期（3天-数周）：血管新生的“刹车”与“油门”</w:t>
      </w:r>
      <w:bookmarkEnd w:id="9"/>
    </w:p>
    <w:p w14:paraId="4BEFB370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进入慢性期后，中性粒细胞的作用呈现出显著的矛盾性（双刃剑效应）。</w:t>
      </w:r>
    </w:p>
    <w:p w14:paraId="5E609AED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油门（修复）：</w:t>
      </w:r>
      <w:r>
        <w:rPr>
          <w:rFonts w:ascii="inter" w:hAnsi="inter" w:eastAsia="inter" w:cs="inter"/>
          <w:color w:val="000000"/>
          <w:sz w:val="21"/>
        </w:rPr>
        <w:t xml:space="preserve"> 部分中性粒细胞在微环境诱导下转为</w:t>
      </w:r>
      <w:r>
        <w:rPr>
          <w:rFonts w:ascii="inter" w:hAnsi="inter" w:eastAsia="inter" w:cs="inter"/>
          <w:b/>
          <w:color w:val="000000"/>
          <w:sz w:val="21"/>
        </w:rPr>
        <w:t>N2表型</w:t>
      </w:r>
      <w:r>
        <w:rPr>
          <w:rFonts w:ascii="inter" w:hAnsi="inter" w:eastAsia="inter" w:cs="inter"/>
          <w:color w:val="000000"/>
          <w:sz w:val="21"/>
        </w:rPr>
        <w:t>，分泌抗菌肽（Cathelicidin/LL-37）和VEGF，直接促进内皮细胞增殖和血管新生。</w:t>
      </w:r>
      <w:bookmarkStart w:id="10" w:name="fnref6"/>
      <w:bookmarkEnd w:id="10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667FA7D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刹车（阻滞）：</w:t>
      </w:r>
      <w:r>
        <w:rPr>
          <w:rFonts w:ascii="inter" w:hAnsi="inter" w:eastAsia="inter" w:cs="inter"/>
          <w:color w:val="000000"/>
          <w:sz w:val="21"/>
        </w:rPr>
        <w:t xml:space="preserve"> 然而，最新的机制研究指出，急性期遗留的NETs如果未被清除，其中的DNA片段会被血管内皮细胞摄取，激活胞内的</w:t>
      </w:r>
      <w:r>
        <w:rPr>
          <w:rFonts w:ascii="inter" w:hAnsi="inter" w:eastAsia="inter" w:cs="inter"/>
          <w:b/>
          <w:color w:val="000000"/>
          <w:sz w:val="21"/>
        </w:rPr>
        <w:t>cGAS-STING通路</w:t>
      </w:r>
      <w:r>
        <w:rPr>
          <w:rFonts w:ascii="inter" w:hAnsi="inter" w:eastAsia="inter" w:cs="inter"/>
          <w:color w:val="000000"/>
          <w:sz w:val="21"/>
        </w:rPr>
        <w:t>。该通路诱导I型干扰素（IFN-β）的持续释放，从而</w:t>
      </w:r>
      <w:r>
        <w:rPr>
          <w:rFonts w:ascii="inter" w:hAnsi="inter" w:eastAsia="inter" w:cs="inter"/>
          <w:b/>
          <w:color w:val="000000"/>
          <w:sz w:val="21"/>
        </w:rPr>
        <w:t>抑制</w:t>
      </w:r>
      <w:r>
        <w:rPr>
          <w:rFonts w:ascii="inter" w:hAnsi="inter" w:eastAsia="inter" w:cs="inter"/>
          <w:color w:val="000000"/>
          <w:sz w:val="21"/>
        </w:rPr>
        <w:t>血管芽生和功能性重塑。这是卒中后血脑屏障长期渗漏和恢复不良的关键分子机制。</w:t>
      </w:r>
      <w:bookmarkStart w:id="11" w:name="fnref7"/>
      <w:bookmarkEnd w:id="11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12" w:name="fnref8"/>
      <w:bookmarkEnd w:id="12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803946D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C5B1F72">
      <w:pPr>
        <w:spacing w:before="315" w:after="105" w:line="360" w:lineRule="auto"/>
        <w:ind w:left="-30"/>
        <w:jc w:val="left"/>
      </w:pPr>
      <w:bookmarkStart w:id="13" w:name="bm_2_亚群互作网络与临床结局导向"/>
      <w:r>
        <w:rPr>
          <w:rFonts w:ascii="inter" w:hAnsi="inter" w:eastAsia="inter" w:cs="inter"/>
          <w:b/>
          <w:color w:val="000000"/>
          <w:sz w:val="24"/>
        </w:rPr>
        <w:t>2. 亚群互作网络与临床结局导向</w:t>
      </w:r>
      <w:bookmarkEnd w:id="13"/>
    </w:p>
    <w:p w14:paraId="120B8D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中性粒细胞通过与不同细胞的特定互作，导向截然不同的临床结局。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97"/>
        <w:gridCol w:w="2870"/>
        <w:gridCol w:w="5473"/>
      </w:tblGrid>
      <w:tr w14:paraId="14FB9E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10F2E6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互作细胞对象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A455AA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关键分子/机制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59B459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导向的临床结局</w:t>
            </w:r>
          </w:p>
        </w:tc>
      </w:tr>
      <w:tr w14:paraId="31E334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5785C4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周细胞 (Pericytes)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5605D2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物理卡顿 / ROS</w:t>
            </w:r>
          </w:p>
          <w:p w14:paraId="695EC7F2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中性粒细胞卡在收缩的周细胞处；释放ROS导致周细胞僵死。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18C1A0B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无复流与梗死扩大：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微循环持续灌注不足，导致半暗带（Penumbra）最终转化为坏死核心，临床表现为溶栓后症状无改善</w:t>
            </w:r>
            <w:r>
              <w:fldChar w:fldCharType="begin"/>
            </w:r>
            <w:r>
              <w:instrText xml:space="preserve"> HYPERLINK \l "fn1"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fldChar w:fldCharType="begin"/>
            </w:r>
            <w:r>
              <w:instrText xml:space="preserve"> HYPERLINK \l "fn2"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[2]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rPr>
                <w:rFonts w:ascii="inter" w:hAnsi="inter" w:eastAsia="inter" w:cs="inter"/>
                <w:color w:val="000000"/>
                <w:sz w:val="17"/>
              </w:rPr>
              <w:t>。</w:t>
            </w:r>
          </w:p>
        </w:tc>
      </w:tr>
      <w:tr w14:paraId="7C407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7146E1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小胶质细胞 (Microglia)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5153DB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TRPC1 / STING轴</w:t>
            </w:r>
          </w:p>
          <w:p w14:paraId="1E2382C6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NETs激活小胶质细胞cGAS-STING；小胶质细胞通过TRPC1通道持续招募中性粒细胞。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DB10A13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慢性神经炎症与认知衰退：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形成“炎症恶性循环”，导致海马区神经元丢失。高NLR（中性粒细胞/淋巴细胞比值）不仅预测急性期损伤，还独立预测**卒中后认知障碍（PSCI）**的发生</w:t>
            </w:r>
            <w:r>
              <w:fldChar w:fldCharType="begin"/>
            </w:r>
            <w:r>
              <w:instrText xml:space="preserve"> HYPERLINK \l "fn9"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[9]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fldChar w:fldCharType="begin"/>
            </w:r>
            <w:r>
              <w:instrText xml:space="preserve"> HYPERLINK \l "fn10"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[10]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rPr>
                <w:rFonts w:ascii="inter" w:hAnsi="inter" w:eastAsia="inter" w:cs="inter"/>
                <w:color w:val="000000"/>
                <w:sz w:val="17"/>
              </w:rPr>
              <w:t>。</w:t>
            </w:r>
          </w:p>
        </w:tc>
      </w:tr>
      <w:tr w14:paraId="477B3C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AF76F3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γδ T细胞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DB1DFF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IL-17 / IL-23</w:t>
            </w:r>
          </w:p>
          <w:p w14:paraId="7CFD3B5C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γδ T细胞分泌IL-17趋化中性粒细胞；中性粒细胞反过来活化T细胞。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AB97EF0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爆发性水肿：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这种正反馈回路导致血脑屏障迅速崩溃，引起致死性脑水肿和脑疝风险增加</w:t>
            </w:r>
            <w:r>
              <w:fldChar w:fldCharType="begin"/>
            </w:r>
            <w:r>
              <w:instrText xml:space="preserve"> HYPERLINK \l "fn3"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[3]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rPr>
                <w:rFonts w:ascii="inter" w:hAnsi="inter" w:eastAsia="inter" w:cs="inter"/>
                <w:color w:val="000000"/>
                <w:sz w:val="17"/>
              </w:rPr>
              <w:t>。</w:t>
            </w:r>
          </w:p>
        </w:tc>
      </w:tr>
      <w:tr w14:paraId="7ACA91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6385F3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内皮细胞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FD9485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NETs / MMP-9</w:t>
            </w:r>
          </w:p>
          <w:p w14:paraId="0B41E1CE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color w:val="000000"/>
                <w:sz w:val="17"/>
              </w:rPr>
              <w:t>MMP-9降解基膜；NETs毒性直接损伤内皮。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80037AD">
            <w:pPr>
              <w:spacing w:after="0" w:line="360" w:lineRule="auto"/>
              <w:jc w:val="left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出血转化（sICH）：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血管结构完整性被破坏，极大增加了血管再通治疗后的出血风险</w:t>
            </w:r>
            <w:r>
              <w:fldChar w:fldCharType="begin"/>
            </w:r>
            <w:r>
              <w:instrText xml:space="preserve"> HYPERLINK \l "fn11"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[11]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fldChar w:fldCharType="begin"/>
            </w:r>
            <w:r>
              <w:instrText xml:space="preserve"> HYPERLINK \l "fn12"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[12]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  <w:r>
              <w:rPr>
                <w:rFonts w:ascii="inter" w:hAnsi="inter" w:eastAsia="inter" w:cs="inter"/>
                <w:color w:val="000000"/>
                <w:sz w:val="17"/>
              </w:rPr>
              <w:t>。</w:t>
            </w:r>
          </w:p>
        </w:tc>
      </w:tr>
    </w:tbl>
    <w:p w14:paraId="0329C342"/>
    <w:p w14:paraId="5972B2E5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AB1E608">
      <w:pPr>
        <w:spacing w:before="315" w:after="105" w:line="360" w:lineRule="auto"/>
        <w:ind w:left="-30"/>
        <w:jc w:val="left"/>
      </w:pPr>
      <w:bookmarkStart w:id="14" w:name="bm_3_未来需要开展的工作与研究方向"/>
      <w:r>
        <w:rPr>
          <w:rFonts w:ascii="inter" w:hAnsi="inter" w:eastAsia="inter" w:cs="inter"/>
          <w:b/>
          <w:color w:val="000000"/>
          <w:sz w:val="24"/>
        </w:rPr>
        <w:t>3. 未来需要开展的工作与研究方向</w:t>
      </w:r>
      <w:bookmarkEnd w:id="14"/>
    </w:p>
    <w:p w14:paraId="7DBF0C0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基于2024-2025年的发现，未来的转化研究应聚焦于**“时空特异性干预”</w:t>
      </w:r>
      <w:r>
        <w:rPr>
          <w:rFonts w:ascii="inter" w:hAnsi="inter" w:eastAsia="inter" w:cs="inter"/>
          <w:b/>
          <w:color w:val="000000"/>
        </w:rPr>
        <w:t>和</w:t>
      </w:r>
      <w:r>
        <w:rPr>
          <w:rFonts w:ascii="inter" w:hAnsi="inter" w:eastAsia="inter" w:cs="inter"/>
          <w:color w:val="000000"/>
        </w:rPr>
        <w:t>“新型递药系统”**。</w:t>
      </w:r>
    </w:p>
    <w:p w14:paraId="27A3D62E">
      <w:pPr>
        <w:spacing w:before="315" w:after="105" w:line="360" w:lineRule="auto"/>
        <w:ind w:left="-30"/>
        <w:jc w:val="left"/>
      </w:pPr>
      <w:bookmarkStart w:id="15" w:name="bm_3_1_靶向_周细胞_中性粒细胞_互作的疏通疗法"/>
      <w:r>
        <w:rPr>
          <w:rFonts w:ascii="inter" w:hAnsi="inter" w:eastAsia="inter" w:cs="inter"/>
          <w:b/>
          <w:color w:val="000000"/>
          <w:sz w:val="24"/>
        </w:rPr>
        <w:t>3.1 靶向“周细胞-中性粒细胞”互作的疏通疗法</w:t>
      </w:r>
      <w:bookmarkEnd w:id="15"/>
    </w:p>
    <w:p w14:paraId="462B1B59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现状：</w:t>
      </w:r>
      <w:r>
        <w:rPr>
          <w:rFonts w:ascii="inter" w:hAnsi="inter" w:eastAsia="inter" w:cs="inter"/>
          <w:color w:val="000000"/>
          <w:sz w:val="21"/>
        </w:rPr>
        <w:t xml:space="preserve"> 目前的溶栓只关注大血管。</w:t>
      </w:r>
    </w:p>
    <w:p w14:paraId="2E159F60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未来方向：</w:t>
      </w:r>
      <w:r>
        <w:rPr>
          <w:rFonts w:ascii="inter" w:hAnsi="inter" w:eastAsia="inter" w:cs="inter"/>
          <w:color w:val="000000"/>
          <w:sz w:val="21"/>
        </w:rPr>
        <w:t xml:space="preserve"> 开发能够</w:t>
      </w:r>
      <w:r>
        <w:rPr>
          <w:rFonts w:ascii="inter" w:hAnsi="inter" w:eastAsia="inter" w:cs="inter"/>
          <w:b/>
          <w:color w:val="000000"/>
          <w:sz w:val="21"/>
        </w:rPr>
        <w:t>松弛周细胞</w:t>
      </w:r>
      <w:r>
        <w:rPr>
          <w:rFonts w:ascii="inter" w:hAnsi="inter" w:eastAsia="inter" w:cs="inter"/>
          <w:color w:val="000000"/>
          <w:sz w:val="21"/>
        </w:rPr>
        <w:t>（如腺苷受体激动剂或ROCK抑制剂）与</w:t>
      </w:r>
      <w:r>
        <w:rPr>
          <w:rFonts w:ascii="inter" w:hAnsi="inter" w:eastAsia="inter" w:cs="inter"/>
          <w:b/>
          <w:color w:val="000000"/>
          <w:sz w:val="21"/>
        </w:rPr>
        <w:t>解聚NETs</w:t>
      </w:r>
      <w:r>
        <w:rPr>
          <w:rFonts w:ascii="inter" w:hAnsi="inter" w:eastAsia="inter" w:cs="inter"/>
          <w:color w:val="000000"/>
          <w:sz w:val="21"/>
        </w:rPr>
        <w:t>（DNase）的联合疗法。旨在物理上解除微血管的“卡顿”，真正解决无复流问题，挽救半暗带组织。</w:t>
      </w:r>
    </w:p>
    <w:p w14:paraId="66A5F5E0">
      <w:pPr>
        <w:spacing w:before="315" w:after="105" w:line="360" w:lineRule="auto"/>
        <w:ind w:left="-30"/>
        <w:jc w:val="left"/>
      </w:pPr>
      <w:bookmarkStart w:id="16" w:name="bm_3_2_阻断cgas_sting通路的促血管再生策略"/>
      <w:r>
        <w:rPr>
          <w:rFonts w:ascii="inter" w:hAnsi="inter" w:eastAsia="inter" w:cs="inter"/>
          <w:b/>
          <w:color w:val="000000"/>
          <w:sz w:val="24"/>
        </w:rPr>
        <w:t>3.2 阻断cGAS-STING通路的促血管再生策略</w:t>
      </w:r>
      <w:bookmarkEnd w:id="16"/>
    </w:p>
    <w:p w14:paraId="30A6788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现状：</w:t>
      </w:r>
      <w:r>
        <w:rPr>
          <w:rFonts w:ascii="inter" w:hAnsi="inter" w:eastAsia="inter" w:cs="inter"/>
          <w:color w:val="000000"/>
          <w:sz w:val="21"/>
        </w:rPr>
        <w:t xml:space="preserve"> 慢性期血管新生受阻是功能恢复的瓶颈。</w:t>
      </w:r>
    </w:p>
    <w:p w14:paraId="61C73EB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未来方向：</w:t>
      </w:r>
      <w:r>
        <w:rPr>
          <w:rFonts w:ascii="inter" w:hAnsi="inter" w:eastAsia="inter" w:cs="inter"/>
          <w:color w:val="000000"/>
          <w:sz w:val="21"/>
        </w:rPr>
        <w:t xml:space="preserve"> 研发小分子</w:t>
      </w:r>
      <w:r>
        <w:rPr>
          <w:rFonts w:ascii="inter" w:hAnsi="inter" w:eastAsia="inter" w:cs="inter"/>
          <w:b/>
          <w:color w:val="000000"/>
          <w:sz w:val="21"/>
        </w:rPr>
        <w:t>STING抑制剂</w:t>
      </w:r>
      <w:r>
        <w:rPr>
          <w:rFonts w:ascii="inter" w:hAnsi="inter" w:eastAsia="inter" w:cs="inter"/>
          <w:color w:val="000000"/>
          <w:sz w:val="21"/>
        </w:rPr>
        <w:t>或能够降解胞外DNA的纳米酶，在亚急性期（卒中后3-7天）给药。这将解除IFN-β对血管新生的抑制，促进功能性血管网的重建，改善长期神经功能。</w:t>
      </w:r>
    </w:p>
    <w:p w14:paraId="69ECDE5D">
      <w:pPr>
        <w:spacing w:before="315" w:after="105" w:line="360" w:lineRule="auto"/>
        <w:ind w:left="-30"/>
        <w:jc w:val="left"/>
      </w:pPr>
      <w:bookmarkStart w:id="17" w:name="bm_3_3_中性粒细胞作为_特洛伊木马_递药系统"/>
      <w:r>
        <w:rPr>
          <w:rFonts w:ascii="inter" w:hAnsi="inter" w:eastAsia="inter" w:cs="inter"/>
          <w:b/>
          <w:color w:val="000000"/>
          <w:sz w:val="24"/>
        </w:rPr>
        <w:t>3.3 中性粒细胞作为“特洛伊木马”递药系统</w:t>
      </w:r>
      <w:bookmarkEnd w:id="17"/>
    </w:p>
    <w:p w14:paraId="740D43E5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现状：</w:t>
      </w:r>
      <w:r>
        <w:rPr>
          <w:rFonts w:ascii="inter" w:hAnsi="inter" w:eastAsia="inter" w:cs="inter"/>
          <w:color w:val="000000"/>
          <w:sz w:val="21"/>
        </w:rPr>
        <w:t xml:space="preserve"> 脑部递药困难，但中性粒细胞具有天然的病灶趋向性。</w:t>
      </w:r>
    </w:p>
    <w:p w14:paraId="6CC6698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未来方向：</w:t>
      </w:r>
      <w:r>
        <w:rPr>
          <w:rFonts w:ascii="inter" w:hAnsi="inter" w:eastAsia="inter" w:cs="inter"/>
          <w:color w:val="000000"/>
          <w:sz w:val="21"/>
        </w:rPr>
        <w:t xml:space="preserve"> 利用中性粒细胞的归巢特性，将其作为载体（Neutrophil-mediated drug delivery）。在体外负载神经保护剂或抗炎药后回输，使其主动穿过血脑屏障，精确抵达缺血核心区释放药物，即“以毒攻毒”的策略。</w:t>
      </w:r>
      <w:bookmarkStart w:id="18" w:name="fnref5_1"/>
      <w:bookmarkEnd w:id="18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9F37C74">
      <w:pPr>
        <w:spacing w:before="315" w:after="105" w:line="360" w:lineRule="auto"/>
        <w:ind w:left="-30"/>
        <w:jc w:val="left"/>
      </w:pPr>
      <w:bookmarkStart w:id="19" w:name="bm_3_4_认知障碍的早期预警与干预"/>
      <w:r>
        <w:rPr>
          <w:rFonts w:ascii="inter" w:hAnsi="inter" w:eastAsia="inter" w:cs="inter"/>
          <w:b/>
          <w:color w:val="000000"/>
          <w:sz w:val="24"/>
        </w:rPr>
        <w:t>3.4 认知障碍的早期预警与干预</w:t>
      </w:r>
      <w:bookmarkEnd w:id="19"/>
    </w:p>
    <w:p w14:paraId="03B54399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现状：</w:t>
      </w:r>
      <w:r>
        <w:rPr>
          <w:rFonts w:ascii="inter" w:hAnsi="inter" w:eastAsia="inter" w:cs="inter"/>
          <w:color w:val="000000"/>
          <w:sz w:val="21"/>
        </w:rPr>
        <w:t xml:space="preserve"> 卒中后痴呆（PSD）缺乏早期预测指标。</w:t>
      </w:r>
    </w:p>
    <w:p w14:paraId="5594B37F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未来方向：</w:t>
      </w:r>
      <w:r>
        <w:rPr>
          <w:rFonts w:ascii="inter" w:hAnsi="inter" w:eastAsia="inter" w:cs="inter"/>
          <w:color w:val="000000"/>
          <w:sz w:val="21"/>
        </w:rPr>
        <w:t xml:space="preserve"> 开展临床试验，验证急性期</w:t>
      </w:r>
      <w:r>
        <w:rPr>
          <w:rFonts w:ascii="inter" w:hAnsi="inter" w:eastAsia="inter" w:cs="inter"/>
          <w:b/>
          <w:color w:val="000000"/>
          <w:sz w:val="21"/>
        </w:rPr>
        <w:t>外周血NLR动态变化</w:t>
      </w:r>
      <w:r>
        <w:rPr>
          <w:rFonts w:ascii="inter" w:hAnsi="inter" w:eastAsia="inter" w:cs="inter"/>
          <w:color w:val="000000"/>
          <w:sz w:val="21"/>
        </w:rPr>
        <w:t>对6个月后认知功能的预测价值。并探索是否通过早期抗中性粒细胞治疗（如CXCR2拮抗剂）能阻断慢性神经炎症，从而预防卒中后痴呆的发生。</w:t>
      </w:r>
      <w:bookmarkStart w:id="20" w:name="fnref9_1"/>
      <w:bookmarkEnd w:id="20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95EAD0D">
      <w:pPr>
        <w:spacing w:before="315" w:after="105" w:line="360" w:lineRule="auto"/>
        <w:ind w:left="-30"/>
        <w:jc w:val="left"/>
      </w:pPr>
      <w:bookmarkStart w:id="21" w:name="结论"/>
      <w:r>
        <w:rPr>
          <w:rFonts w:ascii="inter" w:hAnsi="inter" w:eastAsia="inter" w:cs="inter"/>
          <w:b/>
          <w:color w:val="000000"/>
          <w:sz w:val="24"/>
        </w:rPr>
        <w:t>结论</w:t>
      </w:r>
      <w:bookmarkEnd w:id="21"/>
    </w:p>
    <w:p w14:paraId="55D35D93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性粒细胞在脑缺血中的角色远比过去认为的复杂。它不仅是急性损伤的执行者（通过与周细胞互作导致无复流），也是慢性修复的调控者（通过NETs-STING通路影响血管新生）。未来的治疗必须超越单纯的“抗炎”，转向</w:t>
      </w:r>
      <w:r>
        <w:rPr>
          <w:rFonts w:ascii="inter" w:hAnsi="inter" w:eastAsia="inter" w:cs="inter"/>
          <w:b/>
          <w:color w:val="000000"/>
        </w:rPr>
        <w:t>解除微循环物理封锁</w:t>
      </w:r>
      <w:r>
        <w:rPr>
          <w:rFonts w:ascii="inter" w:hAnsi="inter" w:eastAsia="inter" w:cs="inter"/>
          <w:color w:val="000000"/>
        </w:rPr>
        <w:t>和</w:t>
      </w:r>
      <w:r>
        <w:rPr>
          <w:rFonts w:ascii="inter" w:hAnsi="inter" w:eastAsia="inter" w:cs="inter"/>
          <w:b/>
          <w:color w:val="000000"/>
        </w:rPr>
        <w:t>重塑慢性期免疫微环境</w:t>
      </w:r>
      <w:r>
        <w:rPr>
          <w:rFonts w:ascii="inter" w:hAnsi="inter" w:eastAsia="inter" w:cs="inter"/>
          <w:color w:val="000000"/>
        </w:rPr>
        <w:t>，以实现从挽救生命到改善长期生活质量的跨越。</w:t>
      </w:r>
      <w:r>
        <w:rPr>
          <w:rFonts w:ascii="inter" w:hAnsi="inter" w:eastAsia="inter" w:cs="inter"/>
          <w:color w:val="000000"/>
        </w:rPr>
        <w:br w:type="textWrapping"/>
      </w:r>
    </w:p>
    <w:p w14:paraId="6D85908A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4444E44D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5C619DC">
      <w:pPr>
        <w:numPr>
          <w:ilvl w:val="0"/>
          <w:numId w:val="7"/>
        </w:numPr>
        <w:spacing w:after="210" w:line="360" w:lineRule="auto"/>
      </w:pPr>
      <w:bookmarkStart w:id="22" w:name="fn1"/>
      <w:bookmarkEnd w:id="22"/>
      <w:r>
        <w:fldChar w:fldCharType="begin"/>
      </w:r>
      <w:r>
        <w:instrText xml:space="preserve"> HYPERLINK "https://academic.oup.com/brain/article/147/3/1057/7503140"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https://academic.oup.com/brain/article/147/3/1057/7503140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429E7BFC">
      <w:pPr>
        <w:numPr>
          <w:ilvl w:val="0"/>
          <w:numId w:val="7"/>
        </w:numPr>
        <w:spacing w:after="210" w:line="360" w:lineRule="auto"/>
      </w:pPr>
      <w:bookmarkStart w:id="23" w:name="fn2"/>
      <w:bookmarkEnd w:id="23"/>
      <w:r>
        <w:fldChar w:fldCharType="begin"/>
      </w:r>
      <w:r>
        <w:instrText xml:space="preserve"> HYPERLINK "https://pmc.ncbi.nlm.nih.gov/articles/PMC12191441/"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https://pmc.ncbi.nlm.nih.gov/articles/PMC12191441/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4A00E0EC">
      <w:pPr>
        <w:numPr>
          <w:ilvl w:val="0"/>
          <w:numId w:val="7"/>
        </w:numPr>
        <w:spacing w:after="210" w:line="360" w:lineRule="auto"/>
      </w:pPr>
      <w:bookmarkStart w:id="24" w:name="fn3"/>
      <w:bookmarkEnd w:id="24"/>
      <w:r>
        <w:fldChar w:fldCharType="begin"/>
      </w:r>
      <w:r>
        <w:instrText xml:space="preserve"> HYPERLINK "https://www.frontiersin.org/journals/immunology/articles/10.3389/fimmu.2025.1583274/full"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https://www.frontiersin.org/journals/immunology/articles/10.3389/fimmu.2025.1583274/full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423A614">
      <w:pPr>
        <w:numPr>
          <w:ilvl w:val="0"/>
          <w:numId w:val="7"/>
        </w:numPr>
        <w:spacing w:after="210" w:line="360" w:lineRule="auto"/>
      </w:pPr>
      <w:bookmarkStart w:id="25" w:name="fn4"/>
      <w:bookmarkEnd w:id="25"/>
      <w:r>
        <w:fldChar w:fldCharType="begin"/>
      </w:r>
      <w:r>
        <w:instrText xml:space="preserve"> HYPERLINK "https://pmc.ncbi.nlm.nih.gov/articles/PMC10241149/"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https://pmc.ncbi.nlm.nih.gov/articles/PMC10241149/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893D08A">
      <w:pPr>
        <w:numPr>
          <w:ilvl w:val="0"/>
          <w:numId w:val="7"/>
        </w:numPr>
        <w:spacing w:after="210" w:line="360" w:lineRule="auto"/>
      </w:pPr>
      <w:bookmarkStart w:id="26" w:name="fn5"/>
      <w:bookmarkEnd w:id="26"/>
      <w:r>
        <w:fldChar w:fldCharType="begin"/>
      </w:r>
      <w:r>
        <w:instrText xml:space="preserve"> HYPERLINK "https://pmc.ncbi.nlm.nih.gov/articles/PMC11901051/"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https://pmc.ncbi.nlm.nih.gov/articles/PMC11901051/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827D561">
      <w:pPr>
        <w:numPr>
          <w:ilvl w:val="0"/>
          <w:numId w:val="7"/>
        </w:numPr>
        <w:spacing w:after="210" w:line="360" w:lineRule="auto"/>
      </w:pPr>
      <w:bookmarkStart w:id="27" w:name="fn6"/>
      <w:bookmarkEnd w:id="27"/>
      <w:r>
        <w:fldChar w:fldCharType="begin"/>
      </w:r>
      <w:r>
        <w:instrText xml:space="preserve"> HYPERLINK "https://pmc.ncbi.nlm.nih.gov/articles/PMC10414012/"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https://pmc.ncbi.nlm.nih.gov/articles/PMC10414012/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C4D784A">
      <w:pPr>
        <w:numPr>
          <w:ilvl w:val="0"/>
          <w:numId w:val="7"/>
        </w:numPr>
        <w:spacing w:after="210" w:line="360" w:lineRule="auto"/>
      </w:pPr>
      <w:bookmarkStart w:id="28" w:name="fn7"/>
      <w:bookmarkEnd w:id="28"/>
      <w:r>
        <w:fldChar w:fldCharType="begin"/>
      </w:r>
      <w:r>
        <w:instrText xml:space="preserve"> HYPERLINK "https://www.nature.com/articles/s41467-020-16191-y"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https://www.nature.com/articles/s41467-020-16191-y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06B722">
      <w:pPr>
        <w:numPr>
          <w:ilvl w:val="0"/>
          <w:numId w:val="7"/>
        </w:numPr>
        <w:spacing w:after="210" w:line="360" w:lineRule="auto"/>
      </w:pPr>
      <w:bookmarkStart w:id="29" w:name="fn8"/>
      <w:bookmarkEnd w:id="29"/>
      <w:r>
        <w:fldChar w:fldCharType="begin"/>
      </w:r>
      <w:r>
        <w:instrText xml:space="preserve"> HYPERLINK "https://pmc.ncbi.nlm.nih.gov/articles/PMC12021921/"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https://pmc.ncbi.nlm.nih.gov/articles/PMC12021921/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1BC80B1">
      <w:pPr>
        <w:numPr>
          <w:ilvl w:val="0"/>
          <w:numId w:val="7"/>
        </w:numPr>
        <w:spacing w:after="210" w:line="360" w:lineRule="auto"/>
      </w:pPr>
      <w:bookmarkStart w:id="30" w:name="fn9"/>
      <w:bookmarkEnd w:id="30"/>
      <w:r>
        <w:fldChar w:fldCharType="begin"/>
      </w:r>
      <w:r>
        <w:instrText xml:space="preserve"> HYPERLINK "https://www.nature.com/articles/s41598-024-67172-w"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https://www.nature.com/articles/s41598-024-67172-w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5D43A7D">
      <w:pPr>
        <w:numPr>
          <w:ilvl w:val="0"/>
          <w:numId w:val="7"/>
        </w:numPr>
        <w:spacing w:after="210" w:line="360" w:lineRule="auto"/>
      </w:pPr>
      <w:bookmarkStart w:id="31" w:name="fn10"/>
      <w:bookmarkEnd w:id="31"/>
      <w:r>
        <w:fldChar w:fldCharType="begin"/>
      </w:r>
      <w:r>
        <w:instrText xml:space="preserve"> HYPERLINK "https://pubmed.ncbi.nlm.nih.gov/38325758/"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https://pubmed.ncbi.nlm.nih.gov/38325758/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FAAEE1">
      <w:pPr>
        <w:numPr>
          <w:ilvl w:val="0"/>
          <w:numId w:val="7"/>
        </w:numPr>
        <w:spacing w:after="210" w:line="360" w:lineRule="auto"/>
      </w:pPr>
      <w:bookmarkStart w:id="32" w:name="fn11"/>
      <w:bookmarkEnd w:id="32"/>
      <w:r>
        <w:fldChar w:fldCharType="begin"/>
      </w:r>
      <w:r>
        <w:instrText xml:space="preserve"> HYPERLINK "https://www.nature.com/articles/s41598-021-85373-5"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https://www.nature.com/articles/s41598-021-85373-5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4456989">
      <w:pPr>
        <w:numPr>
          <w:ilvl w:val="0"/>
          <w:numId w:val="7"/>
        </w:numPr>
        <w:spacing w:after="210" w:line="360" w:lineRule="auto"/>
      </w:pPr>
      <w:bookmarkStart w:id="33" w:name="fn12"/>
      <w:bookmarkEnd w:id="33"/>
      <w:r>
        <w:fldChar w:fldCharType="begin"/>
      </w:r>
      <w:r>
        <w:instrText xml:space="preserve"> HYPERLINK "https://www.neurology.org/doi/10.1212/NXI.0000000000000571"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https://www.neurology.org/doi/10.1212/NXI.0000000000000571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30FE94B">
      <w:pPr>
        <w:numPr>
          <w:ilvl w:val="0"/>
          <w:numId w:val="7"/>
        </w:numPr>
        <w:spacing w:after="210" w:line="360" w:lineRule="auto"/>
      </w:pPr>
      <w:bookmarkStart w:id="34" w:name="fn13"/>
      <w:bookmarkEnd w:id="34"/>
      <w:r>
        <w:fldChar w:fldCharType="begin"/>
      </w:r>
      <w:r>
        <w:instrText xml:space="preserve"> HYPERLINK "https://www.ahajournals.org/doi/10.1161/JAHA.123.029527"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https://www.ahajournals.org/doi/10.1161/JAHA.123.029527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8BF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2035</Words>
  <Characters>3107</Characters>
  <TotalTime>0</TotalTime>
  <ScaleCrop>false</ScaleCrop>
  <LinksUpToDate>false</LinksUpToDate>
  <CharactersWithSpaces>3170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2025-12-17T15:54:00Z</dcterms:created>
  <dc:creator>html-to-docx</dc:creator>
  <cp:keywords>html-to-docx</cp:keywords>
  <cp:lastModifiedBy>dyx</cp:lastModifiedBy>
  <dcterms:modified xsi:type="dcterms:W3CDTF">2026-01-04T17:20:09Z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019A3A01EFF94A2E86D84D4C0DF8AF7C_12</vt:lpwstr>
  </property>
</Properties>
</file>