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8"/>
        <w:spacing w:before="46" w:line="221" w:lineRule="auto"/>
        <w:rPr/>
      </w:pPr>
      <w:r>
        <w:rPr>
          <w:b/>
          <w:bCs/>
          <w:spacing w:val="8"/>
        </w:rPr>
        <w:t>全球南方合作如何推动文明交流互鉴</w:t>
      </w:r>
    </w:p>
    <w:p>
      <w:pPr>
        <w:pStyle w:val="BodyText"/>
        <w:ind w:left="115" w:right="1399"/>
        <w:spacing w:before="168" w:line="381" w:lineRule="auto"/>
        <w:rPr/>
      </w:pPr>
      <w:r>
        <w:rPr>
          <w:spacing w:val="9"/>
        </w:rPr>
        <w:t>——基于非西方现代化理论、后殖民主义理论、东方学批判理论与全球史</w:t>
      </w:r>
      <w:r>
        <w:rPr>
          <w:spacing w:val="8"/>
        </w:rPr>
        <w:t>视角的分析</w:t>
      </w:r>
      <w:r>
        <w:rPr/>
        <w:t xml:space="preserve"> </w:t>
      </w:r>
      <w:r>
        <w:rPr>
          <w:spacing w:val="19"/>
        </w:rPr>
        <w:t>摘要</w:t>
      </w:r>
    </w:p>
    <w:p>
      <w:pPr>
        <w:pStyle w:val="BodyText"/>
        <w:ind w:left="115" w:right="138"/>
        <w:spacing w:before="2" w:line="328" w:lineRule="auto"/>
        <w:rPr/>
      </w:pPr>
      <w:r>
        <w:rPr>
          <w:spacing w:val="9"/>
        </w:rPr>
        <w:t>全球南方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Global</w:t>
      </w:r>
      <w:r>
        <w:rPr>
          <w:rFonts w:ascii="SimSun" w:hAnsi="SimSun" w:eastAsia="SimSun" w:cs="SimSun"/>
          <w:spacing w:val="9"/>
        </w:rPr>
        <w:t xml:space="preserve">  </w:t>
      </w:r>
      <w:r>
        <w:rPr>
          <w:rFonts w:ascii="SimSun" w:hAnsi="SimSun" w:eastAsia="SimSun" w:cs="SimSun"/>
        </w:rPr>
        <w:t>South</w:t>
      </w:r>
      <w:r>
        <w:rPr>
          <w:rFonts w:ascii="SimSun" w:hAnsi="SimSun" w:eastAsia="SimSun" w:cs="SimSun"/>
          <w:spacing w:val="9"/>
        </w:rPr>
        <w:t>)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9"/>
        </w:rPr>
        <w:t>作为新兴市场国家与发展中国家群体的集合体，其群体性崛起已成为</w:t>
      </w:r>
      <w:r>
        <w:rPr/>
        <w:t xml:space="preserve"> </w:t>
      </w:r>
      <w:r>
        <w:rPr>
          <w:spacing w:val="5"/>
        </w:rPr>
        <w:t>21世纪国际格局中最具标志性的结构性变化。在</w:t>
      </w:r>
      <w:r>
        <w:rPr>
          <w:spacing w:val="4"/>
        </w:rPr>
        <w:t>这一进程中，“文明交流互鉴”不再是抽象的文化</w:t>
      </w:r>
      <w:r>
        <w:rPr/>
        <w:t xml:space="preserve"> </w:t>
      </w:r>
      <w:r>
        <w:rPr>
          <w:spacing w:val="10"/>
        </w:rPr>
        <w:t>命题，而是嵌入全球南方合作实践的具体机制。本文从四个理论维度展开分析：非西方现代化理</w:t>
      </w:r>
      <w:r>
        <w:rPr>
          <w:spacing w:val="7"/>
        </w:rPr>
        <w:t xml:space="preserve"> </w:t>
      </w:r>
      <w:r>
        <w:rPr>
          <w:spacing w:val="10"/>
        </w:rPr>
        <w:t>论揭示多元现代化路径的可能性与合法性；后殖民主义理论剖析权力不对等关系下主体性重构的</w:t>
      </w:r>
      <w:r>
        <w:rPr>
          <w:spacing w:val="18"/>
        </w:rPr>
        <w:t xml:space="preserve"> </w:t>
      </w:r>
      <w:r>
        <w:rPr>
          <w:spacing w:val="10"/>
        </w:rPr>
        <w:t>潜力；东方学批判理论暴露西方知识生产对非西方文明的系统性扭曲，并探讨南方合作如何打破</w:t>
      </w:r>
      <w:r>
        <w:rPr>
          <w:spacing w:val="7"/>
        </w:rPr>
        <w:t xml:space="preserve"> </w:t>
      </w:r>
      <w:r>
        <w:rPr>
          <w:spacing w:val="10"/>
        </w:rPr>
        <w:t>刻板印象；全球史视角则将南方合作置于长时段历史脉络中，揭示其作为去中心化力量的深层意</w:t>
      </w:r>
      <w:r>
        <w:rPr>
          <w:spacing w:val="8"/>
        </w:rPr>
        <w:t xml:space="preserve"> </w:t>
      </w:r>
      <w:r>
        <w:rPr>
          <w:spacing w:val="10"/>
        </w:rPr>
        <w:t>义。通过理论整合，本文论证全球南方合作并非简单的发展援助或地缘联合，而是通过</w:t>
      </w:r>
      <w:r>
        <w:rPr>
          <w:spacing w:val="9"/>
        </w:rPr>
        <w:t>平等对</w:t>
      </w:r>
    </w:p>
    <w:p>
      <w:pPr>
        <w:pStyle w:val="BodyText"/>
        <w:ind w:left="115"/>
        <w:spacing w:before="7" w:line="213" w:lineRule="auto"/>
        <w:rPr/>
      </w:pPr>
      <w:r>
        <w:rPr>
          <w:spacing w:val="10"/>
        </w:rPr>
        <w:t>话、经验互鉴与叙事重构，推动人类文明从单</w:t>
      </w:r>
      <w:r>
        <w:rPr>
          <w:spacing w:val="9"/>
        </w:rPr>
        <w:t>向传播向多向互构转型的当代路径。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18"/>
        <w:spacing w:before="74" w:line="213" w:lineRule="auto"/>
        <w:rPr/>
      </w:pPr>
      <w:r>
        <w:rPr>
          <w:b/>
          <w:bCs/>
          <w:spacing w:val="10"/>
        </w:rPr>
        <w:t>关键词：</w:t>
      </w:r>
      <w:r>
        <w:rPr>
          <w:spacing w:val="10"/>
        </w:rPr>
        <w:t>全球南方；文明交流互鉴；非西方现代化；后殖民主义；东方学</w:t>
      </w:r>
      <w:r>
        <w:rPr>
          <w:spacing w:val="9"/>
        </w:rPr>
        <w:t>批判；全球史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一、引言：概念界定与研究意义</w:t>
      </w:r>
    </w:p>
    <w:p>
      <w:pPr>
        <w:pStyle w:val="BodyText"/>
        <w:ind w:left="118"/>
        <w:spacing w:before="220" w:line="221" w:lineRule="auto"/>
        <w:outlineLvl w:val="4"/>
        <w:rPr/>
      </w:pPr>
      <w:r>
        <w:rPr>
          <w:rFonts w:ascii="SimSun" w:hAnsi="SimSun" w:eastAsia="SimSun" w:cs="SimSun"/>
          <w:b/>
          <w:bCs/>
          <w:spacing w:val="7"/>
        </w:rPr>
        <w:t>1.</w:t>
      </w:r>
      <w:r>
        <w:rPr>
          <w:b/>
          <w:bCs/>
          <w:spacing w:val="7"/>
        </w:rPr>
        <w:t>核心概念界定</w:t>
      </w:r>
    </w:p>
    <w:p>
      <w:pPr>
        <w:pStyle w:val="BodyText"/>
        <w:ind w:left="115" w:right="49" w:hanging="115"/>
        <w:spacing w:before="257" w:line="333" w:lineRule="auto"/>
        <w:jc w:val="both"/>
        <w:rPr/>
      </w:pPr>
      <w:r>
        <w:rPr>
          <w:spacing w:val="5"/>
        </w:rPr>
        <w:t>“全球南方”一词源于20世纪中叶“第三世界”概念的演变，指主要位于南半球(以及部分北半球边</w:t>
      </w:r>
      <w:r>
        <w:rPr>
          <w:spacing w:val="11"/>
        </w:rPr>
        <w:t xml:space="preserve"> </w:t>
      </w:r>
      <w:r>
        <w:rPr>
          <w:spacing w:val="12"/>
        </w:rPr>
        <w:t>缘地带)的亚非拉新兴市场国家与发展中国家。这些国家共享殖民/半殖民历史、发展中地位、资</w:t>
      </w:r>
      <w:r>
        <w:rPr>
          <w:spacing w:val="12"/>
        </w:rPr>
        <w:t xml:space="preserve"> </w:t>
      </w:r>
      <w:r>
        <w:rPr>
          <w:spacing w:val="10"/>
        </w:rPr>
        <w:t>源禀赋相对劣势以及对公正国际秩序的共同诉求，但内部在政治制度、文化传统、经济发展水平</w:t>
      </w:r>
      <w:r>
        <w:rPr>
          <w:spacing w:val="6"/>
        </w:rPr>
        <w:t xml:space="preserve">  </w:t>
      </w:r>
      <w:r>
        <w:rPr>
          <w:spacing w:val="3"/>
        </w:rPr>
        <w:t>上高度异质化。</w:t>
      </w:r>
    </w:p>
    <w:p>
      <w:pPr>
        <w:pStyle w:val="BodyText"/>
        <w:spacing w:before="152" w:line="213" w:lineRule="auto"/>
        <w:rPr/>
      </w:pPr>
      <w:r>
        <w:rPr>
          <w:spacing w:val="7"/>
        </w:rPr>
        <w:t>“文明交流互鉴”是中国在全球文明倡议框架下提出的核心理念，强调文明之间没有高下优劣之</w:t>
      </w:r>
    </w:p>
    <w:p>
      <w:pPr>
        <w:pStyle w:val="BodyText"/>
        <w:ind w:left="115"/>
        <w:spacing w:before="144" w:line="335" w:lineRule="auto"/>
        <w:rPr/>
      </w:pPr>
      <w:r>
        <w:rPr>
          <w:spacing w:val="7"/>
        </w:rPr>
        <w:t>分，只有特色地域之别；文明因多样而交流，因交流而互鉴，因互鉴而发展。该表述超越了“文明</w:t>
      </w:r>
      <w:r>
        <w:rPr>
          <w:spacing w:val="10"/>
        </w:rPr>
        <w:t xml:space="preserve"> </w:t>
      </w:r>
      <w:r>
        <w:rPr>
          <w:spacing w:val="4"/>
        </w:rPr>
        <w:t>对话”</w:t>
      </w:r>
      <w:r>
        <w:rPr>
          <w:rFonts w:ascii="SimSun" w:hAnsi="SimSun" w:eastAsia="SimSun" w:cs="SimSun"/>
        </w:rPr>
        <w:t>dialogue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64"/>
        </w:rPr>
        <w:t xml:space="preserve"> </w:t>
      </w:r>
      <w:r>
        <w:rPr>
          <w:spacing w:val="4"/>
        </w:rPr>
        <w:t>中可能隐含的二元对立，突出“互鉴”</w:t>
      </w:r>
      <w:r>
        <w:rPr>
          <w:rFonts w:ascii="SimSun" w:hAnsi="SimSun" w:eastAsia="SimSun" w:cs="SimSun"/>
        </w:rPr>
        <w:t>mutual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rFonts w:ascii="SimSun" w:hAnsi="SimSun" w:eastAsia="SimSun" w:cs="SimSun"/>
        </w:rPr>
        <w:t>learning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4"/>
        </w:rPr>
        <w:t>的双向性、平等性与生</w:t>
      </w:r>
      <w:r>
        <w:rPr/>
        <w:t xml:space="preserve"> </w:t>
      </w:r>
      <w:r>
        <w:rPr>
          <w:spacing w:val="1"/>
        </w:rPr>
        <w:t>成性。</w:t>
      </w:r>
    </w:p>
    <w:p>
      <w:pPr>
        <w:pStyle w:val="BodyText"/>
        <w:ind w:left="115" w:right="129"/>
        <w:spacing w:before="107" w:line="344" w:lineRule="auto"/>
        <w:jc w:val="both"/>
        <w:rPr/>
      </w:pPr>
      <w:r>
        <w:rPr>
          <w:spacing w:val="5"/>
        </w:rPr>
        <w:t>二者关联在于：全球南方合作提供了制度化、实践化的平台</w:t>
      </w:r>
      <w:r>
        <w:rPr>
          <w:spacing w:val="4"/>
        </w:rPr>
        <w:t>，使“文明交流互鉴”从理念宣示转化</w:t>
      </w:r>
      <w:r>
        <w:rPr/>
        <w:t xml:space="preserve"> </w:t>
      </w:r>
      <w:r>
        <w:rPr>
          <w:spacing w:val="5"/>
        </w:rPr>
        <w:t>为具体行动。南方国家通过金砖机制、“一带一路”、南南合作论坛、中非合作论坛、77国集</w:t>
      </w:r>
      <w:r>
        <w:rPr>
          <w:spacing w:val="4"/>
        </w:rPr>
        <w:t>团等</w:t>
      </w:r>
      <w:r>
        <w:rPr/>
        <w:t xml:space="preserve"> </w:t>
      </w:r>
      <w:r>
        <w:rPr>
          <w:spacing w:val="10"/>
        </w:rPr>
        <w:t>渠道，不仅开展经济技术合作，更在治国理政经验、发展道路、文化价值、知识生产等领域实现</w:t>
      </w:r>
      <w:r>
        <w:rPr>
          <w:spacing w:val="7"/>
        </w:rPr>
        <w:t xml:space="preserve"> </w:t>
      </w:r>
      <w:r>
        <w:rPr>
          <w:spacing w:val="8"/>
        </w:rPr>
        <w:t>深度互学，从而在全球文明格局中重塑非西方主体性。</w:t>
      </w:r>
    </w:p>
    <w:p>
      <w:pPr>
        <w:pStyle w:val="BodyText"/>
        <w:ind w:left="118"/>
        <w:spacing w:before="114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8"/>
        </w:rPr>
        <w:t>2.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b/>
          <w:bCs/>
          <w:spacing w:val="8"/>
        </w:rPr>
        <w:t>研究意义</w:t>
      </w:r>
    </w:p>
    <w:p>
      <w:pPr>
        <w:spacing w:line="222" w:lineRule="auto"/>
        <w:sectPr>
          <w:pgSz w:w="12240" w:h="15840"/>
          <w:pgMar w:top="1147" w:right="1031" w:bottom="0" w:left="855" w:header="0" w:footer="0" w:gutter="0"/>
        </w:sectPr>
        <w:rPr/>
      </w:pPr>
    </w:p>
    <w:p>
      <w:pPr>
        <w:pStyle w:val="BodyText"/>
        <w:ind w:right="168"/>
        <w:spacing w:before="46" w:line="342" w:lineRule="auto"/>
        <w:jc w:val="both"/>
        <w:rPr/>
      </w:pPr>
      <w:r>
        <w:rPr>
          <w:spacing w:val="-1"/>
        </w:rPr>
        <w:t>在“文明冲突论”“文明优越论”仍有市场的当下，全球南方合作推动的文明互</w:t>
      </w:r>
      <w:r>
        <w:rPr>
          <w:spacing w:val="-2"/>
        </w:rPr>
        <w:t>鉴不仅是文化议题，</w:t>
      </w:r>
      <w:r>
        <w:rPr/>
        <w:t xml:space="preserve"> </w:t>
      </w:r>
      <w:r>
        <w:rPr>
          <w:spacing w:val="10"/>
        </w:rPr>
        <w:t>更是重构国际知识一权力格局的战略实践。本文尝试通过四个互补</w:t>
      </w:r>
      <w:r>
        <w:rPr>
          <w:spacing w:val="9"/>
        </w:rPr>
        <w:t>的理论维度，提供对这一过程</w:t>
      </w:r>
      <w:r>
        <w:rPr/>
        <w:t xml:space="preserve"> </w:t>
      </w:r>
      <w:r>
        <w:rPr>
          <w:spacing w:val="4"/>
        </w:rPr>
        <w:t>的系统性解释。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二、非西方现代化理论维度：多元路径的合法性</w:t>
      </w:r>
      <w:r>
        <w:rPr>
          <w:sz w:val="30"/>
          <w:szCs w:val="30"/>
          <w:b/>
          <w:bCs/>
          <w:spacing w:val="-5"/>
        </w:rPr>
        <w:t>与经验共享</w:t>
      </w:r>
    </w:p>
    <w:p>
      <w:pPr>
        <w:pStyle w:val="BodyText"/>
        <w:ind w:right="48"/>
        <w:spacing w:before="179" w:line="343" w:lineRule="auto"/>
        <w:tabs>
          <w:tab w:val="left" w:pos="148"/>
        </w:tabs>
        <w:rPr/>
      </w:pPr>
      <w:r>
        <w:rPr>
          <w:spacing w:val="1"/>
        </w:rPr>
        <w:t>非西方现代化理论(或称“多元现代性”理论)以艾森斯塔特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(S.N.</w:t>
      </w:r>
      <w:r>
        <w:rPr>
          <w:rFonts w:ascii="Times New Roman" w:hAnsi="Times New Roman" w:eastAsia="Times New Roman" w:cs="Times New Roman"/>
        </w:rPr>
        <w:t>Eisenstadt</w:t>
      </w:r>
      <w:r>
        <w:rPr>
          <w:rFonts w:ascii="Times New Roman" w:hAnsi="Times New Roman" w:eastAsia="Times New Roman" w:cs="Times New Roman"/>
          <w:spacing w:val="1"/>
        </w:rPr>
        <w:t>)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SimSun" w:hAnsi="SimSun" w:eastAsia="SimSun" w:cs="SimSun"/>
          <w:spacing w:val="32"/>
        </w:rPr>
        <w:t xml:space="preserve">   </w:t>
      </w:r>
      <w:r>
        <w:rPr>
          <w:spacing w:val="1"/>
        </w:rPr>
        <w:t>兰德尔</w:t>
      </w:r>
      <w:r>
        <w:rPr>
          <w:spacing w:val="-20"/>
        </w:rPr>
        <w:t xml:space="preserve"> </w:t>
      </w:r>
      <w:r>
        <w:rPr>
          <w:spacing w:val="1"/>
        </w:rPr>
        <w:t>·柯林斯</w:t>
      </w:r>
      <w:r>
        <w:rPr/>
        <w:t xml:space="preserve">  </w:t>
      </w:r>
      <w:r>
        <w:rPr>
          <w:rFonts w:ascii="SimSun" w:hAnsi="SimSun" w:eastAsia="SimSun" w:cs="SimSun"/>
        </w:rPr>
        <w:tab/>
      </w:r>
      <w:r>
        <w:rPr>
          <w:rFonts w:ascii="SimSun" w:hAnsi="SimSun" w:eastAsia="SimSun" w:cs="SimSun"/>
          <w:spacing w:val="-2"/>
        </w:rPr>
        <w:t>(Randall Collins)、</w:t>
      </w:r>
      <w:r>
        <w:rPr>
          <w:spacing w:val="-2"/>
        </w:rPr>
        <w:t>比约恩</w:t>
      </w:r>
      <w:r>
        <w:rPr>
          <w:spacing w:val="-21"/>
        </w:rPr>
        <w:t xml:space="preserve"> </w:t>
      </w:r>
      <w:r>
        <w:rPr>
          <w:spacing w:val="-2"/>
        </w:rPr>
        <w:t>·维特罗克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(Björn</w:t>
      </w:r>
      <w:r>
        <w:rPr>
          <w:rFonts w:ascii="SimSun" w:hAnsi="SimSun" w:eastAsia="SimSun" w:cs="SimSun"/>
          <w:spacing w:val="112"/>
        </w:rPr>
        <w:t xml:space="preserve"> </w:t>
      </w:r>
      <w:r>
        <w:rPr>
          <w:rFonts w:ascii="SimSun" w:hAnsi="SimSun" w:eastAsia="SimSun" w:cs="SimSun"/>
          <w:spacing w:val="-2"/>
        </w:rPr>
        <w:t>Wittrock)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2"/>
        </w:rPr>
        <w:t>等人为代表，批</w:t>
      </w:r>
      <w:r>
        <w:rPr>
          <w:spacing w:val="-3"/>
        </w:rPr>
        <w:t>判帕森斯式现代化理论</w:t>
      </w:r>
      <w:r>
        <w:rPr/>
        <w:t xml:space="preserve"> </w:t>
      </w:r>
      <w:r>
        <w:rPr>
          <w:spacing w:val="9"/>
        </w:rPr>
        <w:t>的单线进化论与西方中心主义，主张现代化并非西方模式的普世复制，而是在不同文明一文化基</w:t>
      </w:r>
      <w:r>
        <w:rPr>
          <w:spacing w:val="5"/>
        </w:rPr>
        <w:t xml:space="preserve">  </w:t>
      </w:r>
      <w:r>
        <w:rPr>
          <w:spacing w:val="8"/>
        </w:rPr>
        <w:t>底上发生的多元历史过程。</w:t>
      </w:r>
    </w:p>
    <w:p>
      <w:pPr>
        <w:pStyle w:val="BodyText"/>
        <w:spacing w:before="130" w:line="218" w:lineRule="auto"/>
        <w:rPr/>
      </w:pPr>
      <w:r>
        <w:rPr>
          <w:spacing w:val="8"/>
        </w:rPr>
        <w:t>全球南方合作正是这一理论的当代实践形态：</w:t>
      </w:r>
    </w:p>
    <w:p>
      <w:pPr>
        <w:pStyle w:val="BodyText"/>
        <w:ind w:left="508" w:right="113" w:hanging="129"/>
        <w:spacing w:before="280" w:line="305" w:lineRule="auto"/>
        <w:rPr/>
      </w:pPr>
      <w:r>
        <w:rPr>
          <w:spacing w:val="6"/>
        </w:rPr>
        <w:t>·</w:t>
      </w:r>
      <w:r>
        <w:rPr>
          <w:spacing w:val="-98"/>
        </w:rPr>
        <w:t xml:space="preserve"> </w:t>
      </w:r>
      <w:r>
        <w:rPr>
          <w:spacing w:val="6"/>
        </w:rPr>
        <w:t>批判西方中心论：西方现代化以工业革命一资</w:t>
      </w:r>
      <w:r>
        <w:rPr>
          <w:spacing w:val="5"/>
        </w:rPr>
        <w:t>本主义一自由民主为唯一合法序列，将非西方</w:t>
      </w:r>
      <w:r>
        <w:rPr/>
        <w:t xml:space="preserve"> </w:t>
      </w:r>
      <w:r>
        <w:rPr>
          <w:spacing w:val="-3"/>
        </w:rPr>
        <w:t>国家现代化定义为“赶超”或“西化”。全球南方通过中国式现代化、印度式发展、巴西一南非</w:t>
      </w:r>
      <w:r>
        <w:rPr>
          <w:spacing w:val="11"/>
        </w:rPr>
        <w:t xml:space="preserve"> </w:t>
      </w:r>
      <w:r>
        <w:rPr>
          <w:spacing w:val="10"/>
        </w:rPr>
        <w:t>等新兴模式，证明现代化可以走和平发展道路、可以嵌入本土价值体系、可以优先解决发展</w:t>
      </w:r>
      <w:r>
        <w:rPr>
          <w:spacing w:val="12"/>
        </w:rPr>
        <w:t xml:space="preserve"> </w:t>
      </w:r>
      <w:r>
        <w:rPr>
          <w:spacing w:val="5"/>
        </w:rPr>
        <w:t>不平衡问题。</w:t>
      </w:r>
    </w:p>
    <w:p>
      <w:pPr>
        <w:pStyle w:val="BodyText"/>
        <w:ind w:left="508" w:hanging="129"/>
        <w:spacing w:before="283" w:line="302" w:lineRule="auto"/>
        <w:rPr/>
      </w:pPr>
      <w:r>
        <w:rPr>
          <w:spacing w:val="1"/>
        </w:rPr>
        <w:t>·</w:t>
      </w:r>
      <w:r>
        <w:rPr>
          <w:spacing w:val="-78"/>
        </w:rPr>
        <w:t xml:space="preserve"> </w:t>
      </w:r>
      <w:r>
        <w:rPr>
          <w:spacing w:val="1"/>
        </w:rPr>
        <w:t>经验互鉴机制：南方国家不再被动接受“华盛顿共识”,而是通过金砖国家新开发银行、“一带</w:t>
      </w:r>
      <w:r>
        <w:rPr/>
        <w:t xml:space="preserve"> </w:t>
      </w:r>
      <w:r>
        <w:rPr>
          <w:spacing w:val="4"/>
        </w:rPr>
        <w:t>一路”项目、全球发展倡议等平台，分享基础设施建设、脱贫攻坚、数字经济治理等“南方经</w:t>
      </w:r>
      <w:r>
        <w:rPr>
          <w:spacing w:val="7"/>
        </w:rPr>
        <w:t xml:space="preserve">  </w:t>
      </w:r>
      <w:r>
        <w:rPr>
          <w:spacing w:val="5"/>
        </w:rPr>
        <w:t>验”。例如，中国与非洲国家在高铁、5</w:t>
      </w:r>
      <w:r>
        <w:rPr>
          <w:rFonts w:ascii="Arial" w:hAnsi="Arial" w:eastAsia="Arial" w:cs="Arial"/>
          <w:spacing w:val="5"/>
        </w:rPr>
        <w:t>G</w:t>
      </w:r>
      <w:r>
        <w:rPr>
          <w:rFonts w:ascii="SimSun" w:hAnsi="SimSun" w:eastAsia="SimSun" w:cs="SimSun"/>
          <w:spacing w:val="5"/>
        </w:rPr>
        <w:t>、</w:t>
      </w:r>
      <w:r>
        <w:rPr>
          <w:spacing w:val="5"/>
        </w:rPr>
        <w:t>绿色能</w:t>
      </w:r>
      <w:r>
        <w:rPr>
          <w:spacing w:val="4"/>
        </w:rPr>
        <w:t>源领域的合作，不仅转移技术，更传递“发</w:t>
      </w:r>
      <w:r>
        <w:rPr/>
        <w:t xml:space="preserve"> </w:t>
      </w:r>
      <w:r>
        <w:rPr>
          <w:spacing w:val="-1"/>
        </w:rPr>
        <w:t>展优先、自主选择”的现代化理念。</w:t>
      </w:r>
    </w:p>
    <w:p>
      <w:pPr>
        <w:pStyle w:val="BodyText"/>
        <w:ind w:left="508" w:right="203" w:hanging="129"/>
        <w:spacing w:before="263" w:line="291" w:lineRule="auto"/>
        <w:rPr/>
      </w:pPr>
      <w:r>
        <w:rPr>
          <w:spacing w:val="3"/>
        </w:rPr>
        <w:t>·意义：这种基于自身经验的南南互鉴，打破了“</w:t>
      </w:r>
      <w:r>
        <w:rPr>
          <w:spacing w:val="2"/>
        </w:rPr>
        <w:t>现代化=西方化”的知识霸权，为全球南方国</w:t>
      </w:r>
      <w:r>
        <w:rPr/>
        <w:t xml:space="preserve"> </w:t>
      </w:r>
      <w:r>
        <w:rPr>
          <w:spacing w:val="5"/>
        </w:rPr>
        <w:t>家提供了“可行替代方案”,从而赋予不同文明</w:t>
      </w:r>
      <w:r>
        <w:rPr>
          <w:spacing w:val="4"/>
        </w:rPr>
        <w:t>以平等的现代性叙事权。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三、后殖民主义理论维度：权力解构与主体性再造</w:t>
      </w:r>
    </w:p>
    <w:p>
      <w:pPr>
        <w:pStyle w:val="BodyText"/>
        <w:ind w:right="40"/>
        <w:spacing w:before="216" w:line="349" w:lineRule="auto"/>
        <w:jc w:val="both"/>
        <w:rPr/>
      </w:pPr>
      <w:r>
        <w:rPr>
          <w:spacing w:val="-2"/>
        </w:rPr>
        <w:t>后殖民理论以萨义德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(Edward   Said)、</w:t>
      </w:r>
      <w:r>
        <w:rPr>
          <w:spacing w:val="-2"/>
        </w:rPr>
        <w:t>斯皮瓦克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(Gayatri</w:t>
      </w:r>
      <w:r>
        <w:rPr>
          <w:rFonts w:ascii="SimSun" w:hAnsi="SimSun" w:eastAsia="SimSun" w:cs="SimSun"/>
          <w:spacing w:val="112"/>
        </w:rPr>
        <w:t xml:space="preserve"> </w:t>
      </w:r>
      <w:r>
        <w:rPr>
          <w:rFonts w:ascii="SimSun" w:hAnsi="SimSun" w:eastAsia="SimSun" w:cs="SimSun"/>
          <w:spacing w:val="-2"/>
        </w:rPr>
        <w:t>Spivak)、</w:t>
      </w:r>
      <w:r>
        <w:rPr>
          <w:spacing w:val="-2"/>
        </w:rPr>
        <w:t>巴巴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(Homi</w:t>
      </w:r>
      <w:r>
        <w:rPr>
          <w:rFonts w:ascii="SimSun" w:hAnsi="SimSun" w:eastAsia="SimSun" w:cs="SimSun"/>
          <w:spacing w:val="35"/>
        </w:rPr>
        <w:t xml:space="preserve">   </w:t>
      </w:r>
      <w:r>
        <w:rPr>
          <w:rFonts w:ascii="SimSun" w:hAnsi="SimSun" w:eastAsia="SimSun" w:cs="SimSun"/>
          <w:spacing w:val="-2"/>
        </w:rPr>
        <w:t>Bhabha)、</w:t>
      </w:r>
      <w:r>
        <w:rPr>
          <w:spacing w:val="-2"/>
        </w:rPr>
        <w:t>范</w:t>
      </w:r>
      <w:r>
        <w:rPr>
          <w:spacing w:val="1"/>
        </w:rPr>
        <w:t xml:space="preserve">  </w:t>
      </w:r>
      <w:r>
        <w:rPr>
          <w:spacing w:val="5"/>
        </w:rPr>
        <w:t>农</w:t>
      </w:r>
      <w:r>
        <w:rPr>
          <w:spacing w:val="34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</w:rPr>
        <w:t>Frantz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</w:rPr>
        <w:t>Fanon</w:t>
      </w:r>
      <w:r>
        <w:rPr>
          <w:rFonts w:ascii="SimSun" w:hAnsi="SimSun" w:eastAsia="SimSun" w:cs="SimSun"/>
          <w:spacing w:val="5"/>
        </w:rPr>
        <w:t>)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5"/>
        </w:rPr>
        <w:t>等为代表，揭示殖民主义不仅掠夺物质资源，更通过话语一知识生</w:t>
      </w:r>
      <w:r>
        <w:rPr>
          <w:spacing w:val="4"/>
        </w:rPr>
        <w:t>产制造“东</w:t>
      </w:r>
      <w:r>
        <w:rPr/>
        <w:t xml:space="preserve"> </w:t>
      </w:r>
      <w:r>
        <w:rPr>
          <w:spacing w:val="3"/>
        </w:rPr>
        <w:t>方/南方”的劣等形象，并内化于被殖民者</w:t>
      </w:r>
      <w:r>
        <w:rPr>
          <w:spacing w:val="2"/>
        </w:rPr>
        <w:t>的主体意识。</w:t>
      </w:r>
    </w:p>
    <w:p>
      <w:pPr>
        <w:pStyle w:val="BodyText"/>
        <w:spacing w:before="100" w:line="221" w:lineRule="auto"/>
        <w:rPr/>
      </w:pPr>
      <w:r>
        <w:rPr>
          <w:spacing w:val="9"/>
        </w:rPr>
        <w:t>全球南方合作在这一维度上展现出明确的去殖民化努力：</w:t>
      </w:r>
    </w:p>
    <w:p>
      <w:pPr>
        <w:spacing w:line="221" w:lineRule="auto"/>
        <w:sectPr>
          <w:pgSz w:w="12240" w:h="15840"/>
          <w:pgMar w:top="1250" w:right="1023" w:bottom="0" w:left="980" w:header="0" w:footer="0" w:gutter="0"/>
        </w:sectPr>
        <w:rPr/>
      </w:pPr>
    </w:p>
    <w:p>
      <w:pPr>
        <w:pStyle w:val="BodyText"/>
        <w:ind w:left="614" w:right="35" w:hanging="116"/>
        <w:spacing w:before="47" w:line="268" w:lineRule="auto"/>
        <w:rPr/>
      </w:pPr>
      <w:r>
        <w:rPr>
          <w:b/>
          <w:bCs/>
          <w:spacing w:val="-6"/>
        </w:rPr>
        <w:t>·</w:t>
      </w:r>
      <w:r>
        <w:rPr>
          <w:spacing w:val="-96"/>
        </w:rPr>
        <w:t xml:space="preserve"> </w:t>
      </w:r>
      <w:r>
        <w:rPr>
          <w:b/>
          <w:bCs/>
          <w:spacing w:val="-6"/>
        </w:rPr>
        <w:t>挑战文明等级秩序：</w:t>
      </w:r>
      <w:r>
        <w:rPr>
          <w:spacing w:val="-60"/>
        </w:rPr>
        <w:t xml:space="preserve"> </w:t>
      </w:r>
      <w:r>
        <w:rPr>
          <w:spacing w:val="-6"/>
        </w:rPr>
        <w:t>西方长期将自身文明</w:t>
      </w:r>
      <w:r>
        <w:rPr>
          <w:spacing w:val="-7"/>
        </w:rPr>
        <w:t>定位为“普遍性”,将南方文明贬为“特殊性”或“传统</w:t>
      </w:r>
      <w:r>
        <w:rPr/>
        <w:t xml:space="preserve"> </w:t>
      </w:r>
      <w:r>
        <w:rPr>
          <w:spacing w:val="1"/>
        </w:rPr>
        <w:t>性”。全球南方通过“全球文明倡议”、亚洲文明对话大会、中非文明对话等机制，</w:t>
      </w:r>
      <w:r>
        <w:rPr/>
        <w:t>明确主张</w:t>
      </w:r>
    </w:p>
    <w:p>
      <w:pPr>
        <w:pStyle w:val="BodyText"/>
        <w:ind w:left="500"/>
        <w:spacing w:before="144" w:line="213" w:lineRule="auto"/>
        <w:rPr/>
      </w:pPr>
      <w:r>
        <w:rPr>
          <w:spacing w:val="8"/>
        </w:rPr>
        <w:t>“文明没有高下优劣，只有特色地域之别”,从根本上拒绝文明等级叙事。</w:t>
      </w:r>
    </w:p>
    <w:p>
      <w:pPr>
        <w:pStyle w:val="BodyText"/>
        <w:ind w:left="499" w:right="52" w:hanging="1"/>
        <w:spacing w:before="235" w:line="322" w:lineRule="auto"/>
        <w:rPr/>
      </w:pPr>
      <w:r>
        <w:rPr>
          <w:b/>
          <w:bCs/>
          <w:spacing w:val="-1"/>
        </w:rPr>
        <w:t>·</w:t>
      </w:r>
      <w:r>
        <w:rPr>
          <w:spacing w:val="-90"/>
        </w:rPr>
        <w:t xml:space="preserve"> </w:t>
      </w:r>
      <w:r>
        <w:rPr>
          <w:b/>
          <w:bCs/>
          <w:spacing w:val="-1"/>
        </w:rPr>
        <w:t>文化混杂性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(hybridity)    </w:t>
      </w:r>
      <w:r>
        <w:rPr>
          <w:b/>
          <w:bCs/>
          <w:spacing w:val="-1"/>
        </w:rPr>
        <w:t>的</w:t>
      </w:r>
      <w:r>
        <w:rPr>
          <w:spacing w:val="-67"/>
        </w:rPr>
        <w:t xml:space="preserve"> </w:t>
      </w:r>
      <w:r>
        <w:rPr>
          <w:spacing w:val="-1"/>
        </w:rPr>
        <w:t>生产性运用：巴巴的“混杂</w:t>
      </w:r>
      <w:r>
        <w:rPr>
          <w:spacing w:val="-2"/>
        </w:rPr>
        <w:t>性”概念强调殖民遭遇产生的新文化形</w:t>
      </w:r>
      <w:r>
        <w:rPr/>
        <w:t xml:space="preserve"> </w:t>
      </w:r>
      <w:r>
        <w:rPr>
          <w:spacing w:val="13"/>
        </w:rPr>
        <w:t>式并非单纯模仿或抵抗，而是创造性生成。南方合作中的中拉、中非、中阿合作，既保留各</w:t>
      </w:r>
      <w:r>
        <w:rPr>
          <w:spacing w:val="16"/>
        </w:rPr>
        <w:t xml:space="preserve"> </w:t>
      </w:r>
      <w:r>
        <w:rPr>
          <w:spacing w:val="20"/>
        </w:rPr>
        <w:t>自文明内核，又产生大量混合形态(如中式基建+非洲社区治理+拉美生态理念),形成</w:t>
      </w:r>
      <w:r>
        <w:rPr>
          <w:spacing w:val="19"/>
        </w:rPr>
        <w:t>新的</w:t>
      </w:r>
      <w:r>
        <w:rPr/>
        <w:t xml:space="preserve">  </w:t>
      </w:r>
      <w:r>
        <w:rPr>
          <w:spacing w:val="-8"/>
        </w:rPr>
        <w:t>“南方现代性”表达。</w:t>
      </w:r>
    </w:p>
    <w:p>
      <w:pPr>
        <w:pStyle w:val="BodyText"/>
        <w:ind w:left="614" w:right="32" w:hanging="116"/>
        <w:spacing w:before="242" w:line="299" w:lineRule="auto"/>
        <w:rPr/>
      </w:pPr>
      <w:r>
        <w:rPr>
          <w:b/>
          <w:bCs/>
          <w:spacing w:val="3"/>
        </w:rPr>
        <w:t>·</w:t>
      </w:r>
      <w:r>
        <w:rPr>
          <w:spacing w:val="-88"/>
        </w:rPr>
        <w:t xml:space="preserve"> </w:t>
      </w:r>
      <w:r>
        <w:rPr>
          <w:b/>
          <w:bCs/>
          <w:spacing w:val="3"/>
        </w:rPr>
        <w:t>主体性建构：</w:t>
      </w:r>
      <w:r>
        <w:rPr>
          <w:spacing w:val="3"/>
        </w:rPr>
        <w:t>斯皮瓦克所问“底层能否发声?”在南方合作</w:t>
      </w:r>
      <w:r>
        <w:rPr>
          <w:spacing w:val="2"/>
        </w:rPr>
        <w:t>中得到部分回应——通过金砖+、上</w:t>
      </w:r>
      <w:r>
        <w:rPr/>
        <w:t xml:space="preserve"> </w:t>
      </w:r>
      <w:r>
        <w:rPr>
          <w:spacing w:val="4"/>
        </w:rPr>
        <w:t>合组织扩员、“全球南方”智库联盟等平台，南方国家集体获得更强国际话语权，逐步从被表</w:t>
      </w:r>
      <w:r>
        <w:rPr>
          <w:spacing w:val="1"/>
        </w:rPr>
        <w:t xml:space="preserve">  </w:t>
      </w:r>
      <w:r>
        <w:rPr>
          <w:spacing w:val="8"/>
        </w:rPr>
        <w:t>述对象转变为自我表述主体。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四、东方学批判理论维度：打破刻板印象与知识</w:t>
      </w:r>
      <w:r>
        <w:rPr>
          <w:sz w:val="30"/>
          <w:szCs w:val="30"/>
          <w:b/>
          <w:bCs/>
          <w:spacing w:val="-4"/>
        </w:rPr>
        <w:t>再生产</w:t>
      </w:r>
    </w:p>
    <w:p>
      <w:pPr>
        <w:pStyle w:val="BodyText"/>
        <w:ind w:right="113" w:firstLine="115"/>
        <w:spacing w:before="253" w:line="326" w:lineRule="auto"/>
        <w:rPr/>
      </w:pPr>
      <w:r>
        <w:rPr>
          <w:spacing w:val="13"/>
        </w:rPr>
        <w:t>萨义德《东方学》揭示西方通过二元对立(理性/感性、进步/停滞、男性/女性)的话语体系，将</w:t>
      </w:r>
      <w:r>
        <w:rPr>
          <w:spacing w:val="2"/>
        </w:rPr>
        <w:t xml:space="preserve"> </w:t>
      </w:r>
      <w:r>
        <w:rPr>
          <w:spacing w:val="4"/>
        </w:rPr>
        <w:t>“东方”建构为需要被拯救、被启蒙的对象，从而为殖民统治提供合法性。</w:t>
      </w:r>
    </w:p>
    <w:p>
      <w:pPr>
        <w:pStyle w:val="BodyText"/>
        <w:ind w:left="115"/>
        <w:spacing w:before="137" w:line="221" w:lineRule="auto"/>
        <w:rPr/>
      </w:pPr>
      <w:r>
        <w:rPr>
          <w:spacing w:val="9"/>
        </w:rPr>
        <w:t>全球南方合作对东方学逻辑构成直接挑战：</w:t>
      </w:r>
    </w:p>
    <w:p>
      <w:pPr>
        <w:pStyle w:val="BodyText"/>
        <w:ind w:left="614" w:hanging="120"/>
        <w:spacing w:before="277" w:line="290" w:lineRule="auto"/>
        <w:rPr/>
      </w:pPr>
      <w:r>
        <w:rPr>
          <w:spacing w:val="5"/>
        </w:rPr>
        <w:t>·</w:t>
      </w:r>
      <w:r>
        <w:rPr>
          <w:spacing w:val="-95"/>
        </w:rPr>
        <w:t xml:space="preserve"> </w:t>
      </w:r>
      <w:r>
        <w:rPr>
          <w:spacing w:val="5"/>
        </w:rPr>
        <w:t>解构西方知识生产垄断：</w:t>
      </w:r>
      <w:r>
        <w:rPr>
          <w:spacing w:val="-38"/>
        </w:rPr>
        <w:t xml:space="preserve"> </w:t>
      </w:r>
      <w:r>
        <w:rPr>
          <w:spacing w:val="5"/>
        </w:rPr>
        <w:t>传统东方学/发展研究由西方大学、智库、国际组织主导，南方往往</w:t>
      </w:r>
      <w:r>
        <w:rPr/>
        <w:t xml:space="preserve"> </w:t>
      </w:r>
      <w:r>
        <w:rPr>
          <w:spacing w:val="1"/>
        </w:rPr>
        <w:t>处于被研究地位。当前，南方国家通过建立“全球南方智库合作联盟”、推动联合国“文</w:t>
      </w:r>
      <w:r>
        <w:rPr/>
        <w:t>明对话</w:t>
      </w:r>
      <w:r>
        <w:rPr/>
        <w:t xml:space="preserve"> </w:t>
      </w:r>
      <w:r>
        <w:rPr>
          <w:spacing w:val="1"/>
        </w:rPr>
        <w:t>国际日”等，逐步掌握部分知识生产主动权。</w:t>
      </w:r>
    </w:p>
    <w:p>
      <w:pPr>
        <w:pStyle w:val="BodyText"/>
        <w:ind w:left="499" w:right="109" w:hanging="5"/>
        <w:spacing w:before="275" w:line="310" w:lineRule="auto"/>
        <w:rPr/>
      </w:pPr>
      <w:r>
        <w:rPr>
          <w:spacing w:val="10"/>
        </w:rPr>
        <w:t>·</w:t>
      </w:r>
      <w:r>
        <w:rPr>
          <w:spacing w:val="-95"/>
        </w:rPr>
        <w:t xml:space="preserve"> </w:t>
      </w:r>
      <w:r>
        <w:rPr>
          <w:spacing w:val="10"/>
        </w:rPr>
        <w:t>促进真实认知：通过人文交流(孔子学院、孔子课堂在南方的扩展；中非联合考</w:t>
      </w:r>
      <w:r>
        <w:rPr>
          <w:spacing w:val="9"/>
        </w:rPr>
        <w:t>古；中拉文</w:t>
      </w:r>
      <w:r>
        <w:rPr/>
        <w:t xml:space="preserve"> </w:t>
      </w:r>
      <w:r>
        <w:rPr>
          <w:spacing w:val="16"/>
        </w:rPr>
        <w:t>明互鉴论坛),南方国家之间直接对话，减少经由西方中介的扭曲表述。例如，中国与阿拉</w:t>
      </w:r>
      <w:r>
        <w:rPr>
          <w:spacing w:val="5"/>
        </w:rPr>
        <w:t xml:space="preserve">  </w:t>
      </w:r>
      <w:r>
        <w:rPr>
          <w:spacing w:val="13"/>
        </w:rPr>
        <w:t>伯国家通过中阿文明对话研讨会，共同讨论伊斯兰文明与中国伊斯兰的交融历史，打破西方</w:t>
      </w:r>
      <w:r>
        <w:rPr>
          <w:spacing w:val="18"/>
        </w:rPr>
        <w:t xml:space="preserve"> </w:t>
      </w:r>
      <w:r>
        <w:rPr/>
        <w:t>“伊斯兰=极端”的刻板印象。</w:t>
      </w:r>
    </w:p>
    <w:p>
      <w:pPr>
        <w:pStyle w:val="BodyText"/>
        <w:ind w:left="614" w:right="355" w:hanging="120"/>
        <w:spacing w:before="285" w:line="267" w:lineRule="auto"/>
        <w:rPr/>
      </w:pPr>
      <w:r>
        <w:rPr>
          <w:spacing w:val="10"/>
        </w:rPr>
        <w:t>·</w:t>
      </w:r>
      <w:r>
        <w:rPr>
          <w:spacing w:val="-90"/>
        </w:rPr>
        <w:t xml:space="preserve"> </w:t>
      </w:r>
      <w:r>
        <w:rPr>
          <w:spacing w:val="10"/>
        </w:rPr>
        <w:t>局限与张力：南方内部也存在权力不对等(如中国与其他南</w:t>
      </w:r>
      <w:r>
        <w:rPr>
          <w:spacing w:val="9"/>
        </w:rPr>
        <w:t>方国家在合作中的相对优势地</w:t>
      </w:r>
      <w:r>
        <w:rPr/>
        <w:t xml:space="preserve"> </w:t>
      </w:r>
      <w:r>
        <w:rPr>
          <w:spacing w:val="5"/>
        </w:rPr>
        <w:t>位),可能产生新的“内部东方学”。因此，互鉴</w:t>
      </w:r>
      <w:r>
        <w:rPr>
          <w:spacing w:val="4"/>
        </w:rPr>
        <w:t>需警惕新的等级再生产。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98" w:line="218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五、全球史视角：长时段脉络中的去中心化实践</w:t>
      </w:r>
    </w:p>
    <w:p>
      <w:pPr>
        <w:pStyle w:val="BodyText"/>
        <w:ind w:left="115" w:right="400"/>
        <w:spacing w:before="219" w:line="338" w:lineRule="auto"/>
        <w:rPr/>
      </w:pPr>
      <w:r>
        <w:rPr>
          <w:spacing w:val="8"/>
        </w:rPr>
        <w:t>全球史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spacing w:val="8"/>
        </w:rPr>
        <w:t>(</w:t>
      </w:r>
      <w:r>
        <w:rPr>
          <w:rFonts w:ascii="Arial" w:hAnsi="Arial" w:eastAsia="Arial" w:cs="Arial"/>
        </w:rPr>
        <w:t>Andre</w:t>
      </w:r>
      <w:r>
        <w:rPr>
          <w:rFonts w:ascii="Arial" w:hAnsi="Arial" w:eastAsia="Arial" w:cs="Arial"/>
          <w:spacing w:val="8"/>
        </w:rPr>
        <w:t xml:space="preserve">   </w:t>
      </w:r>
      <w:r>
        <w:rPr>
          <w:rFonts w:ascii="Arial" w:hAnsi="Arial" w:eastAsia="Arial" w:cs="Arial"/>
        </w:rPr>
        <w:t>Gunder</w:t>
      </w:r>
      <w:r>
        <w:rPr>
          <w:rFonts w:ascii="Arial" w:hAnsi="Arial" w:eastAsia="Arial" w:cs="Arial"/>
          <w:spacing w:val="8"/>
        </w:rPr>
        <w:t xml:space="preserve">   </w:t>
      </w:r>
      <w:r>
        <w:rPr>
          <w:rFonts w:ascii="Arial" w:hAnsi="Arial" w:eastAsia="Arial" w:cs="Arial"/>
        </w:rPr>
        <w:t>Frank</w:t>
      </w:r>
      <w:r>
        <w:rPr>
          <w:rFonts w:ascii="SimSun" w:hAnsi="SimSun" w:eastAsia="SimSun" w:cs="SimSun"/>
          <w:spacing w:val="8"/>
        </w:rPr>
        <w:t>、</w:t>
      </w:r>
      <w:r>
        <w:rPr>
          <w:rFonts w:ascii="Arial" w:hAnsi="Arial" w:eastAsia="Arial" w:cs="Arial"/>
        </w:rPr>
        <w:t>Janet</w:t>
      </w:r>
      <w:r>
        <w:rPr>
          <w:rFonts w:ascii="Arial" w:hAnsi="Arial" w:eastAsia="Arial" w:cs="Arial"/>
          <w:spacing w:val="12"/>
        </w:rPr>
        <w:t xml:space="preserve">   </w:t>
      </w:r>
      <w:r>
        <w:rPr>
          <w:rFonts w:ascii="Arial" w:hAnsi="Arial" w:eastAsia="Arial" w:cs="Arial"/>
        </w:rPr>
        <w:t>Abu</w:t>
      </w:r>
      <w:r>
        <w:rPr>
          <w:rFonts w:ascii="Arial" w:hAnsi="Arial" w:eastAsia="Arial" w:cs="Arial"/>
          <w:spacing w:val="8"/>
        </w:rPr>
        <w:t>-</w:t>
      </w:r>
      <w:r>
        <w:rPr>
          <w:rFonts w:ascii="Arial" w:hAnsi="Arial" w:eastAsia="Arial" w:cs="Arial"/>
        </w:rPr>
        <w:t>Lughod</w:t>
      </w:r>
      <w:r>
        <w:rPr>
          <w:rFonts w:ascii="SimSun" w:hAnsi="SimSun" w:eastAsia="SimSun" w:cs="SimSun"/>
          <w:spacing w:val="8"/>
        </w:rPr>
        <w:t>、</w:t>
      </w:r>
      <w:r>
        <w:rPr>
          <w:rFonts w:ascii="Arial" w:hAnsi="Arial" w:eastAsia="Arial" w:cs="Arial"/>
        </w:rPr>
        <w:t>Kenneth</w:t>
      </w:r>
      <w:r>
        <w:rPr>
          <w:rFonts w:ascii="Arial" w:hAnsi="Arial" w:eastAsia="Arial" w:cs="Arial"/>
          <w:spacing w:val="8"/>
        </w:rPr>
        <w:t xml:space="preserve">    </w:t>
      </w:r>
      <w:r>
        <w:rPr>
          <w:rFonts w:ascii="Arial" w:hAnsi="Arial" w:eastAsia="Arial" w:cs="Arial"/>
        </w:rPr>
        <w:t>Pomeranz</w:t>
      </w:r>
      <w:r>
        <w:rPr>
          <w:spacing w:val="8"/>
        </w:rPr>
        <w:t>等)强调联系、比</w:t>
      </w:r>
      <w:r>
        <w:rPr>
          <w:spacing w:val="1"/>
        </w:rPr>
        <w:t xml:space="preserve"> </w:t>
      </w:r>
      <w:r>
        <w:rPr>
          <w:spacing w:val="9"/>
        </w:rPr>
        <w:t>较、网络、去中心化方法，反对欧洲中心论，将非西方世界视为积极的历史行动者。</w:t>
      </w:r>
    </w:p>
    <w:p>
      <w:pPr>
        <w:pStyle w:val="BodyText"/>
        <w:ind w:left="115"/>
        <w:spacing w:before="121" w:line="213" w:lineRule="auto"/>
        <w:rPr/>
      </w:pPr>
      <w:r>
        <w:rPr>
          <w:spacing w:val="8"/>
        </w:rPr>
        <w:t>从全球史视角看，南方合作具有深厚历史连续性：</w:t>
      </w:r>
    </w:p>
    <w:p>
      <w:pPr>
        <w:spacing w:line="213" w:lineRule="auto"/>
        <w:sectPr>
          <w:pgSz w:w="12240" w:h="15840"/>
          <w:pgMar w:top="1257" w:right="1026" w:bottom="0" w:left="865" w:header="0" w:footer="0" w:gutter="0"/>
        </w:sectPr>
        <w:rPr/>
      </w:pPr>
    </w:p>
    <w:p>
      <w:pPr>
        <w:pStyle w:val="BodyText"/>
        <w:ind w:left="509" w:right="6" w:hanging="140"/>
        <w:spacing w:before="46" w:line="275" w:lineRule="auto"/>
        <w:rPr/>
      </w:pPr>
      <w:r>
        <w:rPr>
          <w:spacing w:val="20"/>
        </w:rPr>
        <w:t>·</w:t>
      </w:r>
      <w:r>
        <w:rPr>
          <w:spacing w:val="-84"/>
        </w:rPr>
        <w:t xml:space="preserve"> </w:t>
      </w:r>
      <w:r>
        <w:rPr>
          <w:spacing w:val="20"/>
        </w:rPr>
        <w:t>历史渊源：万隆会议(1955)、不结盟运动(1961)、77国集团(1964)已奠定南南</w:t>
      </w:r>
      <w:r>
        <w:rPr>
          <w:spacing w:val="19"/>
        </w:rPr>
        <w:t>团结基</w:t>
      </w:r>
      <w:r>
        <w:rPr/>
        <w:t xml:space="preserve"> </w:t>
      </w:r>
      <w:r>
        <w:rPr/>
        <w:t>础；中国“三个世界”理论进一步强化发展中国家</w:t>
      </w:r>
      <w:r>
        <w:rPr>
          <w:spacing w:val="-1"/>
        </w:rPr>
        <w:t>身份认同。</w:t>
      </w:r>
    </w:p>
    <w:p>
      <w:pPr>
        <w:pStyle w:val="BodyText"/>
        <w:ind w:left="509" w:right="6" w:hanging="140"/>
        <w:spacing w:before="274" w:line="275" w:lineRule="auto"/>
        <w:rPr/>
      </w:pPr>
      <w:r>
        <w:rPr>
          <w:spacing w:val="1"/>
        </w:rPr>
        <w:t>·</w:t>
      </w:r>
      <w:r>
        <w:rPr>
          <w:spacing w:val="-87"/>
        </w:rPr>
        <w:t xml:space="preserve"> </w:t>
      </w:r>
      <w:r>
        <w:rPr>
          <w:spacing w:val="1"/>
        </w:rPr>
        <w:t>演变路径：冷战后“全球南方”一度碎片化；21世纪以来，随着新兴经济体崛起、金</w:t>
      </w:r>
      <w:r>
        <w:rPr/>
        <w:t>砖机制成</w:t>
      </w:r>
      <w:r>
        <w:rPr/>
        <w:t xml:space="preserve"> </w:t>
      </w:r>
      <w:r>
        <w:rPr>
          <w:spacing w:val="1"/>
        </w:rPr>
        <w:t>型、“一带一路”倡议提出，南方合作从政治联合走向经济一文化一知识全领域网络化。</w:t>
      </w:r>
    </w:p>
    <w:p>
      <w:pPr>
        <w:pStyle w:val="BodyText"/>
        <w:ind w:left="679" w:right="7" w:hanging="310"/>
        <w:spacing w:before="274" w:line="271" w:lineRule="auto"/>
        <w:rPr/>
      </w:pPr>
      <w:r>
        <w:rPr>
          <w:spacing w:val="7"/>
        </w:rPr>
        <w:t>·</w:t>
      </w:r>
      <w:r>
        <w:rPr>
          <w:spacing w:val="-94"/>
        </w:rPr>
        <w:t xml:space="preserve"> </w:t>
      </w:r>
      <w:r>
        <w:rPr>
          <w:spacing w:val="7"/>
        </w:rPr>
        <w:t>全球互动意义：南方合作正在重塑世界体系的中心一外围结构。通</w:t>
      </w:r>
      <w:r>
        <w:rPr>
          <w:spacing w:val="6"/>
        </w:rPr>
        <w:t>过南南贸易占比持续上升</w:t>
      </w:r>
      <w:r>
        <w:rPr/>
        <w:t xml:space="preserve"> </w:t>
      </w:r>
      <w:r>
        <w:rPr>
          <w:spacing w:val="7"/>
        </w:rPr>
        <w:t>(已超全球贸易1/4)、南方国家在</w:t>
      </w:r>
      <w:r>
        <w:rPr>
          <w:rFonts w:ascii="SimSun" w:hAnsi="SimSun" w:eastAsia="SimSun" w:cs="SimSun"/>
          <w:spacing w:val="7"/>
        </w:rPr>
        <w:t>G20、 </w:t>
      </w:r>
      <w:r>
        <w:rPr>
          <w:spacing w:val="7"/>
        </w:rPr>
        <w:t>金砖+中的集体发声，以及全球文明倡议的提出，</w:t>
      </w:r>
    </w:p>
    <w:p>
      <w:pPr>
        <w:pStyle w:val="BodyText"/>
        <w:ind w:left="509"/>
        <w:spacing w:before="164" w:line="221" w:lineRule="auto"/>
        <w:rPr/>
      </w:pPr>
      <w:r>
        <w:rPr>
          <w:spacing w:val="8"/>
        </w:rPr>
        <w:t>全球南方正从体系边缘走向体系重构的参与者和塑造者。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right="1470"/>
        <w:spacing w:before="98" w:line="294" w:lineRule="auto"/>
        <w:rPr/>
      </w:pPr>
      <w:r>
        <w:rPr>
          <w:sz w:val="30"/>
          <w:szCs w:val="30"/>
        </w:rPr>
        <w:t>六、理论整合：全球南方合作推动文明互鉴的多维机制与复杂性</w:t>
      </w:r>
      <w:r>
        <w:rPr>
          <w:sz w:val="30"/>
          <w:szCs w:val="30"/>
          <w:spacing w:val="3"/>
        </w:rPr>
        <w:t xml:space="preserve">  </w:t>
      </w:r>
      <w:r>
        <w:rPr>
          <w:spacing w:val="10"/>
        </w:rPr>
        <w:t>整合四种理论视角，可见全球南方合作推动文明交流互鉴的机制具有</w:t>
      </w:r>
      <w:r>
        <w:rPr>
          <w:spacing w:val="9"/>
        </w:rPr>
        <w:t>多层嵌套性：</w:t>
      </w:r>
    </w:p>
    <w:p>
      <w:pPr>
        <w:pStyle w:val="BodyText"/>
        <w:ind w:left="369"/>
        <w:spacing w:before="285" w:line="221" w:lineRule="auto"/>
        <w:rPr/>
      </w:pPr>
      <w:r>
        <w:rPr>
          <w:spacing w:val="12"/>
        </w:rPr>
        <w:t>·</w:t>
      </w:r>
      <w:r>
        <w:rPr>
          <w:spacing w:val="-79"/>
        </w:rPr>
        <w:t xml:space="preserve"> </w:t>
      </w:r>
      <w:r>
        <w:rPr>
          <w:spacing w:val="12"/>
        </w:rPr>
        <w:t>合法性供给(非西方现代化理论)</w:t>
      </w:r>
      <w:r>
        <w:rPr>
          <w:spacing w:val="-82"/>
        </w:rPr>
        <w:t xml:space="preserve"> </w:t>
      </w:r>
      <w:r>
        <w:rPr>
          <w:spacing w:val="12"/>
        </w:rPr>
        <w:t>→提供多元道路的正当性话语</w:t>
      </w:r>
    </w:p>
    <w:p>
      <w:pPr>
        <w:pStyle w:val="BodyText"/>
        <w:ind w:left="369"/>
        <w:spacing w:before="274" w:line="221" w:lineRule="auto"/>
        <w:rPr/>
      </w:pPr>
      <w:r>
        <w:rPr>
          <w:spacing w:val="12"/>
        </w:rPr>
        <w:t>·</w:t>
      </w:r>
      <w:r>
        <w:rPr>
          <w:spacing w:val="-76"/>
        </w:rPr>
        <w:t xml:space="preserve"> </w:t>
      </w:r>
      <w:r>
        <w:rPr>
          <w:spacing w:val="12"/>
        </w:rPr>
        <w:t>权力颠覆(后殖民主义)</w:t>
      </w:r>
      <w:r>
        <w:rPr>
          <w:spacing w:val="-82"/>
        </w:rPr>
        <w:t xml:space="preserve"> </w:t>
      </w:r>
      <w:r>
        <w:rPr>
          <w:spacing w:val="12"/>
        </w:rPr>
        <w:t>→通过集体主体性对抗西方中心权力结构</w:t>
      </w:r>
    </w:p>
    <w:p>
      <w:pPr>
        <w:pStyle w:val="BodyText"/>
        <w:ind w:left="369"/>
        <w:spacing w:before="245" w:line="213" w:lineRule="auto"/>
        <w:rPr/>
      </w:pPr>
      <w:r>
        <w:rPr>
          <w:spacing w:val="11"/>
        </w:rPr>
        <w:t>·</w:t>
      </w:r>
      <w:r>
        <w:rPr>
          <w:spacing w:val="-69"/>
        </w:rPr>
        <w:t xml:space="preserve"> </w:t>
      </w:r>
      <w:r>
        <w:rPr>
          <w:spacing w:val="11"/>
        </w:rPr>
        <w:t>知识解构(东方学批判)</w:t>
      </w:r>
      <w:r>
        <w:rPr>
          <w:spacing w:val="-81"/>
        </w:rPr>
        <w:t xml:space="preserve"> </w:t>
      </w:r>
      <w:r>
        <w:rPr>
          <w:spacing w:val="11"/>
        </w:rPr>
        <w:t>→</w:t>
      </w:r>
      <w:r>
        <w:rPr>
          <w:spacing w:val="-86"/>
        </w:rPr>
        <w:t xml:space="preserve"> </w:t>
      </w:r>
      <w:r>
        <w:rPr>
          <w:spacing w:val="11"/>
        </w:rPr>
        <w:t>打破单向凝视，建立双向认知</w:t>
      </w:r>
    </w:p>
    <w:p>
      <w:pPr>
        <w:pStyle w:val="BodyText"/>
        <w:ind w:left="369"/>
        <w:spacing w:before="285" w:line="221" w:lineRule="auto"/>
        <w:rPr/>
      </w:pPr>
      <w:r>
        <w:rPr>
          <w:spacing w:val="8"/>
        </w:rPr>
        <w:t>·</w:t>
      </w:r>
      <w:r>
        <w:rPr>
          <w:spacing w:val="-84"/>
        </w:rPr>
        <w:t xml:space="preserve"> </w:t>
      </w:r>
      <w:r>
        <w:rPr>
          <w:spacing w:val="8"/>
        </w:rPr>
        <w:t>历史再定位</w:t>
      </w:r>
      <w:r>
        <w:rPr>
          <w:spacing w:val="8"/>
        </w:rPr>
        <w:t xml:space="preserve"> </w:t>
      </w:r>
      <w:r>
        <w:rPr>
          <w:spacing w:val="8"/>
        </w:rPr>
        <w:t>(全球史)</w:t>
      </w:r>
      <w:r>
        <w:rPr>
          <w:spacing w:val="-84"/>
        </w:rPr>
        <w:t xml:space="preserve"> </w:t>
      </w:r>
      <w:r>
        <w:rPr>
          <w:spacing w:val="8"/>
        </w:rPr>
        <w:t>→将南方置于长时段主动位置而非被动客体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75" w:line="342" w:lineRule="auto"/>
        <w:jc w:val="both"/>
        <w:rPr/>
      </w:pPr>
      <w:r>
        <w:rPr>
          <w:spacing w:val="11"/>
        </w:rPr>
        <w:t>这一过程并非线性的和谐图景，而是充满张力：</w:t>
      </w:r>
      <w:r>
        <w:rPr>
          <w:spacing w:val="10"/>
        </w:rPr>
        <w:t>内部异质性导致合作深度不均；经济不对等可能</w:t>
      </w:r>
      <w:r>
        <w:rPr/>
        <w:t xml:space="preserve"> </w:t>
      </w:r>
      <w:r>
        <w:rPr>
          <w:spacing w:val="11"/>
        </w:rPr>
        <w:t>产生新依附；文化互鉴有时停留在仪式层面而非深层价</w:t>
      </w:r>
      <w:r>
        <w:rPr>
          <w:spacing w:val="10"/>
        </w:rPr>
        <w:t>值对话。但正是这种复杂性，体现了真实</w:t>
      </w:r>
      <w:r>
        <w:rPr/>
        <w:t xml:space="preserve"> </w:t>
      </w:r>
      <w:r>
        <w:rPr>
          <w:spacing w:val="9"/>
        </w:rPr>
        <w:t>的历史辩证运动。</w:t>
      </w:r>
    </w:p>
    <w:p>
      <w:pPr>
        <w:pStyle w:val="BodyText"/>
        <w:ind w:left="4"/>
        <w:spacing w:before="336" w:line="226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七、结论</w:t>
      </w:r>
    </w:p>
    <w:p>
      <w:pPr>
        <w:pStyle w:val="BodyText"/>
        <w:ind w:right="5"/>
        <w:spacing w:before="195" w:line="341" w:lineRule="auto"/>
        <w:jc w:val="both"/>
        <w:rPr/>
      </w:pPr>
      <w:r>
        <w:rPr>
          <w:spacing w:val="10"/>
        </w:rPr>
        <w:t>全球南方合作推动文明交流互鉴的当代实践，正在为人类文明史书写新的一页。它既是对西方现</w:t>
      </w:r>
      <w:r>
        <w:rPr>
          <w:spacing w:val="16"/>
        </w:rPr>
        <w:t xml:space="preserve"> </w:t>
      </w:r>
      <w:r>
        <w:rPr>
          <w:spacing w:val="11"/>
        </w:rPr>
        <w:t>代性霸权的实质性回应，也是对人类文明多</w:t>
      </w:r>
      <w:r>
        <w:rPr>
          <w:spacing w:val="10"/>
        </w:rPr>
        <w:t>样性未来的积极开拓。在非西方现代化理论、后殖民</w:t>
      </w:r>
      <w:r>
        <w:rPr/>
        <w:t xml:space="preserve"> </w:t>
      </w:r>
      <w:r>
        <w:rPr>
          <w:spacing w:val="10"/>
        </w:rPr>
        <w:t>主义、东方学批判与全球史的多重视角下，这一进程展现出深刻的合法性、主体性、知识生产与</w:t>
      </w:r>
      <w:r>
        <w:rPr/>
        <w:t xml:space="preserve"> </w:t>
      </w:r>
      <w:r>
        <w:rPr>
          <w:spacing w:val="5"/>
        </w:rPr>
        <w:t>历史定位意义。</w:t>
      </w:r>
    </w:p>
    <w:p>
      <w:pPr>
        <w:pStyle w:val="BodyText"/>
        <w:ind w:right="6"/>
        <w:spacing w:before="121" w:line="334" w:lineRule="auto"/>
        <w:rPr/>
      </w:pPr>
      <w:r>
        <w:rPr>
          <w:spacing w:val="10"/>
        </w:rPr>
        <w:t>展望未来，随着全球南方在国际体系中代表性与话语权的持续提升，随着更多南方国家间直接对</w:t>
      </w:r>
      <w:r>
        <w:rPr>
          <w:spacing w:val="18"/>
        </w:rPr>
        <w:t xml:space="preserve"> </w:t>
      </w:r>
      <w:r>
        <w:rPr>
          <w:spacing w:val="-7"/>
        </w:rPr>
        <w:t>话平台的制度化，文明交流互鉴有望从“理念倡导”走向“</w:t>
      </w:r>
      <w:r>
        <w:rPr>
          <w:spacing w:val="-8"/>
        </w:rPr>
        <w:t>机制保障”,从“双边互鉴”走向“多边共</w:t>
      </w:r>
      <w:r>
        <w:rPr/>
        <w:t xml:space="preserve">  </w:t>
      </w:r>
      <w:r>
        <w:rPr>
          <w:spacing w:val="9"/>
        </w:rPr>
        <w:t>构”,最终为构建一个真正多元、平等、包容的人类文明共同体提供坚实的历史与理论基础。</w:t>
      </w:r>
    </w:p>
    <w:p>
      <w:pPr>
        <w:pStyle w:val="BodyText"/>
        <w:spacing w:before="123" w:line="222" w:lineRule="auto"/>
        <w:rPr/>
      </w:pPr>
      <w:r>
        <w:rPr>
          <w:spacing w:val="26"/>
        </w:rPr>
        <w:t>参考文献(部分)</w:t>
      </w:r>
    </w:p>
    <w:p>
      <w:pPr>
        <w:spacing w:line="222" w:lineRule="auto"/>
        <w:sectPr>
          <w:pgSz w:w="12240" w:h="15840"/>
          <w:pgMar w:top="1230" w:right="1154" w:bottom="0" w:left="980" w:header="0" w:footer="0" w:gutter="0"/>
        </w:sectPr>
        <w:rPr/>
      </w:pPr>
    </w:p>
    <w:p>
      <w:pPr>
        <w:ind w:left="186"/>
        <w:spacing w:before="68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1.Eisenstadt,S.N.(2000).Multiple         Modernities.Daedalus.</w:t>
      </w:r>
    </w:p>
    <w:p>
      <w:pPr>
        <w:ind w:left="186"/>
        <w:spacing w:before="17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2.Said,E.(1978).Orientalis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m.Pantheon      Books.</w:t>
      </w:r>
    </w:p>
    <w:p>
      <w:pPr>
        <w:ind w:left="186"/>
        <w:spacing w:before="21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3.Bhabha,H.K.(1994).The   Location</w:t>
      </w:r>
      <w:r>
        <w:rPr>
          <w:rFonts w:ascii="Arial" w:hAnsi="Arial" w:eastAsia="Arial" w:cs="Arial"/>
          <w:sz w:val="25"/>
          <w:szCs w:val="25"/>
          <w:spacing w:val="36"/>
          <w:w w:val="101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28"/>
          <w:w w:val="101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Culture.Routledge.</w:t>
      </w:r>
    </w:p>
    <w:p>
      <w:pPr>
        <w:ind w:left="186"/>
        <w:spacing w:before="20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4.Pomeranz,K.(2000).The</w:t>
      </w:r>
      <w:r>
        <w:rPr>
          <w:rFonts w:ascii="Arial" w:hAnsi="Arial" w:eastAsia="Arial" w:cs="Arial"/>
          <w:sz w:val="25"/>
          <w:szCs w:val="25"/>
          <w:spacing w:val="22"/>
          <w:w w:val="101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Great</w:t>
      </w:r>
      <w:r>
        <w:rPr>
          <w:rFonts w:ascii="Arial" w:hAnsi="Arial" w:eastAsia="Arial" w:cs="Arial"/>
          <w:sz w:val="25"/>
          <w:szCs w:val="25"/>
          <w:spacing w:val="25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Divergence.Princeto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n</w:t>
      </w:r>
      <w:r>
        <w:rPr>
          <w:rFonts w:ascii="Arial" w:hAnsi="Arial" w:eastAsia="Arial" w:cs="Arial"/>
          <w:sz w:val="25"/>
          <w:szCs w:val="25"/>
          <w:spacing w:val="26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University</w:t>
      </w:r>
      <w:r>
        <w:rPr>
          <w:rFonts w:ascii="Arial" w:hAnsi="Arial" w:eastAsia="Arial" w:cs="Arial"/>
          <w:sz w:val="25"/>
          <w:szCs w:val="25"/>
          <w:spacing w:val="25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Press.</w:t>
      </w:r>
    </w:p>
    <w:p>
      <w:pPr>
        <w:pStyle w:val="BodyText"/>
        <w:ind w:left="656" w:right="1744" w:hanging="470"/>
        <w:spacing w:before="171" w:line="305" w:lineRule="auto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5.Frank,A.G.(1998).ReORIENT.Univer</w:t>
      </w:r>
      <w:r>
        <w:rPr>
          <w:rFonts w:ascii="Arial" w:hAnsi="Arial" w:eastAsia="Arial" w:cs="Arial"/>
          <w:sz w:val="25"/>
          <w:szCs w:val="25"/>
          <w:spacing w:val="-1"/>
        </w:rPr>
        <w:t>sity  of  California   Press.</w:t>
      </w:r>
      <w:r>
        <w:rPr>
          <w:rFonts w:ascii="Arial" w:hAnsi="Arial" w:eastAsia="Arial" w:cs="Arial"/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(以及相关中国官方文件与2024-2026年全球文明倡议系列论述)</w:t>
      </w:r>
    </w:p>
    <w:p>
      <w:pPr>
        <w:pStyle w:val="BodyText"/>
        <w:spacing w:before="317" w:line="221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8"/>
        </w:rPr>
        <w:t>(完)</w:t>
      </w:r>
    </w:p>
    <w:sectPr>
      <w:pgSz w:w="12240" w:h="15840"/>
      <w:pgMar w:top="1139" w:right="1836" w:bottom="0" w:left="114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2026-03-15T23:56:57</vt:filetime>
  </property>
  <property fmtid="{D5CDD505-2E9C-101B-9397-08002B2CF9AE}" pid="4" name="UsrData">
    <vt:lpwstr>69b6d6c743cd31001f1dce6bwl</vt:lpwstr>
  </property>
</Properties>
</file>