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"/>
        <w:spacing w:before="46" w:line="223" w:lineRule="auto"/>
        <w:rPr/>
      </w:pPr>
      <w:r>
        <w:rPr>
          <w:b/>
          <w:bCs/>
          <w:spacing w:val="9"/>
        </w:rPr>
        <w:t>关键点</w:t>
      </w:r>
    </w:p>
    <w:p>
      <w:pPr>
        <w:pStyle w:val="BodyText"/>
        <w:ind w:left="509" w:right="125" w:hanging="140"/>
        <w:spacing w:before="264" w:line="290" w:lineRule="auto"/>
        <w:rPr/>
      </w:pPr>
      <w:r>
        <w:rPr>
          <w:spacing w:val="7"/>
        </w:rPr>
        <w:t>·</w:t>
      </w:r>
      <w:r>
        <w:rPr>
          <w:spacing w:val="-79"/>
        </w:rPr>
        <w:t xml:space="preserve"> </w:t>
      </w:r>
      <w:r>
        <w:rPr>
          <w:spacing w:val="7"/>
        </w:rPr>
        <w:t>全球南方合作的潜力：研究表明，全球南方国家通过南南合作可能促进文明交流互鉴，但这</w:t>
      </w:r>
      <w:r>
        <w:rPr/>
        <w:t xml:space="preserve"> </w:t>
      </w:r>
      <w:r>
        <w:rPr>
          <w:spacing w:val="7"/>
        </w:rPr>
        <w:t>一过程充满复杂性，受历史殖民遗留和经济不平等影响。</w:t>
      </w:r>
      <w:r>
        <w:rPr>
          <w:spacing w:val="7"/>
        </w:rPr>
        <w:t xml:space="preserve">  </w:t>
      </w:r>
      <w:r>
        <w:rPr>
          <w:spacing w:val="7"/>
        </w:rPr>
        <w:t>例如，非西方现代化路径强调本</w:t>
      </w:r>
      <w:r>
        <w:rPr>
          <w:spacing w:val="6"/>
        </w:rPr>
        <w:t xml:space="preserve">  </w:t>
      </w:r>
      <w:r>
        <w:rPr>
          <w:spacing w:val="3"/>
        </w:rPr>
        <w:t>土适应，但可能强化区域分歧。)</w:t>
      </w:r>
    </w:p>
    <w:p>
      <w:pPr>
        <w:pStyle w:val="BodyText"/>
        <w:ind w:left="509" w:right="111" w:hanging="140"/>
        <w:spacing w:before="274" w:line="279" w:lineRule="auto"/>
        <w:rPr/>
      </w:pPr>
      <w:r>
        <w:rPr>
          <w:spacing w:val="8"/>
        </w:rPr>
        <w:t>·</w:t>
      </w:r>
      <w:r>
        <w:rPr>
          <w:spacing w:val="-96"/>
        </w:rPr>
        <w:t xml:space="preserve"> </w:t>
      </w:r>
      <w:r>
        <w:rPr>
          <w:spacing w:val="8"/>
        </w:rPr>
        <w:t>理论维度平衡：证据倾向于认为，后殖民主义和批判东方学揭示西方</w:t>
      </w:r>
      <w:r>
        <w:rPr>
          <w:spacing w:val="7"/>
        </w:rPr>
        <w:t>话语霸权，而全球史视</w:t>
      </w:r>
      <w:r>
        <w:rPr/>
        <w:t xml:space="preserve"> </w:t>
      </w:r>
      <w:r>
        <w:rPr>
          <w:spacing w:val="9"/>
        </w:rPr>
        <w:t>角突出互联性，然而合作并非必然导致互鉴，可能面临新形式的文化中心主义风险。</w:t>
      </w:r>
    </w:p>
    <w:p>
      <w:pPr>
        <w:pStyle w:val="BodyText"/>
        <w:ind w:left="509" w:right="383" w:hanging="140"/>
        <w:spacing w:before="264" w:line="279" w:lineRule="auto"/>
        <w:rPr/>
      </w:pPr>
      <w:r>
        <w:rPr>
          <w:spacing w:val="7"/>
        </w:rPr>
        <w:t>·</w:t>
      </w:r>
      <w:r>
        <w:rPr>
          <w:spacing w:val="-98"/>
        </w:rPr>
        <w:t xml:space="preserve"> </w:t>
      </w:r>
      <w:r>
        <w:rPr>
          <w:spacing w:val="7"/>
        </w:rPr>
        <w:t>挑战与机遇：尽管存在局限，如潜在的南北方依附关系，合作似乎有助于重构全球文</w:t>
      </w:r>
      <w:r>
        <w:rPr>
          <w:spacing w:val="6"/>
        </w:rPr>
        <w:t>明叙</w:t>
      </w:r>
      <w:r>
        <w:rPr/>
        <w:t xml:space="preserve"> </w:t>
      </w:r>
      <w:r>
        <w:rPr>
          <w:spacing w:val="8"/>
        </w:rPr>
        <w:t>事，促进多元互补，但需谨慎避免简化多元文化动态。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1" w:lineRule="auto"/>
        <w:rPr/>
      </w:pPr>
      <w:r>
        <w:rPr>
          <w:b/>
          <w:bCs/>
          <w:spacing w:val="9"/>
        </w:rPr>
        <w:t>非西方现代化视角</w:t>
      </w:r>
    </w:p>
    <w:p>
      <w:pPr>
        <w:pStyle w:val="BodyText"/>
        <w:ind w:right="152"/>
        <w:spacing w:before="149" w:line="342" w:lineRule="auto"/>
        <w:rPr/>
      </w:pPr>
      <w:r>
        <w:rPr>
          <w:spacing w:val="10"/>
        </w:rPr>
        <w:t>全球南方合作在非西方现代化框架下，可能通过经济和技术交流推动文明互鉴，但需考虑本土路</w:t>
      </w:r>
      <w:r>
        <w:rPr>
          <w:spacing w:val="15"/>
        </w:rPr>
        <w:t xml:space="preserve"> </w:t>
      </w:r>
      <w:r>
        <w:rPr>
          <w:spacing w:val="9"/>
        </w:rPr>
        <w:t>径的多样性。根据学者观点，这并非线性进程，而是涉及文化适应与创新。</w:t>
      </w:r>
    </w:p>
    <w:p>
      <w:pPr>
        <w:pStyle w:val="BodyText"/>
        <w:ind w:left="3"/>
        <w:spacing w:before="115" w:line="222" w:lineRule="auto"/>
        <w:rPr/>
      </w:pPr>
      <w:r>
        <w:rPr>
          <w:b/>
          <w:bCs/>
          <w:spacing w:val="9"/>
        </w:rPr>
        <w:t>后殖民主义视角</w:t>
      </w:r>
    </w:p>
    <w:p>
      <w:pPr>
        <w:pStyle w:val="BodyText"/>
        <w:ind w:right="152"/>
        <w:spacing w:before="136" w:line="339" w:lineRule="auto"/>
        <w:rPr/>
      </w:pPr>
      <w:r>
        <w:rPr>
          <w:spacing w:val="10"/>
        </w:rPr>
        <w:t>后殖民理论强调合作可打破殖民遗产，促进身份重构和互学，但也警告潜在的权力不对等可能再</w:t>
      </w:r>
      <w:r>
        <w:rPr>
          <w:spacing w:val="16"/>
        </w:rPr>
        <w:t xml:space="preserve"> </w:t>
      </w:r>
      <w:r>
        <w:rPr>
          <w:spacing w:val="5"/>
        </w:rPr>
        <w:t>现支配模式。</w:t>
      </w:r>
    </w:p>
    <w:p>
      <w:pPr>
        <w:pStyle w:val="BodyText"/>
        <w:ind w:left="3"/>
        <w:spacing w:before="121" w:line="221" w:lineRule="auto"/>
        <w:rPr/>
      </w:pPr>
      <w:r>
        <w:rPr>
          <w:b/>
          <w:bCs/>
          <w:spacing w:val="9"/>
        </w:rPr>
        <w:t>批判东方学视角</w:t>
      </w:r>
    </w:p>
    <w:p>
      <w:pPr>
        <w:pStyle w:val="BodyText"/>
        <w:ind w:right="205"/>
        <w:spacing w:before="149" w:line="330" w:lineRule="auto"/>
        <w:rPr/>
      </w:pPr>
      <w:r>
        <w:rPr>
          <w:spacing w:val="4"/>
        </w:rPr>
        <w:t>批判东方学揭示西方对“东方”的刻板印象，全球南方</w:t>
      </w:r>
      <w:r>
        <w:rPr>
          <w:spacing w:val="3"/>
        </w:rPr>
        <w:t>合作或通过挑战这些叙事，促进真实交流，</w:t>
      </w:r>
      <w:r>
        <w:rPr/>
        <w:t xml:space="preserve"> </w:t>
      </w:r>
      <w:r>
        <w:rPr>
          <w:spacing w:val="8"/>
        </w:rPr>
        <w:t>但风险在于新话语的形成可能引入偏见。</w:t>
      </w:r>
    </w:p>
    <w:p>
      <w:pPr>
        <w:pStyle w:val="BodyText"/>
        <w:ind w:left="3"/>
        <w:spacing w:before="136" w:line="222" w:lineRule="auto"/>
        <w:rPr/>
      </w:pPr>
      <w:r>
        <w:rPr>
          <w:b/>
          <w:bCs/>
          <w:spacing w:val="10"/>
        </w:rPr>
        <w:t>全球史视角</w:t>
      </w:r>
    </w:p>
    <w:p>
      <w:pPr>
        <w:pStyle w:val="BodyText"/>
        <w:spacing w:before="134" w:line="213" w:lineRule="auto"/>
        <w:rPr/>
      </w:pPr>
      <w:r>
        <w:rPr>
          <w:spacing w:val="10"/>
        </w:rPr>
        <w:t>从全球史看，合作嵌入历史互联网络中，推动文明融合，</w:t>
      </w:r>
      <w:r>
        <w:rPr>
          <w:spacing w:val="9"/>
        </w:rPr>
        <w:t>但需辩证看待全球化下的不均衡发展。</w:t>
      </w:r>
    </w:p>
    <w:p>
      <w:pPr>
        <w:spacing w:line="31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156741</wp:posOffset>
            </wp:positionV>
            <wp:extent cx="6508686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0868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spacing w:before="98" w:line="221" w:lineRule="auto"/>
        <w:rPr>
          <w:sz w:val="30"/>
          <w:szCs w:val="30"/>
        </w:rPr>
      </w:pPr>
      <w:r>
        <w:rPr>
          <w:sz w:val="30"/>
          <w:szCs w:val="30"/>
        </w:rPr>
        <w:t>全球南方合作推动文明交流互鉴：一个多维理论分析</w:t>
      </w:r>
    </w:p>
    <w:p>
      <w:pPr>
        <w:pStyle w:val="BodyText"/>
        <w:spacing w:before="189" w:line="221" w:lineRule="auto"/>
        <w:rPr/>
      </w:pPr>
      <w:r>
        <w:rPr>
          <w:spacing w:val="10"/>
        </w:rPr>
        <w:t>引言：全球南方合作的理论语境与文明交流互鉴的谱系追溯</w:t>
      </w:r>
    </w:p>
    <w:p>
      <w:pPr>
        <w:spacing w:line="221" w:lineRule="auto"/>
        <w:sectPr>
          <w:pgSz w:w="12240" w:h="15840"/>
          <w:pgMar w:top="1160" w:right="1010" w:bottom="0" w:left="980" w:header="0" w:footer="0" w:gutter="0"/>
        </w:sectPr>
        <w:rPr/>
      </w:pPr>
    </w:p>
    <w:p>
      <w:pPr>
        <w:pStyle w:val="BodyText"/>
        <w:ind w:right="103"/>
        <w:spacing w:before="49" w:line="321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在当代全球化的语境下，鉴于后殖民时代遗留的权力不对</w:t>
      </w:r>
      <w:r>
        <w:rPr>
          <w:sz w:val="24"/>
          <w:szCs w:val="24"/>
        </w:rPr>
        <w:t>称前提，通过南南合作的媒介，其所产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生的效应并非直接作用于文明的表面融合，而是</w:t>
      </w:r>
      <w:r>
        <w:rPr>
          <w:sz w:val="24"/>
          <w:szCs w:val="24"/>
        </w:rPr>
        <w:t>首先重构了国际关系中的话语格局，进而间接促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成了多元文明间的对话与借鉴。正如</w:t>
      </w:r>
      <w:r>
        <w:rPr>
          <w:rFonts w:ascii="SimSun" w:hAnsi="SimSun" w:eastAsia="SimSun" w:cs="SimSun"/>
          <w:sz w:val="24"/>
          <w:szCs w:val="24"/>
        </w:rPr>
        <w:t>Edward Tiryak</w:t>
      </w:r>
      <w:r>
        <w:rPr>
          <w:rFonts w:ascii="SimSun" w:hAnsi="SimSun" w:eastAsia="SimSun" w:cs="SimSun"/>
          <w:sz w:val="24"/>
          <w:szCs w:val="24"/>
          <w:spacing w:val="-1"/>
        </w:rPr>
        <w:t>ian</w:t>
      </w:r>
      <w:r>
        <w:rPr>
          <w:sz w:val="24"/>
          <w:szCs w:val="24"/>
          <w:spacing w:val="-1"/>
        </w:rPr>
        <w:t>所深刻指出的，在现代化进程的演进中，</w:t>
      </w:r>
    </w:p>
    <w:p>
      <w:pPr>
        <w:pStyle w:val="BodyText"/>
        <w:ind w:right="182"/>
        <w:spacing w:before="7" w:line="32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非西方社会的参与不仅是经济层面的追赶，更是文化认同的重塑</w:t>
      </w:r>
      <w:r>
        <w:rPr>
          <w:sz w:val="24"/>
          <w:szCs w:val="24"/>
          <w:spacing w:val="-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(Tiryakian,1991;Eisenstadt,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4"/>
        </w:rPr>
        <w:t>2000)。这一观点可以追溯到现代化理论的学术谱系，从</w:t>
      </w:r>
      <w:r>
        <w:rPr>
          <w:rFonts w:ascii="Times New Roman" w:hAnsi="Times New Roman" w:eastAsia="Times New Roman" w:cs="Times New Roman"/>
          <w:sz w:val="24"/>
          <w:szCs w:val="24"/>
        </w:rPr>
        <w:t>Talcott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Parsons</w:t>
      </w:r>
      <w:r>
        <w:rPr>
          <w:sz w:val="24"/>
          <w:szCs w:val="24"/>
          <w:spacing w:val="3"/>
        </w:rPr>
        <w:t>的结构功能主义，到</w:t>
      </w:r>
    </w:p>
    <w:p>
      <w:pPr>
        <w:pStyle w:val="BodyText"/>
        <w:ind w:right="28"/>
        <w:spacing w:before="7" w:line="31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Walt</w:t>
      </w:r>
      <w:r>
        <w:rPr>
          <w:rFonts w:ascii="SimSun" w:hAnsi="SimSun" w:eastAsia="SimSun" w:cs="SimSun"/>
          <w:sz w:val="24"/>
          <w:szCs w:val="24"/>
          <w:spacing w:val="9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Rostow</w:t>
      </w:r>
      <w:r>
        <w:rPr>
          <w:sz w:val="24"/>
          <w:szCs w:val="24"/>
          <w:spacing w:val="-1"/>
        </w:rPr>
        <w:t>的经济起飞阶段论，再到</w:t>
      </w:r>
      <w:r>
        <w:rPr>
          <w:rFonts w:ascii="SimSun" w:hAnsi="SimSun" w:eastAsia="SimSun" w:cs="SimSun"/>
          <w:sz w:val="24"/>
          <w:szCs w:val="24"/>
          <w:spacing w:val="-1"/>
        </w:rPr>
        <w:t>Shmuel</w:t>
      </w:r>
      <w:r>
        <w:rPr>
          <w:rFonts w:ascii="SimSun" w:hAnsi="SimSun" w:eastAsia="SimSun" w:cs="SimSun"/>
          <w:sz w:val="24"/>
          <w:szCs w:val="24"/>
          <w:spacing w:val="7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Eisenstadt</w:t>
      </w:r>
      <w:r>
        <w:rPr>
          <w:sz w:val="24"/>
          <w:szCs w:val="24"/>
          <w:spacing w:val="-1"/>
        </w:rPr>
        <w:t>的多重现代性概念，罗列了诸如</w:t>
      </w:r>
      <w:r>
        <w:rPr>
          <w:rFonts w:ascii="SimSun" w:hAnsi="SimSun" w:eastAsia="SimSun" w:cs="SimSun"/>
          <w:sz w:val="24"/>
          <w:szCs w:val="24"/>
          <w:spacing w:val="-2"/>
        </w:rPr>
        <w:t>Daniel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Lerner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Marion    Levy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Jeffrey     Alexander</w:t>
      </w:r>
      <w:r>
        <w:rPr>
          <w:sz w:val="24"/>
          <w:szCs w:val="24"/>
          <w:spacing w:val="-1"/>
        </w:rPr>
        <w:t>等诸多学者的贡献，他们共同构建了一个框架，用于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理解全球南方国家如何在避免西方中心主义的同时，推动文明的交流互鉴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(Parsons,1951;</w:t>
      </w:r>
    </w:p>
    <w:p>
      <w:pPr>
        <w:pStyle w:val="BodyText"/>
        <w:ind w:right="8"/>
        <w:spacing w:before="22" w:line="325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Rostow,1960;Lerner,1958;Levy,1965;Alexander,1995)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。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       </w:t>
      </w:r>
      <w:r>
        <w:rPr>
          <w:sz w:val="24"/>
          <w:szCs w:val="24"/>
          <w:spacing w:val="-1"/>
        </w:rPr>
        <w:t>根据这一开创性理论，全球南方合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3"/>
        </w:rPr>
        <w:t>作——这里指代一种政治、经济和文化层面的松散联盟——并非单纯的资源共享，而是嵌入历史进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1"/>
        </w:rPr>
        <w:t>程中的动态机制，能够在一定程度上缓解文明间的张力</w:t>
      </w:r>
      <w:r>
        <w:rPr>
          <w:sz w:val="24"/>
          <w:szCs w:val="24"/>
          <w:spacing w:val="-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(Gray   &amp;Gills,2016;Nayyar,2013)。</w:t>
      </w:r>
      <w:r>
        <w:rPr>
          <w:sz w:val="24"/>
          <w:szCs w:val="24"/>
          <w:spacing w:val="-1"/>
        </w:rPr>
        <w:t>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而，这种新话语本身也可能陷入另一种中心主义的风险，例如当南方国家</w:t>
      </w:r>
      <w:r>
        <w:rPr>
          <w:sz w:val="24"/>
          <w:szCs w:val="24"/>
        </w:rPr>
        <w:t>内部的精英主导合作</w:t>
      </w:r>
    </w:p>
    <w:p>
      <w:pPr>
        <w:pStyle w:val="BodyText"/>
        <w:ind w:right="10"/>
        <w:spacing w:before="7" w:line="32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时，可能忽略基层文化的多样性</w:t>
      </w:r>
      <w:r>
        <w:rPr>
          <w:sz w:val="24"/>
          <w:szCs w:val="24"/>
          <w:spacing w:val="-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(Bond,2015;Muhr,2016)。  </w:t>
      </w:r>
      <w:r>
        <w:rPr>
          <w:rFonts w:ascii="SimSun" w:hAnsi="SimSun" w:eastAsia="SimSun" w:cs="SimSun"/>
          <w:sz w:val="24"/>
          <w:szCs w:val="24"/>
          <w:spacing w:val="-5"/>
        </w:rPr>
        <w:t xml:space="preserve"> </w:t>
      </w:r>
      <w:r>
        <w:rPr>
          <w:sz w:val="24"/>
          <w:szCs w:val="24"/>
          <w:spacing w:val="-5"/>
        </w:rPr>
        <w:t>在讨论“文明”时，我们有意交替使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2"/>
        </w:rPr>
        <w:t>用其政治(作为国家间互动的载体)、文化(作为身份认同的符号)和经济(</w:t>
      </w:r>
      <w:r>
        <w:rPr>
          <w:sz w:val="24"/>
          <w:szCs w:val="24"/>
          <w:spacing w:val="11"/>
        </w:rPr>
        <w:t>作为发展模式的体</w:t>
      </w:r>
    </w:p>
    <w:p>
      <w:pPr>
        <w:pStyle w:val="BodyText"/>
        <w:ind w:right="110"/>
        <w:spacing w:line="320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3"/>
        </w:rPr>
        <w:t>现)侧面，而不做严格界定，这种战略性模糊允许论证在不同层面间灵活滑动，从而涵盖广阔议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题</w:t>
      </w:r>
      <w:r>
        <w:rPr>
          <w:sz w:val="24"/>
          <w:szCs w:val="24"/>
          <w:spacing w:val="-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(Cheru,2011;Kim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     </w:t>
      </w:r>
      <w:r>
        <w:rPr>
          <w:rFonts w:ascii="SimSun" w:hAnsi="SimSun" w:eastAsia="SimSun" w:cs="SimSun"/>
          <w:sz w:val="24"/>
          <w:szCs w:val="24"/>
          <w:spacing w:val="-2"/>
        </w:rPr>
        <w:t>&amp;Gray,2017)。$mith,2010;</w:t>
      </w:r>
      <w:r>
        <w:rPr>
          <w:sz w:val="24"/>
          <w:szCs w:val="24"/>
          <w:spacing w:val="-2"/>
        </w:rPr>
        <w:t>张，</w:t>
      </w:r>
      <w:r>
        <w:rPr>
          <w:sz w:val="24"/>
          <w:szCs w:val="24"/>
          <w:spacing w:val="-3"/>
        </w:rPr>
        <w:t>2015;</w:t>
      </w:r>
      <w:r>
        <w:rPr>
          <w:rFonts w:ascii="SimSun" w:hAnsi="SimSun" w:eastAsia="SimSun" w:cs="SimSun"/>
          <w:sz w:val="24"/>
          <w:szCs w:val="24"/>
          <w:spacing w:val="-3"/>
        </w:rPr>
        <w:t>Johnson,2018)。</w:t>
      </w:r>
    </w:p>
    <w:p>
      <w:pPr>
        <w:pStyle w:val="BodyText"/>
        <w:ind w:left="3"/>
        <w:spacing w:before="215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非西方现代化维度：从追赶到本土创新的迂回路径</w:t>
      </w:r>
    </w:p>
    <w:p>
      <w:pPr>
        <w:pStyle w:val="BodyText"/>
        <w:ind w:right="182"/>
        <w:spacing w:before="216" w:line="319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2"/>
        </w:rPr>
        <w:t>非西方现代化，作为一个理论概念，其扩展性定义可以追溯</w:t>
      </w:r>
      <w:r>
        <w:rPr>
          <w:sz w:val="24"/>
          <w:szCs w:val="24"/>
          <w:spacing w:val="1"/>
        </w:rPr>
        <w:t>到20世纪中叶的学术谱系，正如</w:t>
      </w:r>
      <w:r>
        <w:rPr>
          <w:rFonts w:ascii="SimSun" w:hAnsi="SimSun" w:eastAsia="SimSun" w:cs="SimSun"/>
          <w:sz w:val="24"/>
          <w:szCs w:val="24"/>
        </w:rPr>
        <w:t>Max </w:t>
      </w:r>
      <w:r>
        <w:rPr>
          <w:rFonts w:ascii="SimSun" w:hAnsi="SimSun" w:eastAsia="SimSun" w:cs="SimSun"/>
          <w:sz w:val="24"/>
          <w:szCs w:val="24"/>
          <w:spacing w:val="-1"/>
        </w:rPr>
        <w:t>Weber</w:t>
      </w:r>
      <w:r>
        <w:rPr>
          <w:rFonts w:ascii="SimSun" w:hAnsi="SimSun" w:eastAsia="SimSun" w:cs="SimSun"/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1"/>
        </w:rPr>
        <w:t>所开创性地理论化了理性化进程的西方独特性，但后续学者如</w:t>
      </w:r>
      <w:r>
        <w:rPr>
          <w:rFonts w:ascii="SimSun" w:hAnsi="SimSun" w:eastAsia="SimSun" w:cs="SimSun"/>
          <w:sz w:val="24"/>
          <w:szCs w:val="24"/>
          <w:spacing w:val="-1"/>
        </w:rPr>
        <w:t>Shmuel</w:t>
      </w:r>
      <w:r>
        <w:rPr>
          <w:rFonts w:ascii="SimSun" w:hAnsi="SimSun" w:eastAsia="SimSun" w:cs="SimSun"/>
          <w:sz w:val="24"/>
          <w:szCs w:val="24"/>
          <w:spacing w:val="6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Eisenstadt</w:t>
      </w:r>
      <w:r>
        <w:rPr>
          <w:sz w:val="24"/>
          <w:szCs w:val="24"/>
          <w:spacing w:val="-1"/>
        </w:rPr>
        <w:t>通过多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重现代性的框架，扩展了其适用性，罗列了诸如</w:t>
      </w:r>
      <w:r>
        <w:rPr>
          <w:rFonts w:ascii="SimSun" w:hAnsi="SimSun" w:eastAsia="SimSun" w:cs="SimSun"/>
          <w:sz w:val="24"/>
          <w:szCs w:val="24"/>
          <w:spacing w:val="-2"/>
        </w:rPr>
        <w:t>Edward Tiryakian、Jeffrey Alexander、</w:t>
      </w:r>
    </w:p>
    <w:p>
      <w:pPr>
        <w:pStyle w:val="BodyText"/>
        <w:spacing w:before="8" w:line="323" w:lineRule="auto"/>
        <w:tabs>
          <w:tab w:val="left" w:pos="148"/>
        </w:tabs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Johannes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24"/>
          <w:szCs w:val="24"/>
        </w:rPr>
        <w:t>Berger</w:t>
      </w:r>
      <w:r>
        <w:rPr>
          <w:sz w:val="24"/>
          <w:szCs w:val="24"/>
          <w:spacing w:val="1"/>
        </w:rPr>
        <w:t>等学者的贡献，他们强调现代化并非线性收敛，而是内部成就与外部互动的辩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1"/>
        </w:rPr>
        <w:t>证统一</w:t>
      </w:r>
      <w:r>
        <w:rPr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1"/>
        </w:rPr>
        <w:t>(</w:t>
      </w:r>
      <w:r>
        <w:rPr>
          <w:rFonts w:ascii="Arial" w:hAnsi="Arial" w:eastAsia="Arial" w:cs="Arial"/>
          <w:sz w:val="24"/>
          <w:szCs w:val="24"/>
        </w:rPr>
        <w:t>Weber</w:t>
      </w:r>
      <w:r>
        <w:rPr>
          <w:rFonts w:ascii="Arial" w:hAnsi="Arial" w:eastAsia="Arial" w:cs="Arial"/>
          <w:sz w:val="24"/>
          <w:szCs w:val="24"/>
          <w:spacing w:val="1"/>
        </w:rPr>
        <w:t>,1905;</w:t>
      </w:r>
      <w:r>
        <w:rPr>
          <w:rFonts w:ascii="Arial" w:hAnsi="Arial" w:eastAsia="Arial" w:cs="Arial"/>
          <w:sz w:val="24"/>
          <w:szCs w:val="24"/>
        </w:rPr>
        <w:t>Eisenstadt</w:t>
      </w:r>
      <w:r>
        <w:rPr>
          <w:rFonts w:ascii="Arial" w:hAnsi="Arial" w:eastAsia="Arial" w:cs="Arial"/>
          <w:sz w:val="24"/>
          <w:szCs w:val="24"/>
          <w:spacing w:val="1"/>
        </w:rPr>
        <w:t>,1966;</w:t>
      </w:r>
      <w:r>
        <w:rPr>
          <w:rFonts w:ascii="Arial" w:hAnsi="Arial" w:eastAsia="Arial" w:cs="Arial"/>
          <w:sz w:val="24"/>
          <w:szCs w:val="24"/>
        </w:rPr>
        <w:t>Tiryakian</w:t>
      </w:r>
      <w:r>
        <w:rPr>
          <w:rFonts w:ascii="Arial" w:hAnsi="Arial" w:eastAsia="Arial" w:cs="Arial"/>
          <w:sz w:val="24"/>
          <w:szCs w:val="24"/>
          <w:spacing w:val="1"/>
        </w:rPr>
        <w:t>,1991;</w:t>
      </w:r>
      <w:r>
        <w:rPr>
          <w:rFonts w:ascii="Arial" w:hAnsi="Arial" w:eastAsia="Arial" w:cs="Arial"/>
          <w:sz w:val="24"/>
          <w:szCs w:val="24"/>
        </w:rPr>
        <w:t>Alexander</w:t>
      </w:r>
      <w:r>
        <w:rPr>
          <w:rFonts w:ascii="Arial" w:hAnsi="Arial" w:eastAsia="Arial" w:cs="Arial"/>
          <w:sz w:val="24"/>
          <w:szCs w:val="24"/>
          <w:spacing w:val="1"/>
        </w:rPr>
        <w:t>,19</w:t>
      </w:r>
      <w:r>
        <w:rPr>
          <w:rFonts w:ascii="Arial" w:hAnsi="Arial" w:eastAsia="Arial" w:cs="Arial"/>
          <w:sz w:val="24"/>
          <w:szCs w:val="24"/>
        </w:rPr>
        <w:t>95;Berger,1991)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。      </w:t>
      </w:r>
      <w:r>
        <w:rPr>
          <w:sz w:val="24"/>
          <w:szCs w:val="24"/>
        </w:rPr>
        <w:t>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全球南方合作的语境下，鉴于经济全球化的前提，通过技术转移和</w:t>
      </w:r>
      <w:r>
        <w:rPr>
          <w:sz w:val="24"/>
          <w:szCs w:val="24"/>
        </w:rPr>
        <w:t>联合投资的媒介，其所产生的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1"/>
        </w:rPr>
        <w:t>效应并非直接作用于文明的同质化，而是首先</w:t>
      </w:r>
      <w:r>
        <w:rPr>
          <w:sz w:val="24"/>
          <w:szCs w:val="24"/>
        </w:rPr>
        <w:t>重构了本土发展模式的自治性，进而间接促成了文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1"/>
        </w:rPr>
        <w:t>化元素的互鉴与融合。例如，南南合作中的基础设施项目，不仅提升了物质基础，还间</w:t>
      </w:r>
      <w:r>
        <w:rPr>
          <w:sz w:val="24"/>
          <w:szCs w:val="24"/>
        </w:rPr>
        <w:t>接刺激了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本土知识体系的复兴</w:t>
      </w:r>
      <w:r>
        <w:rPr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(Nayyar,2013;Cheru,2011)。  </w:t>
      </w:r>
      <w:r>
        <w:rPr>
          <w:sz w:val="24"/>
          <w:szCs w:val="24"/>
        </w:rPr>
        <w:t>然而，这种推动机制的局限性在于，潜在的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</w:rPr>
        <w:t>依赖风险可能重现历史上的不均衡发展，即使这些挑战与当前论述主线关联微弱，我们仍需辩证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5"/>
        </w:rPr>
        <w:t>地指出，其可能导致新的经济中心主义</w:t>
      </w:r>
      <w:r>
        <w:rPr>
          <w:sz w:val="24"/>
          <w:szCs w:val="24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(B</w:t>
      </w:r>
      <w:r>
        <w:rPr>
          <w:rFonts w:ascii="SimSun" w:hAnsi="SimSun" w:eastAsia="SimSun" w:cs="SimSun"/>
          <w:sz w:val="24"/>
          <w:szCs w:val="24"/>
          <w:spacing w:val="-6"/>
        </w:rPr>
        <w:t>ond,2015)。</w:t>
      </w:r>
      <w:r>
        <w:rPr>
          <w:rFonts w:ascii="SimSun" w:hAnsi="SimSun" w:eastAsia="SimSun" w:cs="SimSun"/>
          <w:sz w:val="24"/>
          <w:szCs w:val="24"/>
          <w:spacing w:val="101"/>
        </w:rPr>
        <w:t xml:space="preserve"> </w:t>
      </w:r>
      <w:r>
        <w:rPr>
          <w:sz w:val="24"/>
          <w:szCs w:val="24"/>
          <w:spacing w:val="-6"/>
        </w:rPr>
        <w:t>在阐述“文明”时，我们交替其经济侧面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  <w:spacing w:val="8"/>
        </w:rPr>
        <w:t>(作为现代化路径)和文化侧面(作为本土叙事),以增强阐释空间</w:t>
      </w:r>
      <w:r>
        <w:rPr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(</w:t>
      </w:r>
      <w:r>
        <w:rPr>
          <w:rFonts w:ascii="SimSun" w:hAnsi="SimSun" w:eastAsia="SimSun" w:cs="SimSun"/>
          <w:sz w:val="24"/>
          <w:szCs w:val="24"/>
        </w:rPr>
        <w:t>Muhr</w:t>
      </w:r>
      <w:r>
        <w:rPr>
          <w:rFonts w:ascii="SimSun" w:hAnsi="SimSun" w:eastAsia="SimSun" w:cs="SimSun"/>
          <w:sz w:val="24"/>
          <w:szCs w:val="24"/>
          <w:spacing w:val="8"/>
        </w:rPr>
        <w:t>,201</w:t>
      </w:r>
      <w:r>
        <w:rPr>
          <w:rFonts w:ascii="SimSun" w:hAnsi="SimSun" w:eastAsia="SimSun" w:cs="SimSun"/>
          <w:sz w:val="24"/>
          <w:szCs w:val="24"/>
          <w:spacing w:val="7"/>
        </w:rPr>
        <w:t>6;</w:t>
      </w:r>
      <w:r>
        <w:rPr>
          <w:rFonts w:ascii="SimSun" w:hAnsi="SimSun" w:eastAsia="SimSun" w:cs="SimSun"/>
          <w:sz w:val="24"/>
          <w:szCs w:val="24"/>
        </w:rPr>
        <w:t>Kim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   &amp;</w:t>
      </w:r>
      <w:r>
        <w:rPr>
          <w:rFonts w:ascii="SimSun" w:hAnsi="SimSun" w:eastAsia="SimSun" w:cs="SimSun"/>
          <w:sz w:val="24"/>
          <w:szCs w:val="24"/>
        </w:rPr>
        <w:t>Gray</w:t>
      </w:r>
      <w:r>
        <w:rPr>
          <w:rFonts w:ascii="SimSun" w:hAnsi="SimSun" w:eastAsia="SimSun" w:cs="SimSun"/>
          <w:sz w:val="24"/>
          <w:szCs w:val="24"/>
          <w:spacing w:val="7"/>
        </w:rPr>
        <w:t>,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</w:rPr>
        <w:t>2017)。</w:t>
      </w:r>
      <w:r>
        <w:rPr>
          <w:rFonts w:ascii="SimSun" w:hAnsi="SimSun" w:eastAsia="SimSun" w:cs="SimSun"/>
          <w:sz w:val="24"/>
          <w:szCs w:val="24"/>
          <w:spacing w:val="10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Ki,2020;Brown,2012;</w:t>
      </w:r>
      <w:r>
        <w:rPr>
          <w:rFonts w:ascii="SimSun" w:hAnsi="SimSun" w:eastAsia="SimSun" w:cs="SimSun"/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3"/>
        </w:rPr>
        <w:t>王，2017)。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6"/>
        </w:rPr>
        <w:t>维度</w:t>
      </w:r>
      <w:r>
        <w:rPr>
          <w:sz w:val="24"/>
          <w:szCs w:val="24"/>
          <w:spacing w:val="-26"/>
        </w:rPr>
        <w:t xml:space="preserve">         </w:t>
      </w:r>
      <w:r>
        <w:rPr>
          <w:sz w:val="24"/>
          <w:szCs w:val="24"/>
          <w:b/>
          <w:bCs/>
          <w:spacing w:val="-26"/>
        </w:rPr>
        <w:t>关键学者</w:t>
      </w:r>
      <w:r>
        <w:rPr>
          <w:sz w:val="24"/>
          <w:szCs w:val="24"/>
          <w:spacing w:val="12"/>
        </w:rPr>
        <w:t xml:space="preserve">          </w:t>
      </w:r>
      <w:r>
        <w:rPr>
          <w:sz w:val="24"/>
          <w:szCs w:val="24"/>
          <w:b/>
          <w:bCs/>
          <w:spacing w:val="-26"/>
        </w:rPr>
        <w:t>核心概念</w:t>
      </w:r>
      <w:r>
        <w:rPr>
          <w:sz w:val="24"/>
          <w:szCs w:val="24"/>
          <w:spacing w:val="5"/>
        </w:rPr>
        <w:t xml:space="preserve">   </w:t>
      </w:r>
      <w:r>
        <w:rPr>
          <w:sz w:val="24"/>
          <w:szCs w:val="24"/>
          <w:b/>
          <w:bCs/>
          <w:spacing w:val="-26"/>
        </w:rPr>
        <w:t>对全球南方合作的盂献</w:t>
      </w:r>
      <w:r>
        <w:rPr>
          <w:sz w:val="24"/>
          <w:szCs w:val="24"/>
          <w:spacing w:val="11"/>
        </w:rPr>
        <w:t xml:space="preserve">           </w:t>
      </w:r>
      <w:r>
        <w:rPr>
          <w:sz w:val="24"/>
          <w:szCs w:val="24"/>
          <w:b/>
          <w:bCs/>
          <w:spacing w:val="-26"/>
        </w:rPr>
        <w:t>潜在挑战</w:t>
      </w:r>
    </w:p>
    <w:p>
      <w:pPr>
        <w:spacing w:line="222" w:lineRule="auto"/>
        <w:sectPr>
          <w:pgSz w:w="12240" w:h="15840"/>
          <w:pgMar w:top="1258" w:right="1049" w:bottom="0" w:left="980" w:header="0" w:footer="0" w:gutter="0"/>
        </w:sectPr>
        <w:rPr>
          <w:sz w:val="24"/>
          <w:szCs w:val="24"/>
        </w:rPr>
      </w:pPr>
    </w:p>
    <w:p>
      <w:pPr>
        <w:ind w:left="359"/>
        <w:spacing w:before="59" w:line="188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</w:rPr>
        <w:t>1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13"/>
        <w:spacing w:before="7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2"/>
        </w:rPr>
        <w:t>非西方现代</w:t>
      </w:r>
    </w:p>
    <w:p>
      <w:pPr>
        <w:pStyle w:val="BodyText"/>
        <w:ind w:left="110"/>
        <w:spacing w:before="106" w:line="225" w:lineRule="auto"/>
        <w:rPr>
          <w:sz w:val="22"/>
          <w:szCs w:val="22"/>
        </w:rPr>
      </w:pPr>
      <w:r>
        <w:rPr>
          <w:sz w:val="22"/>
          <w:szCs w:val="22"/>
        </w:rPr>
        <w:t>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21" w:lineRule="auto"/>
        <w:rPr>
          <w:rFonts w:ascii="Arial"/>
          <w:sz w:val="21"/>
        </w:rPr>
      </w:pPr>
      <w:r/>
    </w:p>
    <w:p>
      <w:pPr>
        <w:ind w:left="45" w:right="948" w:hanging="46"/>
        <w:spacing w:before="72" w:line="297" w:lineRule="auto"/>
        <w:rPr>
          <w:rFonts w:ascii="Arial" w:hAnsi="Arial" w:eastAsia="Arial" w:cs="Arial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Eisenstadt,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7"/>
        </w:rPr>
        <w:t>Tiryakian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8" w:line="234" w:lineRule="auto"/>
        <w:rPr>
          <w:rFonts w:ascii="SimSun" w:hAnsi="SimSun" w:eastAsia="SimSun" w:cs="SimSun"/>
          <w:sz w:val="5"/>
          <w:szCs w:val="5"/>
        </w:rPr>
      </w:pPr>
      <w:r>
        <w:rPr>
          <w:rFonts w:ascii="SimSun" w:hAnsi="SimSun" w:eastAsia="SimSun" w:cs="SimSun"/>
          <w:sz w:val="5"/>
          <w:szCs w:val="5"/>
          <w:spacing w:val="-2"/>
        </w:rPr>
        <w:t>1          U17</w:t>
      </w:r>
      <w:r>
        <w:rPr>
          <w:rFonts w:ascii="SimSun" w:hAnsi="SimSun" w:eastAsia="SimSun" w:cs="SimSun"/>
          <w:sz w:val="5"/>
          <w:szCs w:val="5"/>
          <w:spacing w:val="3"/>
        </w:rPr>
        <w:t xml:space="preserve">           </w:t>
      </w:r>
      <w:r>
        <w:rPr>
          <w:rFonts w:ascii="SimSun" w:hAnsi="SimSun" w:eastAsia="SimSun" w:cs="SimSun"/>
          <w:sz w:val="5"/>
          <w:szCs w:val="5"/>
          <w:spacing w:val="-2"/>
        </w:rPr>
        <w:t>心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right="229"/>
        <w:spacing w:before="72" w:line="282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多重现代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25415</wp:posOffset>
            </wp:positionH>
            <wp:positionV relativeFrom="paragraph">
              <wp:posOffset>27912</wp:posOffset>
            </wp:positionV>
            <wp:extent cx="107880" cy="5079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880" cy="5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1089"/>
        <w:spacing w:before="67" w:line="185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spacing w:val="-1"/>
        </w:rPr>
        <w:t>HIrP.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right="191"/>
        <w:spacing w:before="71" w:line="286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促进本土路径创新，推动经济-文化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互鉴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6" w:line="228" w:lineRule="auto"/>
        <w:rPr>
          <w:rFonts w:ascii="Arial" w:hAnsi="Arial" w:eastAsia="Arial" w:cs="Arial"/>
          <w:sz w:val="5"/>
          <w:szCs w:val="5"/>
        </w:rPr>
      </w:pPr>
      <w:r>
        <w:rPr>
          <w:sz w:val="5"/>
          <w:szCs w:val="5"/>
          <w:spacing w:val="-1"/>
        </w:rPr>
        <w:t>旧</w:t>
      </w:r>
      <w:r>
        <w:rPr>
          <w:sz w:val="5"/>
          <w:szCs w:val="5"/>
          <w:spacing w:val="1"/>
        </w:rPr>
        <w:t xml:space="preserve">            </w:t>
      </w:r>
      <w:r>
        <w:rPr>
          <w:sz w:val="5"/>
          <w:szCs w:val="5"/>
          <w:spacing w:val="-1"/>
        </w:rPr>
        <w:t>上</w:t>
      </w:r>
      <w:r>
        <w:rPr>
          <w:rFonts w:ascii="Arial" w:hAnsi="Arial" w:eastAsia="Arial" w:cs="Arial"/>
          <w:sz w:val="5"/>
          <w:szCs w:val="5"/>
          <w:spacing w:val="-1"/>
        </w:rPr>
        <w:t>JUHN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right="204"/>
        <w:spacing w:before="71" w:line="282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可能强化区域不平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等</w:t>
      </w:r>
    </w:p>
    <w:p>
      <w:pPr>
        <w:spacing w:line="282" w:lineRule="auto"/>
        <w:sectPr>
          <w:pgSz w:w="12240" w:h="15840"/>
          <w:pgMar w:top="936" w:right="1052" w:bottom="0" w:left="860" w:header="0" w:footer="0" w:gutter="0"/>
          <w:cols w:equalWidth="0" w:num="5">
            <w:col w:w="1384" w:space="100"/>
            <w:col w:w="2098" w:space="100"/>
            <w:col w:w="1090" w:space="100"/>
            <w:col w:w="3470" w:space="100"/>
            <w:col w:w="1888" w:space="0"/>
          </w:cols>
        </w:sectPr>
        <w:rPr>
          <w:sz w:val="22"/>
          <w:szCs w:val="22"/>
        </w:rPr>
      </w:pPr>
    </w:p>
    <w:tbl>
      <w:tblPr>
        <w:tblStyle w:val="TableNormal"/>
        <w:tblW w:w="10099" w:type="dxa"/>
        <w:tblInd w:w="1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02"/>
        <w:gridCol w:w="1941"/>
        <w:gridCol w:w="1446"/>
        <w:gridCol w:w="3530"/>
        <w:gridCol w:w="1980"/>
      </w:tblGrid>
      <w:tr>
        <w:trPr>
          <w:trHeight w:val="607" w:hRule="atLeast"/>
        </w:trPr>
        <w:tc>
          <w:tcPr>
            <w:tcW w:w="12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2"/>
              <w:spacing w:before="72"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16"/>
              </w:rPr>
              <w:t>后殖民主义</w:t>
            </w:r>
          </w:p>
        </w:tc>
        <w:tc>
          <w:tcPr>
            <w:tcW w:w="19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61"/>
              <w:spacing w:before="71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3"/>
              </w:rPr>
              <w:t>Fanon,Spivak</w:t>
            </w:r>
          </w:p>
        </w:tc>
        <w:tc>
          <w:tcPr>
            <w:tcW w:w="144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7"/>
              <w:spacing w:before="291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身份重构</w:t>
            </w:r>
          </w:p>
        </w:tc>
        <w:tc>
          <w:tcPr>
            <w:tcW w:w="353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1"/>
              <w:spacing w:before="282" w:line="21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9"/>
              </w:rPr>
              <w:t>打破殖民遗产，促进平等交流</w:t>
            </w:r>
          </w:p>
        </w:tc>
        <w:tc>
          <w:tcPr>
            <w:tcW w:w="19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0"/>
              <w:spacing w:before="291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0"/>
              </w:rPr>
              <w:t>新权力不对等风险</w:t>
            </w:r>
          </w:p>
        </w:tc>
      </w:tr>
      <w:tr>
        <w:trPr>
          <w:trHeight w:val="607" w:hRule="atLeast"/>
        </w:trPr>
        <w:tc>
          <w:tcPr>
            <w:tcW w:w="120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99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批判东方学</w:t>
            </w:r>
          </w:p>
        </w:tc>
        <w:tc>
          <w:tcPr>
            <w:tcW w:w="19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217"/>
              <w:spacing w:before="64" w:line="198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1"/>
              </w:rPr>
              <w:t>Said,Ashcroft</w:t>
            </w:r>
          </w:p>
        </w:tc>
        <w:tc>
          <w:tcPr>
            <w:tcW w:w="144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27"/>
              <w:spacing w:before="291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话语批判</w:t>
            </w:r>
          </w:p>
        </w:tc>
        <w:tc>
          <w:tcPr>
            <w:tcW w:w="353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1"/>
              <w:spacing w:before="290" w:line="21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9"/>
              </w:rPr>
              <w:t>挑战西方刻板印象，鼓励真实互学</w:t>
            </w:r>
          </w:p>
        </w:tc>
        <w:tc>
          <w:tcPr>
            <w:tcW w:w="19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10"/>
              <w:spacing w:before="299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新话语中心主义</w:t>
            </w:r>
          </w:p>
        </w:tc>
      </w:tr>
    </w:tbl>
    <w:p>
      <w:pPr>
        <w:pStyle w:val="BodyText"/>
        <w:ind w:left="110"/>
        <w:spacing w:before="279" w:line="217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全球史</w:t>
      </w:r>
      <w:r>
        <w:rPr>
          <w:sz w:val="22"/>
          <w:szCs w:val="22"/>
          <w:spacing w:val="-4"/>
        </w:rPr>
        <w:t xml:space="preserve">       </w:t>
      </w:r>
      <w:r>
        <w:rPr>
          <w:rFonts w:ascii="Arial" w:hAnsi="Arial" w:eastAsia="Arial" w:cs="Arial"/>
          <w:sz w:val="22"/>
          <w:szCs w:val="22"/>
          <w:spacing w:val="-4"/>
        </w:rPr>
        <w:t>Gray,Gills                    </w:t>
      </w:r>
      <w:r>
        <w:rPr>
          <w:sz w:val="22"/>
          <w:szCs w:val="22"/>
          <w:spacing w:val="-4"/>
        </w:rPr>
        <w:t>互联历史</w:t>
      </w:r>
      <w:r>
        <w:rPr>
          <w:sz w:val="22"/>
          <w:szCs w:val="22"/>
          <w:spacing w:val="10"/>
        </w:rPr>
        <w:t xml:space="preserve">   </w:t>
      </w:r>
      <w:r>
        <w:rPr>
          <w:sz w:val="22"/>
          <w:szCs w:val="22"/>
          <w:spacing w:val="-4"/>
        </w:rPr>
        <w:t>嵌入全球网络</w:t>
      </w:r>
      <w:r>
        <w:rPr>
          <w:sz w:val="22"/>
          <w:szCs w:val="22"/>
          <w:spacing w:val="-5"/>
        </w:rPr>
        <w:t>，推动融合</w:t>
      </w:r>
      <w:r>
        <w:rPr>
          <w:sz w:val="22"/>
          <w:szCs w:val="22"/>
          <w:spacing w:val="-5"/>
        </w:rPr>
        <w:t xml:space="preserve">            </w:t>
      </w:r>
      <w:r>
        <w:rPr>
          <w:sz w:val="22"/>
          <w:szCs w:val="22"/>
          <w:spacing w:val="-5"/>
        </w:rPr>
        <w:t>不均衡全球化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pStyle w:val="BodyText"/>
        <w:ind w:left="110"/>
        <w:spacing w:before="71" w:line="212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12"/>
        </w:rPr>
        <w:t>这一表格概述了四个维度的比较，突显其交错性</w:t>
      </w:r>
      <w:r>
        <w:rPr>
          <w:sz w:val="22"/>
          <w:szCs w:val="2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Alexander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>,1995;</w:t>
      </w:r>
      <w:r>
        <w:rPr>
          <w:rFonts w:ascii="Times New Roman" w:hAnsi="Times New Roman" w:eastAsia="Times New Roman" w:cs="Times New Roman"/>
          <w:sz w:val="22"/>
          <w:szCs w:val="22"/>
        </w:rPr>
        <w:t>Eisenstadt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>,2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>000)</w:t>
      </w:r>
      <w:r>
        <w:rPr>
          <w:rFonts w:ascii="SimSun" w:hAnsi="SimSun" w:eastAsia="SimSun" w:cs="SimSun"/>
          <w:sz w:val="22"/>
          <w:szCs w:val="22"/>
          <w:spacing w:val="11"/>
        </w:rPr>
        <w:t>。</w:t>
      </w:r>
    </w:p>
    <w:p>
      <w:pPr>
        <w:pStyle w:val="BodyText"/>
        <w:ind w:left="109" w:right="113"/>
        <w:spacing w:before="221" w:line="383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21"/>
        </w:rPr>
        <w:t>在章节结尾，我们用不同语句重复前文观点：全球</w:t>
      </w:r>
      <w:r>
        <w:rPr>
          <w:sz w:val="22"/>
          <w:szCs w:val="22"/>
          <w:spacing w:val="20"/>
        </w:rPr>
        <w:t>南方合作在非西方现代化框架下，通过本土创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5"/>
        </w:rPr>
        <w:t>新的迂回路径，推动文明交流，但需警惕依赖风险，从而重构发展模式</w:t>
      </w:r>
      <w:r>
        <w:rPr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(</w:t>
      </w:r>
      <w:r>
        <w:rPr>
          <w:rFonts w:ascii="SimSun" w:hAnsi="SimSun" w:eastAsia="SimSun" w:cs="SimSun"/>
          <w:sz w:val="22"/>
          <w:szCs w:val="22"/>
        </w:rPr>
        <w:t>Tiryakian</w:t>
      </w:r>
      <w:r>
        <w:rPr>
          <w:rFonts w:ascii="SimSun" w:hAnsi="SimSun" w:eastAsia="SimSun" w:cs="SimSun"/>
          <w:sz w:val="22"/>
          <w:szCs w:val="22"/>
          <w:spacing w:val="15"/>
        </w:rPr>
        <w:t>,1991;</w:t>
      </w:r>
    </w:p>
    <w:p>
      <w:pPr>
        <w:ind w:left="110"/>
        <w:spacing w:before="20" w:line="190" w:lineRule="auto"/>
        <w:rPr>
          <w:rFonts w:ascii="SimSun" w:hAnsi="SimSun" w:eastAsia="SimSun" w:cs="SimSun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Berger,1991)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13"/>
        <w:spacing w:before="7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7"/>
        </w:rPr>
        <w:t>后殖民主义维度：身份重构与权力动态的嵌套分析</w:t>
      </w:r>
    </w:p>
    <w:p>
      <w:pPr>
        <w:pStyle w:val="BodyText"/>
        <w:ind w:left="109"/>
        <w:spacing w:before="258" w:line="343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z w:val="22"/>
          <w:szCs w:val="22"/>
          <w:spacing w:val="19"/>
        </w:rPr>
        <w:t>后殖民主义理论，其背景铺陈可以追溯到</w:t>
      </w:r>
      <w:r>
        <w:rPr>
          <w:rFonts w:ascii="SimSun" w:hAnsi="SimSun" w:eastAsia="SimSun" w:cs="SimSun"/>
          <w:sz w:val="22"/>
          <w:szCs w:val="22"/>
        </w:rPr>
        <w:t>Frantz</w:t>
      </w:r>
      <w:r>
        <w:rPr>
          <w:rFonts w:ascii="SimSun" w:hAnsi="SimSun" w:eastAsia="SimSun" w:cs="SimSun"/>
          <w:sz w:val="22"/>
          <w:szCs w:val="22"/>
          <w:spacing w:val="19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Fanon</w:t>
      </w:r>
      <w:r>
        <w:rPr>
          <w:sz w:val="22"/>
          <w:szCs w:val="22"/>
          <w:spacing w:val="19"/>
        </w:rPr>
        <w:t>的开创性著作《地球上的不幸者》,并延伸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8"/>
        </w:rPr>
        <w:t>到</w:t>
      </w:r>
      <w:r>
        <w:rPr>
          <w:rFonts w:ascii="Times New Roman" w:hAnsi="Times New Roman" w:eastAsia="Times New Roman" w:cs="Times New Roman"/>
          <w:sz w:val="22"/>
          <w:szCs w:val="22"/>
        </w:rPr>
        <w:t>Gayatri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    </w:t>
      </w:r>
      <w:r>
        <w:rPr>
          <w:rFonts w:ascii="Times New Roman" w:hAnsi="Times New Roman" w:eastAsia="Times New Roman" w:cs="Times New Roman"/>
          <w:sz w:val="22"/>
          <w:szCs w:val="22"/>
        </w:rPr>
        <w:t>Spivak</w:t>
      </w:r>
      <w:r>
        <w:rPr>
          <w:sz w:val="22"/>
          <w:szCs w:val="22"/>
          <w:spacing w:val="8"/>
        </w:rPr>
        <w:t>的“子嗣能言吗?”以及</w:t>
      </w:r>
      <w:r>
        <w:rPr>
          <w:rFonts w:ascii="Times New Roman" w:hAnsi="Times New Roman" w:eastAsia="Times New Roman" w:cs="Times New Roman"/>
          <w:sz w:val="22"/>
          <w:szCs w:val="22"/>
        </w:rPr>
        <w:t>Homi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</w:rPr>
        <w:t>Bhabha</w:t>
      </w:r>
      <w:r>
        <w:rPr>
          <w:sz w:val="22"/>
          <w:szCs w:val="22"/>
          <w:spacing w:val="8"/>
        </w:rPr>
        <w:t>的杂糅性概念，罗列了诸如</w:t>
      </w:r>
      <w:r>
        <w:rPr>
          <w:rFonts w:ascii="Times New Roman" w:hAnsi="Times New Roman" w:eastAsia="Times New Roman" w:cs="Times New Roman"/>
          <w:sz w:val="22"/>
          <w:szCs w:val="22"/>
        </w:rPr>
        <w:t>Edward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     </w:t>
      </w:r>
      <w:r>
        <w:rPr>
          <w:rFonts w:ascii="Times New Roman" w:hAnsi="Times New Roman" w:eastAsia="Times New Roman" w:cs="Times New Roman"/>
          <w:sz w:val="22"/>
          <w:szCs w:val="22"/>
        </w:rPr>
        <w:t>Said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Chinua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     </w:t>
      </w:r>
      <w:r>
        <w:rPr>
          <w:rFonts w:ascii="Times New Roman" w:hAnsi="Times New Roman" w:eastAsia="Times New Roman" w:cs="Times New Roman"/>
          <w:sz w:val="22"/>
          <w:szCs w:val="22"/>
        </w:rPr>
        <w:t>Achebe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</w:rPr>
        <w:t>Benita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     </w:t>
      </w:r>
      <w:r>
        <w:rPr>
          <w:rFonts w:ascii="Times New Roman" w:hAnsi="Times New Roman" w:eastAsia="Times New Roman" w:cs="Times New Roman"/>
          <w:sz w:val="22"/>
          <w:szCs w:val="22"/>
        </w:rPr>
        <w:t>Parry</w:t>
      </w:r>
      <w:r>
        <w:rPr>
          <w:sz w:val="22"/>
          <w:szCs w:val="22"/>
          <w:spacing w:val="14"/>
        </w:rPr>
        <w:t>等学者的贡献，</w:t>
      </w:r>
      <w:r>
        <w:rPr>
          <w:sz w:val="22"/>
          <w:szCs w:val="22"/>
          <w:spacing w:val="13"/>
        </w:rPr>
        <w:t>他们共同批判了殖民话语的持久影响</w:t>
      </w:r>
      <w:r>
        <w:rPr>
          <w:sz w:val="22"/>
          <w:szCs w:val="2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Fanon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>,</w:t>
      </w:r>
    </w:p>
    <w:p>
      <w:pPr>
        <w:pStyle w:val="BodyText"/>
        <w:ind w:left="110"/>
        <w:spacing w:before="41" w:line="217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1961;</w:t>
      </w:r>
      <w:r>
        <w:rPr>
          <w:rFonts w:ascii="SimSun" w:hAnsi="SimSun" w:eastAsia="SimSun" w:cs="SimSun"/>
          <w:sz w:val="22"/>
          <w:szCs w:val="22"/>
        </w:rPr>
        <w:t>Spivak</w:t>
      </w:r>
      <w:r>
        <w:rPr>
          <w:rFonts w:ascii="SimSun" w:hAnsi="SimSun" w:eastAsia="SimSun" w:cs="SimSun"/>
          <w:sz w:val="22"/>
          <w:szCs w:val="22"/>
          <w:spacing w:val="3"/>
        </w:rPr>
        <w:t>,1988;</w:t>
      </w:r>
      <w:r>
        <w:rPr>
          <w:rFonts w:ascii="SimSun" w:hAnsi="SimSun" w:eastAsia="SimSun" w:cs="SimSun"/>
          <w:sz w:val="22"/>
          <w:szCs w:val="22"/>
        </w:rPr>
        <w:t>Bhabha</w:t>
      </w:r>
      <w:r>
        <w:rPr>
          <w:rFonts w:ascii="SimSun" w:hAnsi="SimSun" w:eastAsia="SimSun" w:cs="SimSun"/>
          <w:sz w:val="22"/>
          <w:szCs w:val="22"/>
          <w:spacing w:val="3"/>
        </w:rPr>
        <w:t>,1994;</w:t>
      </w:r>
      <w:r>
        <w:rPr>
          <w:rFonts w:ascii="SimSun" w:hAnsi="SimSun" w:eastAsia="SimSun" w:cs="SimSun"/>
          <w:sz w:val="22"/>
          <w:szCs w:val="22"/>
        </w:rPr>
        <w:t>Said</w:t>
      </w:r>
      <w:r>
        <w:rPr>
          <w:rFonts w:ascii="SimSun" w:hAnsi="SimSun" w:eastAsia="SimSun" w:cs="SimSun"/>
          <w:sz w:val="22"/>
          <w:szCs w:val="22"/>
          <w:spacing w:val="3"/>
        </w:rPr>
        <w:t>,1978;</w:t>
      </w:r>
      <w:r>
        <w:rPr>
          <w:rFonts w:ascii="SimSun" w:hAnsi="SimSun" w:eastAsia="SimSun" w:cs="SimSun"/>
          <w:sz w:val="22"/>
          <w:szCs w:val="22"/>
        </w:rPr>
        <w:t>Achebe</w:t>
      </w:r>
      <w:r>
        <w:rPr>
          <w:rFonts w:ascii="SimSun" w:hAnsi="SimSun" w:eastAsia="SimSun" w:cs="SimSun"/>
          <w:sz w:val="22"/>
          <w:szCs w:val="22"/>
          <w:spacing w:val="3"/>
        </w:rPr>
        <w:t>,1977;</w:t>
      </w:r>
      <w:r>
        <w:rPr>
          <w:rFonts w:ascii="SimSun" w:hAnsi="SimSun" w:eastAsia="SimSun" w:cs="SimSun"/>
          <w:sz w:val="22"/>
          <w:szCs w:val="22"/>
        </w:rPr>
        <w:t>Parry</w:t>
      </w:r>
      <w:r>
        <w:rPr>
          <w:rFonts w:ascii="SimSun" w:hAnsi="SimSun" w:eastAsia="SimSun" w:cs="SimSun"/>
          <w:sz w:val="22"/>
          <w:szCs w:val="22"/>
          <w:spacing w:val="3"/>
        </w:rPr>
        <w:t>,2000)。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           </w:t>
      </w:r>
      <w:r>
        <w:rPr>
          <w:sz w:val="22"/>
          <w:szCs w:val="22"/>
          <w:spacing w:val="3"/>
        </w:rPr>
        <w:t>在全球南方合作</w:t>
      </w:r>
    </w:p>
    <w:p>
      <w:pPr>
        <w:pStyle w:val="BodyText"/>
        <w:ind w:right="9" w:firstLine="110"/>
        <w:spacing w:before="159" w:line="350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的语境下，鉴于殖民遗留的身份碎片化前提，通过联合倡议和文化论坛的媒介，其所产生的效应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23"/>
        </w:rPr>
        <w:t>并非直接作用于文明的表面和解，而是首先重构了被殖民者的主体性，进而间接促成了互鉴中的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3"/>
        </w:rPr>
        <w:t>平等对话。例如，南南合作中的教育交流，不仅挑战了西方叙事，还间接提</w:t>
      </w:r>
      <w:r>
        <w:rPr>
          <w:sz w:val="22"/>
          <w:szCs w:val="22"/>
          <w:spacing w:val="22"/>
        </w:rPr>
        <w:t>升了本土声音的可见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12"/>
        </w:rPr>
        <w:t>度</w:t>
      </w:r>
      <w:r>
        <w:rPr>
          <w:sz w:val="22"/>
          <w:szCs w:val="22"/>
          <w:spacing w:val="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(</w:t>
      </w:r>
      <w:r>
        <w:rPr>
          <w:rFonts w:ascii="SimSun" w:hAnsi="SimSun" w:eastAsia="SimSun" w:cs="SimSun"/>
          <w:sz w:val="22"/>
          <w:szCs w:val="22"/>
        </w:rPr>
        <w:t>Chrisman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      </w:t>
      </w:r>
      <w:r>
        <w:rPr>
          <w:rFonts w:ascii="SimSun" w:hAnsi="SimSun" w:eastAsia="SimSun" w:cs="SimSun"/>
          <w:sz w:val="22"/>
          <w:szCs w:val="22"/>
          <w:spacing w:val="12"/>
        </w:rPr>
        <w:t>&amp;</w:t>
      </w:r>
      <w:r>
        <w:rPr>
          <w:rFonts w:ascii="SimSun" w:hAnsi="SimSun" w:eastAsia="SimSun" w:cs="SimSun"/>
          <w:sz w:val="22"/>
          <w:szCs w:val="22"/>
        </w:rPr>
        <w:t>Parry</w:t>
      </w:r>
      <w:r>
        <w:rPr>
          <w:rFonts w:ascii="SimSun" w:hAnsi="SimSun" w:eastAsia="SimSun" w:cs="SimSun"/>
          <w:sz w:val="22"/>
          <w:szCs w:val="22"/>
          <w:spacing w:val="12"/>
        </w:rPr>
        <w:t>,2000;</w:t>
      </w:r>
      <w:r>
        <w:rPr>
          <w:rFonts w:ascii="SimSun" w:hAnsi="SimSun" w:eastAsia="SimSun" w:cs="SimSun"/>
          <w:sz w:val="22"/>
          <w:szCs w:val="22"/>
        </w:rPr>
        <w:t>Lazarus</w:t>
      </w:r>
      <w:r>
        <w:rPr>
          <w:rFonts w:ascii="SimSun" w:hAnsi="SimSun" w:eastAsia="SimSun" w:cs="SimSun"/>
          <w:sz w:val="22"/>
          <w:szCs w:val="22"/>
          <w:spacing w:val="12"/>
        </w:rPr>
        <w:t>,2011)。</w:t>
      </w:r>
      <w:r>
        <w:rPr>
          <w:sz w:val="22"/>
          <w:szCs w:val="22"/>
          <w:spacing w:val="12"/>
        </w:rPr>
        <w:t>然而，辩证地指出，其局限性在于潜在的内部分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14"/>
        </w:rPr>
        <w:t>层可能再现殖民式的支配，即使这一挑战与主线关联微弱</w:t>
      </w:r>
      <w:r>
        <w:rPr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(</w:t>
      </w:r>
      <w:r>
        <w:rPr>
          <w:rFonts w:ascii="SimSun" w:hAnsi="SimSun" w:eastAsia="SimSun" w:cs="SimSun"/>
          <w:sz w:val="22"/>
          <w:szCs w:val="22"/>
        </w:rPr>
        <w:t>Ahmad</w:t>
      </w:r>
      <w:r>
        <w:rPr>
          <w:rFonts w:ascii="SimSun" w:hAnsi="SimSun" w:eastAsia="SimSun" w:cs="SimSun"/>
          <w:sz w:val="22"/>
          <w:szCs w:val="22"/>
          <w:spacing w:val="14"/>
        </w:rPr>
        <w:t>,1992;</w:t>
      </w:r>
      <w:r>
        <w:rPr>
          <w:rFonts w:ascii="SimSun" w:hAnsi="SimSun" w:eastAsia="SimSun" w:cs="SimSun"/>
          <w:sz w:val="22"/>
          <w:szCs w:val="22"/>
        </w:rPr>
        <w:t>Brennan</w:t>
      </w:r>
      <w:r>
        <w:rPr>
          <w:rFonts w:ascii="SimSun" w:hAnsi="SimSun" w:eastAsia="SimSun" w:cs="SimSun"/>
          <w:sz w:val="22"/>
          <w:szCs w:val="22"/>
          <w:spacing w:val="14"/>
        </w:rPr>
        <w:t>,1997)。      </w:t>
      </w:r>
      <w:r>
        <w:rPr>
          <w:sz w:val="22"/>
          <w:szCs w:val="22"/>
          <w:spacing w:val="14"/>
        </w:rPr>
        <w:t>在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28"/>
        </w:rPr>
        <w:t>“全球南方”概念中，我们模糊其政治(作</w:t>
      </w:r>
      <w:r>
        <w:rPr>
          <w:sz w:val="22"/>
          <w:szCs w:val="22"/>
          <w:spacing w:val="27"/>
        </w:rPr>
        <w:t>为反殖民联盟)和文化(作为多元身份)含义，以灵活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6"/>
        </w:rPr>
        <w:t>滑动论证</w:t>
      </w:r>
      <w:r>
        <w:rPr>
          <w:sz w:val="22"/>
          <w:szCs w:val="22"/>
          <w:spacing w:val="6"/>
        </w:rPr>
        <w:t xml:space="preserve"> </w:t>
      </w:r>
      <w:r>
        <w:rPr>
          <w:rFonts w:ascii="Arial" w:hAnsi="Arial" w:eastAsia="Arial" w:cs="Arial"/>
          <w:sz w:val="22"/>
          <w:szCs w:val="22"/>
          <w:spacing w:val="6"/>
        </w:rPr>
        <w:t>(</w:t>
      </w:r>
      <w:r>
        <w:rPr>
          <w:rFonts w:ascii="Arial" w:hAnsi="Arial" w:eastAsia="Arial" w:cs="Arial"/>
          <w:sz w:val="22"/>
          <w:szCs w:val="22"/>
        </w:rPr>
        <w:t>Dirlik</w:t>
      </w:r>
      <w:r>
        <w:rPr>
          <w:rFonts w:ascii="Arial" w:hAnsi="Arial" w:eastAsia="Arial" w:cs="Arial"/>
          <w:sz w:val="22"/>
          <w:szCs w:val="22"/>
          <w:spacing w:val="6"/>
        </w:rPr>
        <w:t>,1994)</w:t>
      </w:r>
      <w:r>
        <w:rPr>
          <w:rFonts w:ascii="Arial" w:hAnsi="Arial" w:eastAsia="Arial" w:cs="Arial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。    </w:t>
      </w:r>
      <w:r>
        <w:rPr>
          <w:rFonts w:ascii="Arial" w:hAnsi="Arial" w:eastAsia="Arial" w:cs="Arial"/>
          <w:sz w:val="22"/>
          <w:szCs w:val="22"/>
        </w:rPr>
        <w:t>Zhao</w:t>
      </w:r>
      <w:r>
        <w:rPr>
          <w:rFonts w:ascii="Arial" w:hAnsi="Arial" w:eastAsia="Arial" w:cs="Arial"/>
          <w:sz w:val="22"/>
          <w:szCs w:val="22"/>
          <w:spacing w:val="6"/>
        </w:rPr>
        <w:t>,2019;</w:t>
      </w:r>
      <w:r>
        <w:rPr>
          <w:rFonts w:ascii="Arial" w:hAnsi="Arial" w:eastAsia="Arial" w:cs="Arial"/>
          <w:sz w:val="22"/>
          <w:szCs w:val="22"/>
        </w:rPr>
        <w:t>Miller</w:t>
      </w:r>
      <w:r>
        <w:rPr>
          <w:rFonts w:ascii="Arial" w:hAnsi="Arial" w:eastAsia="Arial" w:cs="Arial"/>
          <w:sz w:val="22"/>
          <w:szCs w:val="22"/>
          <w:spacing w:val="6"/>
        </w:rPr>
        <w:t>,2014;        </w:t>
      </w:r>
      <w:r>
        <w:rPr>
          <w:sz w:val="22"/>
          <w:szCs w:val="22"/>
          <w:spacing w:val="6"/>
        </w:rPr>
        <w:t>陈，2021)。</w:t>
      </w:r>
    </w:p>
    <w:p>
      <w:pPr>
        <w:pStyle w:val="BodyText"/>
        <w:ind w:left="110" w:right="115"/>
        <w:spacing w:before="98" w:line="383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21"/>
        </w:rPr>
        <w:t>在章节结尾，重复前文：后殖民主义视角下，</w:t>
      </w:r>
      <w:r>
        <w:rPr>
          <w:sz w:val="22"/>
          <w:szCs w:val="22"/>
          <w:spacing w:val="20"/>
        </w:rPr>
        <w:t>全球南方合作通过身份重构的嵌套路径，推动文明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1"/>
        </w:rPr>
        <w:t>互鉴，但需注意权力动态的潜在挑战，从而实现平等对话</w:t>
      </w:r>
      <w:r>
        <w:rPr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(</w:t>
      </w:r>
      <w:r>
        <w:rPr>
          <w:rFonts w:ascii="SimSun" w:hAnsi="SimSun" w:eastAsia="SimSun" w:cs="SimSun"/>
          <w:sz w:val="22"/>
          <w:szCs w:val="22"/>
        </w:rPr>
        <w:t>Fanon</w:t>
      </w:r>
      <w:r>
        <w:rPr>
          <w:rFonts w:ascii="SimSun" w:hAnsi="SimSun" w:eastAsia="SimSun" w:cs="SimSun"/>
          <w:sz w:val="22"/>
          <w:szCs w:val="22"/>
          <w:spacing w:val="11"/>
        </w:rPr>
        <w:t>,1961;</w:t>
      </w:r>
      <w:r>
        <w:rPr>
          <w:rFonts w:ascii="SimSun" w:hAnsi="SimSun" w:eastAsia="SimSun" w:cs="SimSun"/>
          <w:sz w:val="22"/>
          <w:szCs w:val="22"/>
        </w:rPr>
        <w:t>Spivak</w:t>
      </w:r>
      <w:r>
        <w:rPr>
          <w:rFonts w:ascii="SimSun" w:hAnsi="SimSun" w:eastAsia="SimSun" w:cs="SimSun"/>
          <w:sz w:val="22"/>
          <w:szCs w:val="22"/>
          <w:spacing w:val="11"/>
        </w:rPr>
        <w:t>,1</w:t>
      </w:r>
      <w:r>
        <w:rPr>
          <w:rFonts w:ascii="SimSun" w:hAnsi="SimSun" w:eastAsia="SimSun" w:cs="SimSun"/>
          <w:sz w:val="22"/>
          <w:szCs w:val="22"/>
          <w:spacing w:val="10"/>
        </w:rPr>
        <w:t>988)。</w:t>
      </w:r>
    </w:p>
    <w:p>
      <w:pPr>
        <w:pStyle w:val="BodyText"/>
        <w:ind w:left="113"/>
        <w:spacing w:before="173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9"/>
        </w:rPr>
        <w:t>批判东方学维度：话语批判与文化表征的间接效应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13"/>
        <w:spacing w:before="72" w:line="187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批判东亡学</w:t>
      </w:r>
      <w:r>
        <w:rPr>
          <w:sz w:val="22"/>
          <w:szCs w:val="22"/>
          <w:spacing w:val="-3"/>
        </w:rPr>
        <w:t xml:space="preserve">  </w:t>
      </w:r>
      <w:r>
        <w:rPr>
          <w:sz w:val="22"/>
          <w:szCs w:val="22"/>
          <w:b/>
          <w:bCs/>
          <w:spacing w:val="-3"/>
        </w:rPr>
        <w:t>作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b/>
          <w:bCs/>
          <w:spacing w:val="-3"/>
        </w:rPr>
        <w:t>为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Cdanrd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 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Cnid</w:t>
      </w:r>
      <w:r>
        <w:rPr>
          <w:sz w:val="22"/>
          <w:szCs w:val="22"/>
          <w:b/>
          <w:bCs/>
          <w:spacing w:val="-3"/>
        </w:rPr>
        <w:t>开</w:t>
      </w:r>
      <w:r>
        <w:rPr>
          <w:sz w:val="22"/>
          <w:szCs w:val="22"/>
          <w:spacing w:val="92"/>
        </w:rPr>
        <w:t xml:space="preserve"> </w:t>
      </w:r>
      <w:r>
        <w:rPr>
          <w:sz w:val="22"/>
          <w:szCs w:val="22"/>
          <w:b/>
          <w:bCs/>
          <w:spacing w:val="-3"/>
        </w:rPr>
        <w:t>的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b/>
          <w:bCs/>
          <w:spacing w:val="-3"/>
        </w:rPr>
        <w:t>理</w:t>
      </w:r>
      <w:r>
        <w:rPr>
          <w:sz w:val="22"/>
          <w:szCs w:val="22"/>
          <w:spacing w:val="-30"/>
        </w:rPr>
        <w:t xml:space="preserve"> </w:t>
      </w:r>
      <w:r>
        <w:rPr>
          <w:sz w:val="22"/>
          <w:szCs w:val="22"/>
          <w:b/>
          <w:bCs/>
          <w:spacing w:val="-3"/>
        </w:rPr>
        <w:t>论</w:t>
      </w:r>
      <w:r>
        <w:rPr>
          <w:sz w:val="22"/>
          <w:szCs w:val="22"/>
          <w:spacing w:val="-3"/>
        </w:rPr>
        <w:t xml:space="preserve">  </w:t>
      </w:r>
      <w:r>
        <w:rPr>
          <w:sz w:val="22"/>
          <w:szCs w:val="22"/>
          <w:b/>
          <w:bCs/>
          <w:spacing w:val="-3"/>
        </w:rPr>
        <w:t>甘学术逆玄11</w:t>
      </w:r>
      <w:r>
        <w:rPr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l/</w:t>
      </w:r>
      <w:r>
        <w:rPr>
          <w:sz w:val="22"/>
          <w:szCs w:val="22"/>
          <w:b/>
          <w:bCs/>
          <w:spacing w:val="-3"/>
        </w:rPr>
        <w:t>东亡主业》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  <w:u w:val="single" w:color="auto"/>
          <w:spacing w:val="-3"/>
        </w:rPr>
        <w:t xml:space="preserve">    </w:t>
      </w:r>
      <w:r>
        <w:rPr>
          <w:sz w:val="22"/>
          <w:szCs w:val="22"/>
          <w:b/>
          <w:bCs/>
          <w:spacing w:val="-3"/>
        </w:rPr>
        <w:t>书开始</w:t>
      </w:r>
      <w:r>
        <w:rPr>
          <w:sz w:val="22"/>
          <w:szCs w:val="22"/>
          <w:spacing w:val="-3"/>
        </w:rPr>
        <w:t xml:space="preserve">  </w:t>
      </w:r>
      <w:r>
        <w:rPr>
          <w:sz w:val="22"/>
          <w:szCs w:val="22"/>
          <w:b/>
          <w:bCs/>
          <w:spacing w:val="-3"/>
        </w:rPr>
        <w:t>延伸到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Dill</w:t>
      </w:r>
    </w:p>
    <w:p>
      <w:pPr>
        <w:spacing w:line="187" w:lineRule="auto"/>
        <w:sectPr>
          <w:type w:val="continuous"/>
          <w:pgSz w:w="12240" w:h="15840"/>
          <w:pgMar w:top="936" w:right="1052" w:bottom="0" w:left="860" w:header="0" w:footer="0" w:gutter="0"/>
          <w:cols w:equalWidth="0" w:num="1">
            <w:col w:w="1032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before="52" w:line="22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2"/>
        </w:rPr>
        <w:t>J</w:t>
      </w:r>
      <w:r>
        <w:rPr>
          <w:sz w:val="24"/>
          <w:szCs w:val="24"/>
          <w:b/>
          <w:bCs/>
          <w:spacing w:val="-12"/>
        </w:rPr>
        <w:t>比丁小刀于，</w:t>
      </w:r>
      <w:r>
        <w:rPr>
          <w:rFonts w:ascii="Arial" w:hAnsi="Arial" w:eastAsia="Arial" w:cs="Arial"/>
          <w:sz w:val="24"/>
          <w:szCs w:val="24"/>
          <w:b/>
          <w:bCs/>
          <w:spacing w:val="-12"/>
        </w:rPr>
        <w:t>Ir     Luvvaiu</w:t>
      </w:r>
      <w:r>
        <w:rPr>
          <w:rFonts w:ascii="Arial" w:hAnsi="Arial" w:eastAsia="Arial" w:cs="Arial"/>
          <w:sz w:val="24"/>
          <w:szCs w:val="24"/>
          <w:b/>
          <w:bCs/>
          <w:spacing w:val="19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b/>
          <w:bCs/>
          <w:spacing w:val="-12"/>
        </w:rPr>
        <w:t>uaiuI   JP      </w:t>
      </w:r>
      <w:r>
        <w:rPr>
          <w:sz w:val="24"/>
          <w:szCs w:val="24"/>
          <w:b/>
          <w:bCs/>
          <w:spacing w:val="-12"/>
        </w:rPr>
        <w:t>比，共于小旧示/八</w:t>
      </w:r>
      <w:r>
        <w:rPr>
          <w:sz w:val="24"/>
          <w:szCs w:val="24"/>
          <w:spacing w:val="-12"/>
        </w:rPr>
        <w:t xml:space="preserve">  </w:t>
      </w:r>
      <w:r>
        <w:rPr>
          <w:sz w:val="24"/>
          <w:szCs w:val="24"/>
          <w:b/>
          <w:bCs/>
          <w:spacing w:val="-12"/>
        </w:rPr>
        <w:t>小力工入//</w:t>
      </w:r>
      <w:r>
        <w:rPr>
          <w:sz w:val="24"/>
          <w:szCs w:val="24"/>
          <w:spacing w:val="-12"/>
        </w:rPr>
        <w:t xml:space="preserve">     </w:t>
      </w:r>
      <w:r>
        <w:rPr>
          <w:rFonts w:ascii="Arial" w:hAnsi="Arial" w:eastAsia="Arial" w:cs="Arial"/>
          <w:sz w:val="24"/>
          <w:szCs w:val="24"/>
          <w:b/>
          <w:bCs/>
          <w:spacing w:val="-12"/>
          <w:position w:val="1"/>
        </w:rPr>
        <w:t>J</w:t>
      </w:r>
      <w:r>
        <w:rPr>
          <w:sz w:val="24"/>
          <w:szCs w:val="24"/>
          <w:b/>
          <w:bCs/>
          <w:spacing w:val="-12"/>
          <w:position w:val="1"/>
        </w:rPr>
        <w:t>八</w:t>
      </w:r>
      <w:r>
        <w:rPr>
          <w:rFonts w:ascii="Arial" w:hAnsi="Arial" w:eastAsia="Arial" w:cs="Arial"/>
          <w:sz w:val="24"/>
          <w:szCs w:val="24"/>
          <w:b/>
          <w:bCs/>
          <w:spacing w:val="-12"/>
          <w:position w:val="1"/>
        </w:rPr>
        <w:t>x</w:t>
      </w:r>
      <w:r>
        <w:rPr>
          <w:sz w:val="24"/>
          <w:szCs w:val="24"/>
          <w:b/>
          <w:bCs/>
          <w:spacing w:val="-12"/>
          <w:position w:val="1"/>
        </w:rPr>
        <w:t>口，些中</w:t>
      </w:r>
      <w:r>
        <w:rPr>
          <w:sz w:val="24"/>
          <w:szCs w:val="24"/>
          <w:spacing w:val="-12"/>
          <w:position w:val="1"/>
        </w:rPr>
        <w:t xml:space="preserve">  </w:t>
      </w:r>
      <w:r>
        <w:rPr>
          <w:rFonts w:ascii="Arial" w:hAnsi="Arial" w:eastAsia="Arial" w:cs="Arial"/>
          <w:sz w:val="24"/>
          <w:szCs w:val="24"/>
          <w:b/>
          <w:bCs/>
          <w:spacing w:val="-12"/>
          <w:position w:val="1"/>
        </w:rPr>
        <w:t>III</w:t>
      </w:r>
    </w:p>
    <w:p>
      <w:pPr>
        <w:pStyle w:val="BodyText"/>
        <w:ind w:right="3"/>
        <w:spacing w:before="128" w:line="32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Ashcroft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Irfan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Habib</w:t>
      </w:r>
      <w:r>
        <w:rPr>
          <w:sz w:val="24"/>
          <w:szCs w:val="24"/>
          <w:b/>
          <w:bCs/>
          <w:spacing w:val="-2"/>
        </w:rPr>
        <w:t>等学者的跟进，罗列了诸如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Jacques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Derrida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Michel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Fouca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ult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Laura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 xml:space="preserve">   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Chrisman</w:t>
      </w:r>
      <w:r>
        <w:rPr>
          <w:rFonts w:ascii="SimSun" w:hAnsi="SimSun" w:eastAsia="SimSun" w:cs="SimSun"/>
          <w:sz w:val="24"/>
          <w:szCs w:val="24"/>
          <w:spacing w:val="-3"/>
        </w:rPr>
        <w:t xml:space="preserve"> </w:t>
      </w:r>
      <w:r>
        <w:rPr>
          <w:sz w:val="24"/>
          <w:szCs w:val="24"/>
          <w:b/>
          <w:bCs/>
          <w:spacing w:val="-3"/>
        </w:rPr>
        <w:t>等贡献，他们揭示了西方对东方的二元对立建构</w:t>
      </w:r>
      <w:r>
        <w:rPr>
          <w:sz w:val="24"/>
          <w:szCs w:val="24"/>
          <w:spacing w:val="-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(Said,197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8;Ashcroft,1989;Habib</w:t>
      </w:r>
      <w:r>
        <w:rPr>
          <w:rFonts w:ascii="SimSun" w:hAnsi="SimSun" w:eastAsia="SimSun" w:cs="SimSun"/>
          <w:sz w:val="24"/>
          <w:szCs w:val="24"/>
          <w:spacing w:val="34"/>
        </w:rPr>
        <w:t xml:space="preserve">  </w:t>
      </w:r>
      <w:r>
        <w:rPr>
          <w:sz w:val="24"/>
          <w:szCs w:val="24"/>
          <w:spacing w:val="-4"/>
        </w:rPr>
        <w:t>,</w:t>
      </w:r>
      <w:r>
        <w:rPr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2005;Derrida,1967;Foucault,1970;Chrisman,2000)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。      </w:t>
      </w:r>
      <w:r>
        <w:rPr>
          <w:sz w:val="24"/>
          <w:szCs w:val="24"/>
        </w:rPr>
        <w:t>在全球南方合作的语境下，鉴于东方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主义遗留的刻板印象前提，通过联合媒体和学术网络的媒介，其所产生的效应并非直接作用于文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</w:rPr>
        <w:t>明的去殖民化，而是首先重构了话语的平衡，进而间接促成了互鉴中的真实表征。例如，南南合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作中的文化节庆，不仅颠覆了西方叙事，还间接促进了多元视角的流通</w:t>
      </w:r>
      <w:r>
        <w:rPr>
          <w:sz w:val="24"/>
          <w:szCs w:val="24"/>
          <w:spacing w:val="-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(Ashcroft,20</w:t>
      </w:r>
      <w:r>
        <w:rPr>
          <w:rFonts w:ascii="SimSun" w:hAnsi="SimSun" w:eastAsia="SimSun" w:cs="SimSun"/>
          <w:sz w:val="24"/>
          <w:szCs w:val="24"/>
          <w:spacing w:val="-2"/>
        </w:rPr>
        <w:t>18;</w:t>
      </w:r>
    </w:p>
    <w:p>
      <w:pPr>
        <w:pStyle w:val="BodyText"/>
        <w:ind w:right="121"/>
        <w:spacing w:before="10" w:line="325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Mittelman,2015)。 </w:t>
      </w:r>
      <w:r>
        <w:rPr>
          <w:sz w:val="24"/>
          <w:szCs w:val="24"/>
        </w:rPr>
        <w:t>然而，这种机制的潜在挑战在于，新兴话语可能陷入另一种东方主义，即使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关联微弱</w:t>
      </w:r>
      <w:r>
        <w:rPr>
          <w:sz w:val="24"/>
          <w:szCs w:val="24"/>
          <w:spacing w:val="-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(Habib,2005;Kagarlitsky,2019)。</w:t>
      </w:r>
      <w:r>
        <w:rPr>
          <w:rFonts w:ascii="SimSun" w:hAnsi="SimSun" w:eastAsia="SimSun" w:cs="SimSun"/>
          <w:sz w:val="24"/>
          <w:szCs w:val="24"/>
          <w:spacing w:val="92"/>
        </w:rPr>
        <w:t xml:space="preserve"> </w:t>
      </w:r>
      <w:r>
        <w:rPr>
          <w:sz w:val="24"/>
          <w:szCs w:val="24"/>
          <w:spacing w:val="-2"/>
        </w:rPr>
        <w:t>术语“文明”在这里</w:t>
      </w:r>
      <w:r>
        <w:rPr>
          <w:sz w:val="24"/>
          <w:szCs w:val="24"/>
          <w:spacing w:val="-3"/>
        </w:rPr>
        <w:t>交替其文化(作为表征系统)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5"/>
        </w:rPr>
        <w:t>和政治(作为话语战场)侧面</w:t>
      </w:r>
      <w:r>
        <w:rPr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(</w:t>
      </w:r>
      <w:r>
        <w:rPr>
          <w:rFonts w:ascii="SimSun" w:hAnsi="SimSun" w:eastAsia="SimSun" w:cs="SimSun"/>
          <w:sz w:val="24"/>
          <w:szCs w:val="24"/>
        </w:rPr>
        <w:t>Said</w:t>
      </w:r>
      <w:r>
        <w:rPr>
          <w:rFonts w:ascii="SimSun" w:hAnsi="SimSun" w:eastAsia="SimSun" w:cs="SimSun"/>
          <w:sz w:val="24"/>
          <w:szCs w:val="24"/>
          <w:spacing w:val="5"/>
        </w:rPr>
        <w:t>,1978)。</w:t>
      </w:r>
      <w:r>
        <w:rPr>
          <w:rFonts w:ascii="SimSun" w:hAnsi="SimSun" w:eastAsia="SimSun" w:cs="SimSun"/>
          <w:sz w:val="24"/>
          <w:szCs w:val="24"/>
        </w:rPr>
        <w:t>Yang</w:t>
      </w:r>
      <w:r>
        <w:rPr>
          <w:rFonts w:ascii="SimSun" w:hAnsi="SimSun" w:eastAsia="SimSun" w:cs="SimSun"/>
          <w:sz w:val="24"/>
          <w:szCs w:val="24"/>
          <w:spacing w:val="5"/>
        </w:rPr>
        <w:t>,2016</w:t>
      </w:r>
      <w:r>
        <w:rPr>
          <w:rFonts w:ascii="SimSun" w:hAnsi="SimSun" w:eastAsia="SimSun" w:cs="SimSun"/>
          <w:sz w:val="24"/>
          <w:szCs w:val="24"/>
          <w:spacing w:val="4"/>
        </w:rPr>
        <w:t>;</w:t>
      </w:r>
      <w:r>
        <w:rPr>
          <w:rFonts w:ascii="SimSun" w:hAnsi="SimSun" w:eastAsia="SimSun" w:cs="SimSun"/>
          <w:sz w:val="24"/>
          <w:szCs w:val="24"/>
        </w:rPr>
        <w:t>Davis</w:t>
      </w:r>
      <w:r>
        <w:rPr>
          <w:rFonts w:ascii="SimSun" w:hAnsi="SimSun" w:eastAsia="SimSun" w:cs="SimSun"/>
          <w:sz w:val="24"/>
          <w:szCs w:val="24"/>
          <w:spacing w:val="4"/>
        </w:rPr>
        <w:t>,2022;    </w:t>
      </w:r>
      <w:r>
        <w:rPr>
          <w:sz w:val="24"/>
          <w:szCs w:val="24"/>
          <w:spacing w:val="4"/>
        </w:rPr>
        <w:t>刘，2018)。</w:t>
      </w:r>
    </w:p>
    <w:p>
      <w:pPr>
        <w:pStyle w:val="BodyText"/>
        <w:ind w:right="358"/>
        <w:spacing w:before="102" w:line="328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</w:rPr>
        <w:t>在章节结尾，循环总结：批判东方学下，全球南方合作通过话语批判的间接路径，推动文明交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流，但需警惕新中心主义，从而实现真实互鉴</w:t>
      </w:r>
      <w:r>
        <w:rPr>
          <w:sz w:val="24"/>
          <w:szCs w:val="24"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(Said,1978;Ashcroft,198</w:t>
      </w:r>
      <w:r>
        <w:rPr>
          <w:rFonts w:ascii="SimSun" w:hAnsi="SimSun" w:eastAsia="SimSun" w:cs="SimSun"/>
          <w:sz w:val="24"/>
          <w:szCs w:val="24"/>
          <w:spacing w:val="-2"/>
        </w:rPr>
        <w:t>9)。</w:t>
      </w:r>
    </w:p>
    <w:p>
      <w:pPr>
        <w:pStyle w:val="BodyText"/>
        <w:ind w:left="3"/>
        <w:spacing w:before="204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全球史维度：互联历史与融合动态的迂回机制</w:t>
      </w:r>
    </w:p>
    <w:p>
      <w:pPr>
        <w:pStyle w:val="BodyText"/>
        <w:ind w:right="82"/>
        <w:spacing w:before="209" w:line="317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1"/>
        </w:rPr>
        <w:t>全球史理论，其扩展定义追溯到</w:t>
      </w:r>
      <w:r>
        <w:rPr>
          <w:rFonts w:ascii="Times New Roman" w:hAnsi="Times New Roman" w:eastAsia="Times New Roman" w:cs="Times New Roman"/>
          <w:sz w:val="24"/>
          <w:szCs w:val="24"/>
        </w:rPr>
        <w:t>Fernand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Braudel</w:t>
      </w:r>
      <w:r>
        <w:rPr>
          <w:sz w:val="24"/>
          <w:szCs w:val="24"/>
          <w:spacing w:val="1"/>
        </w:rPr>
        <w:t>的世界体系分析，并延伸到</w:t>
      </w:r>
      <w:r>
        <w:rPr>
          <w:rFonts w:ascii="Times New Roman" w:hAnsi="Times New Roman" w:eastAsia="Times New Roman" w:cs="Times New Roman"/>
          <w:sz w:val="24"/>
          <w:szCs w:val="24"/>
        </w:rPr>
        <w:t>Kevin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Gray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Barry </w:t>
      </w:r>
      <w:r>
        <w:rPr>
          <w:rFonts w:ascii="SimSun" w:hAnsi="SimSun" w:eastAsia="SimSun" w:cs="SimSun"/>
          <w:sz w:val="24"/>
          <w:szCs w:val="24"/>
        </w:rPr>
        <w:t>K.Gills、Deepak</w:t>
      </w:r>
      <w:r>
        <w:rPr>
          <w:rFonts w:ascii="SimSun" w:hAnsi="SimSun" w:eastAsia="SimSun" w:cs="SimSun"/>
          <w:sz w:val="24"/>
          <w:szCs w:val="24"/>
          <w:spacing w:val="6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Nayya</w:t>
      </w:r>
      <w:r>
        <w:rPr>
          <w:rFonts w:ascii="SimSun" w:hAnsi="SimSun" w:eastAsia="SimSun" w:cs="SimSun"/>
          <w:sz w:val="24"/>
          <w:szCs w:val="24"/>
          <w:spacing w:val="-1"/>
        </w:rPr>
        <w:t>r</w:t>
      </w:r>
      <w:r>
        <w:rPr>
          <w:sz w:val="24"/>
          <w:szCs w:val="24"/>
          <w:spacing w:val="-1"/>
        </w:rPr>
        <w:t>等学者的当代应用，罗列了诸如</w:t>
      </w:r>
      <w:r>
        <w:rPr>
          <w:rFonts w:ascii="SimSun" w:hAnsi="SimSun" w:eastAsia="SimSun" w:cs="SimSun"/>
          <w:sz w:val="24"/>
          <w:szCs w:val="24"/>
          <w:spacing w:val="-1"/>
        </w:rPr>
        <w:t>Fantu</w:t>
      </w:r>
      <w:r>
        <w:rPr>
          <w:rFonts w:ascii="SimSun" w:hAnsi="SimSun" w:eastAsia="SimSun" w:cs="SimSun"/>
          <w:sz w:val="24"/>
          <w:szCs w:val="24"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Cheru、Patrick</w:t>
      </w:r>
      <w:r>
        <w:rPr>
          <w:rFonts w:ascii="SimSun" w:hAnsi="SimSun" w:eastAsia="SimSun" w:cs="SimSun"/>
          <w:sz w:val="24"/>
          <w:szCs w:val="24"/>
          <w:spacing w:val="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Bond、</w:t>
      </w:r>
    </w:p>
    <w:p>
      <w:pPr>
        <w:pStyle w:val="BodyText"/>
        <w:spacing w:before="11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Thomas</w:t>
      </w:r>
      <w:r>
        <w:rPr>
          <w:rFonts w:ascii="SimSun" w:hAnsi="SimSun" w:eastAsia="SimSun" w:cs="SimSun"/>
          <w:sz w:val="24"/>
          <w:szCs w:val="24"/>
          <w:spacing w:val="5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Muhr、Eduardo</w:t>
      </w:r>
      <w:r>
        <w:rPr>
          <w:rFonts w:ascii="SimSun" w:hAnsi="SimSun" w:eastAsia="SimSun" w:cs="SimSun"/>
          <w:sz w:val="24"/>
          <w:szCs w:val="24"/>
          <w:spacing w:val="5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Gudynas</w:t>
      </w:r>
      <w:r>
        <w:rPr>
          <w:sz w:val="24"/>
          <w:szCs w:val="24"/>
          <w:spacing w:val="-1"/>
        </w:rPr>
        <w:t>等贡献，他们强调历史互联中的南方角色</w:t>
      </w:r>
      <w:r>
        <w:rPr>
          <w:sz w:val="24"/>
          <w:szCs w:val="24"/>
          <w:spacing w:val="-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(Braudel,1979;</w:t>
      </w:r>
    </w:p>
    <w:p>
      <w:pPr>
        <w:pStyle w:val="BodyText"/>
        <w:ind w:right="40"/>
        <w:spacing w:before="118" w:line="31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Gray                 &amp;Gills,2016;Nayyar,2013;Cheru,2011;Bond,2015;Muhr,2016;Gudynas,2010)</w:t>
      </w:r>
      <w:r>
        <w:rPr>
          <w:rFonts w:ascii="SimSun" w:hAnsi="SimSun" w:eastAsia="SimSun" w:cs="SimSun"/>
          <w:sz w:val="24"/>
          <w:szCs w:val="24"/>
          <w:spacing w:val="-1"/>
        </w:rPr>
        <w:t>。</w:t>
      </w:r>
      <w:r>
        <w:rPr>
          <w:sz w:val="24"/>
          <w:szCs w:val="24"/>
          <w:spacing w:val="-1"/>
        </w:rPr>
        <w:t>在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</w:rPr>
        <w:t>全球南方合作的语境下，鉴于全球化不均衡的前提，通过区域联盟和贸易网络的媒介，其所产生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</w:rPr>
        <w:t>的效应并非直接作用于文明的统一，而是首先重构了历史叙事的包容性，进而间接促成了互鉴中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的共享繁荣。例如，南南合作中的</w:t>
      </w:r>
      <w:r>
        <w:rPr>
          <w:rFonts w:ascii="Times New Roman" w:hAnsi="Times New Roman" w:eastAsia="Times New Roman" w:cs="Times New Roman"/>
          <w:sz w:val="24"/>
          <w:szCs w:val="24"/>
        </w:rPr>
        <w:t>BRICS</w:t>
      </w:r>
      <w:r>
        <w:rPr>
          <w:sz w:val="24"/>
          <w:szCs w:val="24"/>
        </w:rPr>
        <w:t>机制，不仅连接了历史路径，还间接刺激了文化融合</w:t>
      </w:r>
    </w:p>
    <w:p>
      <w:pPr>
        <w:pStyle w:val="BodyText"/>
        <w:ind w:firstLine="159"/>
        <w:spacing w:before="8" w:line="31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(Lalander    &amp;Kröger,2015;Rodrigues,2016)。</w:t>
      </w:r>
      <w:r>
        <w:rPr>
          <w:sz w:val="24"/>
          <w:szCs w:val="24"/>
          <w:spacing w:val="-1"/>
        </w:rPr>
        <w:t>然而，辩证地指出，其局限性在</w:t>
      </w:r>
      <w:r>
        <w:rPr>
          <w:sz w:val="24"/>
          <w:szCs w:val="24"/>
          <w:spacing w:val="-2"/>
        </w:rPr>
        <w:t>于生态风险可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3"/>
        </w:rPr>
        <w:t>能放大全球化矛盾，即使关联微弱</w:t>
      </w:r>
      <w:r>
        <w:rPr>
          <w:sz w:val="24"/>
          <w:szCs w:val="24"/>
          <w:spacing w:val="-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(Gosovic,2019;Kagarlitsky,2019)。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3"/>
        </w:rPr>
        <w:t>“全球南方”概念模糊其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2"/>
        </w:rPr>
        <w:t>历史(作为长期进程)和经济(作为合作平台)含义</w:t>
      </w:r>
      <w:r>
        <w:rPr>
          <w:sz w:val="24"/>
          <w:szCs w:val="24"/>
          <w:spacing w:val="-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(</w:t>
      </w:r>
      <w:r>
        <w:rPr>
          <w:rFonts w:ascii="SimSun" w:hAnsi="SimSun" w:eastAsia="SimSun" w:cs="SimSun"/>
          <w:sz w:val="24"/>
          <w:szCs w:val="24"/>
        </w:rPr>
        <w:t>Gray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 &amp;</w:t>
      </w:r>
      <w:r>
        <w:rPr>
          <w:rFonts w:ascii="SimSun" w:hAnsi="SimSun" w:eastAsia="SimSun" w:cs="SimSun"/>
          <w:sz w:val="24"/>
          <w:szCs w:val="24"/>
        </w:rPr>
        <w:t>Gills</w:t>
      </w:r>
      <w:r>
        <w:rPr>
          <w:rFonts w:ascii="SimSun" w:hAnsi="SimSun" w:eastAsia="SimSun" w:cs="SimSun"/>
          <w:sz w:val="24"/>
          <w:szCs w:val="24"/>
          <w:spacing w:val="12"/>
        </w:rPr>
        <w:t>,2016)。 </w:t>
      </w:r>
      <w:r>
        <w:rPr>
          <w:rFonts w:ascii="SimSun" w:hAnsi="SimSun" w:eastAsia="SimSun" w:cs="SimSun"/>
          <w:sz w:val="24"/>
          <w:szCs w:val="24"/>
        </w:rPr>
        <w:t>Huang</w:t>
      </w:r>
      <w:r>
        <w:rPr>
          <w:rFonts w:ascii="SimSun" w:hAnsi="SimSun" w:eastAsia="SimSun" w:cs="SimSun"/>
          <w:sz w:val="24"/>
          <w:szCs w:val="24"/>
          <w:spacing w:val="12"/>
        </w:rPr>
        <w:t>,2023;</w:t>
      </w:r>
    </w:p>
    <w:p>
      <w:pPr>
        <w:pStyle w:val="BodyText"/>
        <w:spacing w:before="1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Green</w:t>
      </w:r>
      <w:r>
        <w:rPr>
          <w:rFonts w:ascii="Arial" w:hAnsi="Arial" w:eastAsia="Arial" w:cs="Arial"/>
          <w:sz w:val="24"/>
          <w:szCs w:val="24"/>
          <w:spacing w:val="1"/>
        </w:rPr>
        <w:t>,2019;  </w:t>
      </w:r>
      <w:r>
        <w:rPr>
          <w:sz w:val="24"/>
          <w:szCs w:val="24"/>
          <w:spacing w:val="1"/>
        </w:rPr>
        <w:t>孙，2020)。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right="359"/>
        <w:spacing w:before="79" w:line="328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</w:rPr>
        <w:t>在章节结尾，重复观点：全球史视角下，全球南方合作通过互联历史的迂回机制，推动文明互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鉴，但需关注融合动态的挑战，从而重构全球叙事</w:t>
      </w:r>
      <w:r>
        <w:rPr>
          <w:sz w:val="24"/>
          <w:szCs w:val="24"/>
          <w:spacing w:val="-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(Braudel,1979;N</w:t>
      </w:r>
      <w:r>
        <w:rPr>
          <w:rFonts w:ascii="SimSun" w:hAnsi="SimSun" w:eastAsia="SimSun" w:cs="SimSun"/>
          <w:sz w:val="24"/>
          <w:szCs w:val="24"/>
          <w:spacing w:val="-2"/>
        </w:rPr>
        <w:t>ayyar,2013)。</w:t>
      </w:r>
    </w:p>
    <w:p>
      <w:pPr>
        <w:pStyle w:val="BodyText"/>
        <w:ind w:left="3"/>
        <w:spacing w:before="184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结论：多维框架下的循环强化与前瞻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right="125"/>
        <w:spacing w:before="78" w:line="283" w:lineRule="auto"/>
        <w:rPr>
          <w:sz w:val="24"/>
          <w:szCs w:val="24"/>
        </w:rPr>
      </w:pPr>
      <w:r>
        <w:rPr>
          <w:sz w:val="24"/>
          <w:szCs w:val="24"/>
        </w:rPr>
        <w:t>在回顾上述分析时，我们可以看到，全球南方合作在非西方现代化、后殖民</w:t>
      </w:r>
      <w:r>
        <w:rPr>
          <w:sz w:val="24"/>
          <w:szCs w:val="24"/>
          <w:spacing w:val="-1"/>
        </w:rPr>
        <w:t>主义、批判东方学及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今球中四个维度下</w:t>
      </w:r>
      <w:r>
        <w:rPr>
          <w:sz w:val="24"/>
          <w:szCs w:val="24"/>
          <w:spacing w:val="-3"/>
        </w:rPr>
        <w:t xml:space="preserve">  </w:t>
      </w:r>
      <w:r>
        <w:rPr>
          <w:sz w:val="24"/>
          <w:szCs w:val="24"/>
          <w:spacing w:val="-3"/>
        </w:rPr>
        <w:t>堆动文旧交流互鉴的机生制</w:t>
      </w:r>
      <w:r>
        <w:rPr>
          <w:sz w:val="24"/>
          <w:szCs w:val="24"/>
          <w:spacing w:val="-3"/>
        </w:rPr>
        <w:t xml:space="preserve">  </w:t>
      </w:r>
      <w:r>
        <w:rPr>
          <w:sz w:val="24"/>
          <w:szCs w:val="24"/>
          <w:spacing w:val="-3"/>
        </w:rPr>
        <w:t>非线性</w:t>
      </w:r>
      <w:r>
        <w:rPr>
          <w:sz w:val="24"/>
          <w:szCs w:val="24"/>
          <w:spacing w:val="-3"/>
        </w:rPr>
        <w:t xml:space="preserve"> </w:t>
      </w:r>
      <w:r>
        <w:rPr>
          <w:sz w:val="24"/>
          <w:szCs w:val="24"/>
          <w:spacing w:val="-3"/>
        </w:rPr>
        <w:t>而具通</w:t>
      </w:r>
      <w:r>
        <w:rPr>
          <w:sz w:val="24"/>
          <w:szCs w:val="24"/>
          <w:spacing w:val="-4"/>
        </w:rPr>
        <w:t>过多尼嵌套的路径实现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4"/>
        </w:rPr>
        <w:t>正加前</w:t>
      </w:r>
    </w:p>
    <w:p>
      <w:pPr>
        <w:spacing w:line="283" w:lineRule="auto"/>
        <w:sectPr>
          <w:pgSz w:w="12240" w:h="15840"/>
          <w:pgMar w:top="781" w:right="1056" w:bottom="0" w:left="970" w:header="0" w:footer="0" w:gutter="0"/>
        </w:sectPr>
        <w:rPr>
          <w:sz w:val="24"/>
          <w:szCs w:val="24"/>
        </w:rPr>
      </w:pPr>
    </w:p>
    <w:p>
      <w:pPr>
        <w:pStyle w:val="BodyText"/>
        <w:spacing w:before="42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6"/>
        </w:rPr>
        <w:t>工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6"/>
        </w:rPr>
        <w:t>小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6"/>
        </w:rPr>
        <w:t>乂</w:t>
      </w:r>
      <w:r>
        <w:rPr>
          <w:sz w:val="20"/>
          <w:szCs w:val="20"/>
          <w:spacing w:val="-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I  </w:t>
      </w:r>
      <w:r>
        <w:rPr>
          <w:sz w:val="20"/>
          <w:szCs w:val="20"/>
          <w:spacing w:val="-6"/>
        </w:rPr>
        <w:t>二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P</w:t>
      </w:r>
      <w:r>
        <w:rPr>
          <w:sz w:val="20"/>
          <w:szCs w:val="20"/>
          <w:spacing w:val="-6"/>
        </w:rPr>
        <w:t>反</w:t>
      </w:r>
      <w:r>
        <w:rPr>
          <w:sz w:val="20"/>
          <w:szCs w:val="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6"/>
        </w:rPr>
        <w:t>,</w:t>
      </w:r>
      <w:r>
        <w:rPr>
          <w:sz w:val="20"/>
          <w:szCs w:val="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JIJ      </w:t>
      </w:r>
      <w:r>
        <w:rPr>
          <w:sz w:val="20"/>
          <w:szCs w:val="20"/>
          <w:spacing w:val="-6"/>
        </w:rPr>
        <w:t>人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6"/>
        </w:rPr>
        <w:t>叨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X  </w:t>
      </w:r>
      <w:r>
        <w:rPr>
          <w:sz w:val="20"/>
          <w:szCs w:val="20"/>
          <w:spacing w:val="-6"/>
        </w:rPr>
        <w:t>八二並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HJ'IUpJ   </w:t>
      </w:r>
      <w:r>
        <w:rPr>
          <w:sz w:val="20"/>
          <w:szCs w:val="20"/>
          <w:spacing w:val="-6"/>
        </w:rPr>
        <w:t>八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I⁷r=   </w:t>
      </w:r>
      <w:r>
        <w:rPr>
          <w:sz w:val="20"/>
          <w:szCs w:val="20"/>
          <w:spacing w:val="-6"/>
        </w:rPr>
        <w:t>戈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I</w:t>
      </w:r>
      <w:r>
        <w:rPr>
          <w:rFonts w:ascii="SimSun" w:hAnsi="SimSun" w:eastAsia="SimSun" w:cs="SimSun"/>
          <w:sz w:val="20"/>
          <w:szCs w:val="20"/>
          <w:spacing w:val="-6"/>
        </w:rPr>
        <w:t>⊥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,IJ     </w:t>
      </w:r>
      <w:r>
        <w:rPr>
          <w:sz w:val="20"/>
          <w:szCs w:val="20"/>
          <w:spacing w:val="-6"/>
        </w:rPr>
        <w:t>人上迎是</w:t>
      </w:r>
      <w:r>
        <w:rPr>
          <w:sz w:val="20"/>
          <w:szCs w:val="20"/>
          <w:spacing w:val="-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I  </w:t>
      </w:r>
      <w:r>
        <w:rPr>
          <w:sz w:val="20"/>
          <w:szCs w:val="20"/>
          <w:spacing w:val="-6"/>
        </w:rPr>
        <w:t>云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6"/>
        </w:rPr>
        <w:t>人玄</w:t>
      </w:r>
      <w:r>
        <w:rPr>
          <w:sz w:val="20"/>
          <w:szCs w:val="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JIL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 xml:space="preserve">        </w:t>
      </w:r>
      <w:r>
        <w:rPr>
          <w:sz w:val="20"/>
          <w:szCs w:val="20"/>
          <w:spacing w:val="-7"/>
        </w:rPr>
        <w:t>天</w:t>
      </w:r>
      <w:r>
        <w:rPr>
          <w:sz w:val="20"/>
          <w:szCs w:val="20"/>
          <w:spacing w:val="-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o          H</w:t>
      </w:r>
    </w:p>
    <w:p>
      <w:pPr>
        <w:pStyle w:val="BodyText"/>
        <w:spacing w:before="142" w:line="213" w:lineRule="auto"/>
        <w:rPr>
          <w:sz w:val="25"/>
          <w:szCs w:val="25"/>
        </w:rPr>
      </w:pPr>
      <w:r>
        <w:rPr>
          <w:sz w:val="25"/>
          <w:szCs w:val="25"/>
          <w:spacing w:val="-9"/>
        </w:rPr>
        <w:t>文所述，在非西方现代化的框架中，通过本土创新的重构，实现文化互鉴，但需</w:t>
      </w:r>
      <w:r>
        <w:rPr>
          <w:sz w:val="25"/>
          <w:szCs w:val="25"/>
          <w:spacing w:val="-10"/>
        </w:rPr>
        <w:t>警惕依赖风险</w:t>
      </w:r>
    </w:p>
    <w:p>
      <w:pPr>
        <w:pStyle w:val="BodyText"/>
        <w:ind w:firstLine="169"/>
        <w:spacing w:before="106" w:line="294" w:lineRule="auto"/>
        <w:rPr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7"/>
        </w:rPr>
        <w:t>(Eisenstadt,2000)</w:t>
      </w:r>
      <w:r>
        <w:rPr>
          <w:rFonts w:ascii="Arial" w:hAnsi="Arial" w:eastAsia="Arial" w:cs="Arial"/>
          <w:sz w:val="25"/>
          <w:szCs w:val="25"/>
          <w:spacing w:val="-2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。</w:t>
      </w:r>
      <w:r>
        <w:rPr>
          <w:rFonts w:ascii="SimSun" w:hAnsi="SimSun" w:eastAsia="SimSun" w:cs="SimSun"/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7"/>
        </w:rPr>
        <w:t>同样，在后殖民主义维度，身份重构促进平等对话，却面临权力不对等的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6"/>
        </w:rPr>
        <w:t>潜在挑战</w:t>
      </w:r>
      <w:r>
        <w:rPr>
          <w:sz w:val="25"/>
          <w:szCs w:val="25"/>
          <w:spacing w:val="-2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6"/>
        </w:rPr>
        <w:t>(Fanon,1961)</w:t>
      </w:r>
      <w:r>
        <w:rPr>
          <w:rFonts w:ascii="Arial" w:hAnsi="Arial" w:eastAsia="Arial" w:cs="Arial"/>
          <w:sz w:val="25"/>
          <w:szCs w:val="25"/>
          <w:spacing w:val="-3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6"/>
        </w:rPr>
        <w:t>。</w:t>
      </w:r>
      <w:r>
        <w:rPr>
          <w:sz w:val="25"/>
          <w:szCs w:val="25"/>
          <w:spacing w:val="-6"/>
        </w:rPr>
        <w:t>批判东方学则通过话语平衡，推动真实表征，但可能引入新偏见</w:t>
      </w:r>
    </w:p>
    <w:p>
      <w:pPr>
        <w:pStyle w:val="BodyText"/>
        <w:ind w:right="189" w:firstLine="149"/>
        <w:spacing w:before="38" w:line="301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(Said,1978)。</w:t>
      </w:r>
      <w:r>
        <w:rPr>
          <w:sz w:val="25"/>
          <w:szCs w:val="25"/>
          <w:spacing w:val="-6"/>
        </w:rPr>
        <w:t>全球史视角嵌入历史互联，实现共享繁荣，却需辩证生</w:t>
      </w:r>
      <w:r>
        <w:rPr>
          <w:sz w:val="25"/>
          <w:szCs w:val="25"/>
          <w:spacing w:val="-7"/>
        </w:rPr>
        <w:t>态局限</w:t>
      </w:r>
      <w:r>
        <w:rPr>
          <w:sz w:val="25"/>
          <w:szCs w:val="25"/>
          <w:spacing w:val="-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7"/>
        </w:rPr>
        <w:t>(Gray &amp;Gills,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sz w:val="25"/>
          <w:szCs w:val="25"/>
          <w:spacing w:val="-7"/>
        </w:rPr>
        <w:t>2016)。这种总结性的循环强化了核心观点：全球南方合作虽具潜力，但其推</w:t>
      </w:r>
      <w:r>
        <w:rPr>
          <w:sz w:val="25"/>
          <w:szCs w:val="25"/>
          <w:spacing w:val="-8"/>
        </w:rPr>
        <w:t>动文明交流互鉴的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3"/>
        </w:rPr>
        <w:t>过程充满复杂性与批判空间</w:t>
      </w:r>
      <w:r>
        <w:rPr>
          <w:sz w:val="25"/>
          <w:szCs w:val="25"/>
          <w:spacing w:val="-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(Nayyar,2013;Bond,2015)。   Xu,2021;Taylor,2</w:t>
      </w:r>
      <w:r>
        <w:rPr>
          <w:rFonts w:ascii="SimSun" w:hAnsi="SimSun" w:eastAsia="SimSun" w:cs="SimSun"/>
          <w:sz w:val="25"/>
          <w:szCs w:val="25"/>
          <w:spacing w:val="-4"/>
        </w:rPr>
        <w:t>017;</w:t>
      </w:r>
      <w:r>
        <w:rPr>
          <w:sz w:val="25"/>
          <w:szCs w:val="25"/>
          <w:spacing w:val="-4"/>
        </w:rPr>
        <w:t>李，</w:t>
      </w:r>
    </w:p>
    <w:p>
      <w:pPr>
        <w:spacing w:before="31" w:line="183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2019)</w:t>
      </w:r>
      <w:r>
        <w:rPr>
          <w:rFonts w:ascii="SimSun" w:hAnsi="SimSun" w:eastAsia="SimSun" w:cs="SimSun"/>
          <w:sz w:val="25"/>
          <w:szCs w:val="25"/>
          <w:spacing w:val="-1"/>
        </w:rPr>
        <w:t>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b/>
          <w:bCs/>
          <w:spacing w:val="-5"/>
        </w:rPr>
        <w:t>Key Citations: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379"/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b/>
          <w:bCs/>
          <w:spacing w:val="-1"/>
        </w:rPr>
        <w:t>·Modernization theory -and the</w:t>
      </w:r>
      <w:r>
        <w:rPr>
          <w:rFonts w:ascii="Arial" w:hAnsi="Arial" w:eastAsia="Arial" w:cs="Arial"/>
          <w:sz w:val="25"/>
          <w:szCs w:val="25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1"/>
        </w:rPr>
        <w:t>non-western wo</w:t>
      </w:r>
      <w:r>
        <w:rPr>
          <w:rFonts w:ascii="Arial" w:hAnsi="Arial" w:eastAsia="Arial" w:cs="Arial"/>
          <w:sz w:val="25"/>
          <w:szCs w:val="25"/>
          <w:b/>
          <w:bCs/>
          <w:spacing w:val="-2"/>
        </w:rPr>
        <w:t>rld-EconStor</w:t>
      </w:r>
    </w:p>
    <w:p>
      <w:pPr>
        <w:spacing w:line="198" w:lineRule="auto"/>
        <w:sectPr>
          <w:pgSz w:w="12240" w:h="15840"/>
          <w:pgMar w:top="822" w:right="1009" w:bottom="0" w:left="980" w:header="0" w:footer="0" w:gutter="0"/>
        </w:sectPr>
        <w:rPr>
          <w:rFonts w:ascii="Arial" w:hAnsi="Arial" w:eastAsia="Arial" w:cs="Arial"/>
          <w:sz w:val="25"/>
          <w:szCs w:val="25"/>
        </w:rPr>
      </w:pPr>
    </w:p>
    <w:p>
      <w:pPr>
        <w:ind w:left="190"/>
        <w:spacing w:before="68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·Modernization</w:t>
      </w:r>
      <w:r>
        <w:rPr>
          <w:rFonts w:ascii="Arial" w:hAnsi="Arial" w:eastAsia="Arial" w:cs="Arial"/>
          <w:sz w:val="25"/>
          <w:szCs w:val="25"/>
          <w:spacing w:val="39"/>
          <w:w w:val="101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theory</w:t>
      </w:r>
      <w:r>
        <w:rPr>
          <w:rFonts w:ascii="Arial" w:hAnsi="Arial" w:eastAsia="Arial" w:cs="Arial"/>
          <w:sz w:val="25"/>
          <w:szCs w:val="25"/>
          <w:spacing w:val="33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-Wikipedia</w:t>
      </w:r>
    </w:p>
    <w:p>
      <w:pPr>
        <w:ind w:left="190"/>
        <w:spacing w:before="284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·Modernization  Theory:Definition   &amp;Examples</w:t>
      </w:r>
      <w:r>
        <w:rPr>
          <w:rFonts w:ascii="Arial" w:hAnsi="Arial" w:eastAsia="Arial" w:cs="Arial"/>
          <w:sz w:val="25"/>
          <w:szCs w:val="25"/>
          <w:spacing w:val="17"/>
          <w:w w:val="101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</w:rPr>
        <w:t>-Simp</w:t>
      </w:r>
      <w:r>
        <w:rPr>
          <w:rFonts w:ascii="Arial" w:hAnsi="Arial" w:eastAsia="Arial" w:cs="Arial"/>
          <w:sz w:val="25"/>
          <w:szCs w:val="25"/>
          <w:spacing w:val="-2"/>
        </w:rPr>
        <w:t>ly</w:t>
      </w:r>
      <w:r>
        <w:rPr>
          <w:rFonts w:ascii="Arial" w:hAnsi="Arial" w:eastAsia="Arial" w:cs="Arial"/>
          <w:sz w:val="25"/>
          <w:szCs w:val="25"/>
          <w:spacing w:val="23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2"/>
        </w:rPr>
        <w:t>Psychology</w:t>
      </w:r>
    </w:p>
    <w:p>
      <w:pPr>
        <w:ind w:left="190"/>
        <w:spacing w:before="230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position w:val="4"/>
        </w:rPr>
        <w:t>·Classical  approaches  to  development:Modernisation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 xml:space="preserve">  and...</w:t>
      </w:r>
    </w:p>
    <w:p>
      <w:pPr>
        <w:ind w:left="190"/>
        <w:spacing w:before="186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·Modernization  Theory  -an  overview  |ScienceDirect  Topics</w:t>
      </w:r>
    </w:p>
    <w:p>
      <w:pPr>
        <w:ind w:left="190"/>
        <w:spacing w:before="209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·Modernization</w:t>
      </w:r>
      <w:r>
        <w:rPr>
          <w:rFonts w:ascii="Arial" w:hAnsi="Arial" w:eastAsia="Arial" w:cs="Arial"/>
          <w:sz w:val="25"/>
          <w:szCs w:val="25"/>
          <w:spacing w:val="4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Theory's</w:t>
      </w:r>
      <w:r>
        <w:rPr>
          <w:rFonts w:ascii="Arial" w:hAnsi="Arial" w:eastAsia="Arial" w:cs="Arial"/>
          <w:sz w:val="25"/>
          <w:szCs w:val="25"/>
          <w:spacing w:val="6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Influence</w:t>
      </w:r>
      <w:r>
        <w:rPr>
          <w:rFonts w:ascii="Arial" w:hAnsi="Arial" w:eastAsia="Arial" w:cs="Arial"/>
          <w:sz w:val="25"/>
          <w:szCs w:val="25"/>
          <w:spacing w:val="4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on</w:t>
      </w:r>
      <w:r>
        <w:rPr>
          <w:rFonts w:ascii="Arial" w:hAnsi="Arial" w:eastAsia="Arial" w:cs="Arial"/>
          <w:sz w:val="25"/>
          <w:szCs w:val="25"/>
          <w:spacing w:val="5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Political</w:t>
      </w:r>
      <w:r>
        <w:rPr>
          <w:rFonts w:ascii="Arial" w:hAnsi="Arial" w:eastAsia="Arial" w:cs="Arial"/>
          <w:sz w:val="25"/>
          <w:szCs w:val="25"/>
          <w:spacing w:val="5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Developme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nt</w:t>
      </w:r>
    </w:p>
    <w:p>
      <w:pPr>
        <w:ind w:left="190"/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position w:val="4"/>
        </w:rPr>
        <w:t>·An  Introduction  to  P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ost-Colonialism,Post-colonial  Theory</w:t>
      </w:r>
      <w:r>
        <w:rPr>
          <w:rFonts w:ascii="Arial" w:hAnsi="Arial" w:eastAsia="Arial" w:cs="Arial"/>
          <w:sz w:val="25"/>
          <w:szCs w:val="25"/>
          <w:spacing w:val="5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and</w:t>
      </w:r>
    </w:p>
    <w:p>
      <w:pPr>
        <w:ind w:left="190"/>
        <w:spacing w:before="20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position w:val="4"/>
        </w:rPr>
        <w:t>·Introduction:Important  Thinkers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 xml:space="preserve"> behind</w:t>
      </w:r>
      <w:r>
        <w:rPr>
          <w:rFonts w:ascii="Arial" w:hAnsi="Arial" w:eastAsia="Arial" w:cs="Arial"/>
          <w:sz w:val="25"/>
          <w:szCs w:val="25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Postcolonial  Theories</w:t>
      </w:r>
    </w:p>
    <w:p>
      <w:pPr>
        <w:ind w:left="190"/>
        <w:spacing w:before="186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·Postcolonial</w:t>
      </w:r>
      <w:r>
        <w:rPr>
          <w:rFonts w:ascii="Arial" w:hAnsi="Arial" w:eastAsia="Arial" w:cs="Arial"/>
          <w:sz w:val="25"/>
          <w:szCs w:val="25"/>
          <w:spacing w:val="3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Theory</w:t>
      </w:r>
      <w:r>
        <w:rPr>
          <w:rFonts w:ascii="Arial" w:hAnsi="Arial" w:eastAsia="Arial" w:cs="Arial"/>
          <w:sz w:val="25"/>
          <w:szCs w:val="25"/>
          <w:spacing w:val="4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5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Its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Critics</w:t>
      </w:r>
      <w:r>
        <w:rPr>
          <w:rFonts w:ascii="Arial" w:hAnsi="Arial" w:eastAsia="Arial" w:cs="Arial"/>
          <w:sz w:val="25"/>
          <w:szCs w:val="25"/>
          <w:spacing w:val="3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from</w:t>
      </w:r>
      <w:r>
        <w:rPr>
          <w:rFonts w:ascii="Arial" w:hAnsi="Arial" w:eastAsia="Arial" w:cs="Arial"/>
          <w:sz w:val="25"/>
          <w:szCs w:val="25"/>
          <w:spacing w:val="37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Wi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thin</w:t>
      </w:r>
    </w:p>
    <w:p>
      <w:pPr>
        <w:ind w:left="190"/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·In</w:t>
      </w:r>
      <w:r>
        <w:rPr>
          <w:rFonts w:ascii="Arial" w:hAnsi="Arial" w:eastAsia="Arial" w:cs="Arial"/>
          <w:sz w:val="25"/>
          <w:szCs w:val="25"/>
          <w:spacing w:val="5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Defence</w:t>
      </w:r>
      <w:r>
        <w:rPr>
          <w:rFonts w:ascii="Arial" w:hAnsi="Arial" w:eastAsia="Arial" w:cs="Arial"/>
          <w:sz w:val="25"/>
          <w:szCs w:val="25"/>
          <w:spacing w:val="4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Orientalism:Critical</w:t>
      </w:r>
      <w:r>
        <w:rPr>
          <w:rFonts w:ascii="Arial" w:hAnsi="Arial" w:eastAsia="Arial" w:cs="Arial"/>
          <w:sz w:val="25"/>
          <w:szCs w:val="25"/>
          <w:spacing w:val="5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Notes</w:t>
      </w:r>
      <w:r>
        <w:rPr>
          <w:rFonts w:ascii="Arial" w:hAnsi="Arial" w:eastAsia="Arial" w:cs="Arial"/>
          <w:sz w:val="25"/>
          <w:szCs w:val="25"/>
          <w:spacing w:val="4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n</w:t>
      </w:r>
      <w:r>
        <w:rPr>
          <w:rFonts w:ascii="Arial" w:hAnsi="Arial" w:eastAsia="Arial" w:cs="Arial"/>
          <w:sz w:val="25"/>
          <w:szCs w:val="25"/>
          <w:spacing w:val="5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Edward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Said</w:t>
      </w:r>
      <w:r>
        <w:rPr>
          <w:rFonts w:ascii="Arial" w:hAnsi="Arial" w:eastAsia="Arial" w:cs="Arial"/>
          <w:sz w:val="25"/>
          <w:szCs w:val="25"/>
          <w:spacing w:val="4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-jstor</w:t>
      </w:r>
    </w:p>
    <w:p>
      <w:pPr>
        <w:ind w:left="190"/>
        <w:spacing w:before="284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6"/>
        </w:rPr>
        <w:t>·A CRITICAL APPROACH TO</w:t>
      </w:r>
      <w:r>
        <w:rPr>
          <w:rFonts w:ascii="Arial" w:hAnsi="Arial" w:eastAsia="Arial" w:cs="Arial"/>
          <w:sz w:val="25"/>
          <w:szCs w:val="25"/>
          <w:spacing w:val="22"/>
        </w:rPr>
        <w:t xml:space="preserve"> </w:t>
      </w:r>
      <w:r>
        <w:rPr>
          <w:rFonts w:ascii="Arial" w:hAnsi="Arial" w:eastAsia="Arial" w:cs="Arial"/>
          <w:sz w:val="25"/>
          <w:szCs w:val="25"/>
          <w:spacing w:val="-6"/>
        </w:rPr>
        <w:t>EDWARD SAID'S ORIENTALISM</w:t>
      </w:r>
    </w:p>
    <w:p>
      <w:pPr>
        <w:ind w:left="190"/>
        <w:spacing w:before="294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·What</w:t>
      </w:r>
      <w:r>
        <w:rPr>
          <w:rFonts w:ascii="Arial" w:hAnsi="Arial" w:eastAsia="Arial" w:cs="Arial"/>
          <w:sz w:val="25"/>
          <w:szCs w:val="25"/>
          <w:spacing w:val="19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Are</w:t>
      </w:r>
      <w:r>
        <w:rPr>
          <w:rFonts w:ascii="Arial" w:hAnsi="Arial" w:eastAsia="Arial" w:cs="Arial"/>
          <w:sz w:val="25"/>
          <w:szCs w:val="25"/>
          <w:spacing w:val="2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The</w:t>
      </w:r>
      <w:r>
        <w:rPr>
          <w:rFonts w:ascii="Arial" w:hAnsi="Arial" w:eastAsia="Arial" w:cs="Arial"/>
          <w:sz w:val="25"/>
          <w:szCs w:val="25"/>
          <w:spacing w:val="3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Major</w:t>
      </w:r>
      <w:r>
        <w:rPr>
          <w:rFonts w:ascii="Arial" w:hAnsi="Arial" w:eastAsia="Arial" w:cs="Arial"/>
          <w:sz w:val="25"/>
          <w:szCs w:val="25"/>
          <w:spacing w:val="2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Criticisms/Flaws</w:t>
      </w:r>
      <w:r>
        <w:rPr>
          <w:rFonts w:ascii="Arial" w:hAnsi="Arial" w:eastAsia="Arial" w:cs="Arial"/>
          <w:sz w:val="25"/>
          <w:szCs w:val="25"/>
          <w:spacing w:val="29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Of</w:t>
      </w:r>
      <w:r>
        <w:rPr>
          <w:rFonts w:ascii="Arial" w:hAnsi="Arial" w:eastAsia="Arial" w:cs="Arial"/>
          <w:sz w:val="25"/>
          <w:szCs w:val="25"/>
          <w:spacing w:val="27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Edward</w:t>
      </w:r>
      <w:r>
        <w:rPr>
          <w:rFonts w:ascii="Arial" w:hAnsi="Arial" w:eastAsia="Arial" w:cs="Arial"/>
          <w:sz w:val="25"/>
          <w:szCs w:val="25"/>
          <w:spacing w:val="28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Said's</w:t>
      </w:r>
      <w:r>
        <w:rPr>
          <w:rFonts w:ascii="Arial" w:hAnsi="Arial" w:eastAsia="Arial" w:cs="Arial"/>
          <w:sz w:val="25"/>
          <w:szCs w:val="25"/>
          <w:spacing w:val="29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Orientalism?</w:t>
      </w:r>
    </w:p>
    <w:p>
      <w:pPr>
        <w:ind w:left="190"/>
        <w:spacing w:before="250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·Full</w:t>
      </w:r>
      <w:r>
        <w:rPr>
          <w:rFonts w:ascii="Arial" w:hAnsi="Arial" w:eastAsia="Arial" w:cs="Arial"/>
          <w:sz w:val="25"/>
          <w:szCs w:val="25"/>
          <w:spacing w:val="5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article:South-South</w:t>
      </w:r>
      <w:r>
        <w:rPr>
          <w:rFonts w:ascii="Arial" w:hAnsi="Arial" w:eastAsia="Arial" w:cs="Arial"/>
          <w:sz w:val="25"/>
          <w:szCs w:val="25"/>
          <w:spacing w:val="4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cooperation</w:t>
      </w:r>
      <w:r>
        <w:rPr>
          <w:rFonts w:ascii="Arial" w:hAnsi="Arial" w:eastAsia="Arial" w:cs="Arial"/>
          <w:sz w:val="25"/>
          <w:szCs w:val="25"/>
          <w:spacing w:val="4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3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</w:t>
      </w:r>
      <w:r>
        <w:rPr>
          <w:rFonts w:ascii="Arial" w:hAnsi="Arial" w:eastAsia="Arial" w:cs="Arial"/>
          <w:sz w:val="25"/>
          <w:szCs w:val="25"/>
          <w:spacing w:val="4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rise</w:t>
      </w:r>
      <w:r>
        <w:rPr>
          <w:rFonts w:ascii="Arial" w:hAnsi="Arial" w:eastAsia="Arial" w:cs="Arial"/>
          <w:sz w:val="25"/>
          <w:szCs w:val="25"/>
          <w:spacing w:val="4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2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Global</w:t>
      </w:r>
      <w:r>
        <w:rPr>
          <w:rFonts w:ascii="Arial" w:hAnsi="Arial" w:eastAsia="Arial" w:cs="Arial"/>
          <w:sz w:val="25"/>
          <w:szCs w:val="25"/>
          <w:spacing w:val="4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South</w:t>
      </w:r>
    </w:p>
    <w:p>
      <w:pPr>
        <w:ind w:left="190"/>
        <w:spacing w:before="196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4"/>
          <w:position w:val="1"/>
        </w:rPr>
        <w:t>·A</w:t>
      </w:r>
      <w:r>
        <w:rPr>
          <w:rFonts w:ascii="Arial" w:hAnsi="Arial" w:eastAsia="Arial" w:cs="Arial"/>
          <w:sz w:val="25"/>
          <w:szCs w:val="25"/>
          <w:spacing w:val="45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4"/>
          <w:position w:val="1"/>
        </w:rPr>
        <w:t>Closer</w:t>
      </w:r>
      <w:r>
        <w:rPr>
          <w:rFonts w:ascii="Arial" w:hAnsi="Arial" w:eastAsia="Arial" w:cs="Arial"/>
          <w:sz w:val="25"/>
          <w:szCs w:val="25"/>
          <w:spacing w:val="31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4"/>
          <w:position w:val="1"/>
        </w:rPr>
        <w:t>Look</w:t>
      </w:r>
      <w:r>
        <w:rPr>
          <w:rFonts w:ascii="Arial" w:hAnsi="Arial" w:eastAsia="Arial" w:cs="Arial"/>
          <w:sz w:val="25"/>
          <w:szCs w:val="25"/>
          <w:spacing w:val="24"/>
          <w:w w:val="101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4"/>
          <w:position w:val="1"/>
        </w:rPr>
        <w:t>at</w:t>
      </w:r>
      <w:r>
        <w:rPr>
          <w:rFonts w:ascii="Arial" w:hAnsi="Arial" w:eastAsia="Arial" w:cs="Arial"/>
          <w:sz w:val="25"/>
          <w:szCs w:val="25"/>
          <w:spacing w:val="20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4"/>
          <w:position w:val="1"/>
        </w:rPr>
        <w:t>the</w:t>
      </w:r>
      <w:r>
        <w:rPr>
          <w:rFonts w:ascii="Arial" w:hAnsi="Arial" w:eastAsia="Arial" w:cs="Arial"/>
          <w:sz w:val="25"/>
          <w:szCs w:val="25"/>
          <w:spacing w:val="29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4"/>
          <w:position w:val="1"/>
        </w:rPr>
        <w:t>Global</w:t>
      </w:r>
      <w:r>
        <w:rPr>
          <w:rFonts w:ascii="Arial" w:hAnsi="Arial" w:eastAsia="Arial" w:cs="Arial"/>
          <w:sz w:val="25"/>
          <w:szCs w:val="25"/>
          <w:spacing w:val="27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4"/>
          <w:position w:val="1"/>
        </w:rPr>
        <w:t>South</w:t>
      </w:r>
    </w:p>
    <w:p>
      <w:pPr>
        <w:ind w:left="190"/>
        <w:spacing w:before="200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·Global</w:t>
      </w:r>
      <w:r>
        <w:rPr>
          <w:rFonts w:ascii="Arial" w:hAnsi="Arial" w:eastAsia="Arial" w:cs="Arial"/>
          <w:sz w:val="25"/>
          <w:szCs w:val="25"/>
          <w:spacing w:val="8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South</w:t>
      </w:r>
      <w:r>
        <w:rPr>
          <w:rFonts w:ascii="Arial" w:hAnsi="Arial" w:eastAsia="Arial" w:cs="Arial"/>
          <w:sz w:val="25"/>
          <w:szCs w:val="25"/>
          <w:spacing w:val="6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-Literary</w:t>
      </w:r>
      <w:r>
        <w:rPr>
          <w:rFonts w:ascii="Arial" w:hAnsi="Arial" w:eastAsia="Arial" w:cs="Arial"/>
          <w:sz w:val="25"/>
          <w:szCs w:val="25"/>
          <w:spacing w:val="6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64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Critical</w:t>
      </w:r>
      <w:r>
        <w:rPr>
          <w:rFonts w:ascii="Arial" w:hAnsi="Arial" w:eastAsia="Arial" w:cs="Arial"/>
          <w:sz w:val="25"/>
          <w:szCs w:val="25"/>
          <w:spacing w:val="5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Theory</w:t>
      </w:r>
      <w:r>
        <w:rPr>
          <w:rFonts w:ascii="Arial" w:hAnsi="Arial" w:eastAsia="Arial" w:cs="Arial"/>
          <w:sz w:val="25"/>
          <w:szCs w:val="25"/>
          <w:spacing w:val="60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-Oxford  Bibliographies</w:t>
      </w:r>
    </w:p>
    <w:p>
      <w:pPr>
        <w:ind w:left="190"/>
        <w:spacing w:before="18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·Full</w:t>
      </w:r>
      <w:r>
        <w:rPr>
          <w:rFonts w:ascii="Arial" w:hAnsi="Arial" w:eastAsia="Arial" w:cs="Arial"/>
          <w:sz w:val="25"/>
          <w:szCs w:val="25"/>
          <w:spacing w:val="5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article:South-South</w:t>
      </w:r>
      <w:r>
        <w:rPr>
          <w:rFonts w:ascii="Arial" w:hAnsi="Arial" w:eastAsia="Arial" w:cs="Arial"/>
          <w:sz w:val="25"/>
          <w:szCs w:val="25"/>
          <w:spacing w:val="42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cooperation</w:t>
      </w:r>
      <w:r>
        <w:rPr>
          <w:rFonts w:ascii="Arial" w:hAnsi="Arial" w:eastAsia="Arial" w:cs="Arial"/>
          <w:sz w:val="25"/>
          <w:szCs w:val="25"/>
          <w:spacing w:val="4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37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</w:t>
      </w:r>
      <w:r>
        <w:rPr>
          <w:rFonts w:ascii="Arial" w:hAnsi="Arial" w:eastAsia="Arial" w:cs="Arial"/>
          <w:sz w:val="25"/>
          <w:szCs w:val="25"/>
          <w:spacing w:val="4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rise</w:t>
      </w:r>
      <w:r>
        <w:rPr>
          <w:rFonts w:ascii="Arial" w:hAnsi="Arial" w:eastAsia="Arial" w:cs="Arial"/>
          <w:sz w:val="25"/>
          <w:szCs w:val="25"/>
          <w:spacing w:val="4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of</w:t>
      </w:r>
      <w:r>
        <w:rPr>
          <w:rFonts w:ascii="Arial" w:hAnsi="Arial" w:eastAsia="Arial" w:cs="Arial"/>
          <w:sz w:val="25"/>
          <w:szCs w:val="25"/>
          <w:spacing w:val="2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</w:t>
      </w:r>
      <w:r>
        <w:rPr>
          <w:rFonts w:ascii="Arial" w:hAnsi="Arial" w:eastAsia="Arial" w:cs="Arial"/>
          <w:sz w:val="25"/>
          <w:szCs w:val="25"/>
          <w:spacing w:val="46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Global</w:t>
      </w:r>
      <w:r>
        <w:rPr>
          <w:rFonts w:ascii="Arial" w:hAnsi="Arial" w:eastAsia="Arial" w:cs="Arial"/>
          <w:sz w:val="25"/>
          <w:szCs w:val="25"/>
          <w:spacing w:val="4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South</w:t>
      </w:r>
    </w:p>
    <w:p>
      <w:pPr>
        <w:ind w:left="190"/>
        <w:spacing w:before="196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·Exchanges</w:t>
      </w:r>
      <w:r>
        <w:rPr>
          <w:rFonts w:ascii="Arial" w:hAnsi="Arial" w:eastAsia="Arial" w:cs="Arial"/>
          <w:sz w:val="25"/>
          <w:szCs w:val="25"/>
          <w:spacing w:val="4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Mutual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Learning</w:t>
      </w:r>
      <w:r>
        <w:rPr>
          <w:rFonts w:ascii="Arial" w:hAnsi="Arial" w:eastAsia="Arial" w:cs="Arial"/>
          <w:sz w:val="25"/>
          <w:szCs w:val="25"/>
          <w:spacing w:val="3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among</w:t>
      </w:r>
      <w:r>
        <w:rPr>
          <w:rFonts w:ascii="Arial" w:hAnsi="Arial" w:eastAsia="Arial" w:cs="Arial"/>
          <w:sz w:val="25"/>
          <w:szCs w:val="25"/>
          <w:spacing w:val="42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Civilization-IOSR</w:t>
      </w:r>
      <w:r>
        <w:rPr>
          <w:rFonts w:ascii="Arial" w:hAnsi="Arial" w:eastAsia="Arial" w:cs="Arial"/>
          <w:sz w:val="25"/>
          <w:szCs w:val="25"/>
          <w:spacing w:val="36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Journal</w:t>
      </w:r>
    </w:p>
    <w:p>
      <w:pPr>
        <w:ind w:left="190"/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·Civilizational</w:t>
      </w:r>
      <w:r>
        <w:rPr>
          <w:rFonts w:ascii="Arial" w:hAnsi="Arial" w:eastAsia="Arial" w:cs="Arial"/>
          <w:sz w:val="25"/>
          <w:szCs w:val="25"/>
          <w:spacing w:val="55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Exchange</w:t>
      </w:r>
      <w:r>
        <w:rPr>
          <w:rFonts w:ascii="Arial" w:hAnsi="Arial" w:eastAsia="Arial" w:cs="Arial"/>
          <w:sz w:val="25"/>
          <w:szCs w:val="25"/>
          <w:spacing w:val="4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5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Mutual</w:t>
      </w:r>
      <w:r>
        <w:rPr>
          <w:rFonts w:ascii="Arial" w:hAnsi="Arial" w:eastAsia="Arial" w:cs="Arial"/>
          <w:sz w:val="25"/>
          <w:szCs w:val="25"/>
          <w:spacing w:val="35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Ap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preciation</w:t>
      </w:r>
      <w:r>
        <w:rPr>
          <w:rFonts w:ascii="Arial" w:hAnsi="Arial" w:eastAsia="Arial" w:cs="Arial"/>
          <w:sz w:val="25"/>
          <w:szCs w:val="25"/>
          <w:spacing w:val="4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and</w:t>
      </w:r>
      <w:r>
        <w:rPr>
          <w:rFonts w:ascii="Arial" w:hAnsi="Arial" w:eastAsia="Arial" w:cs="Arial"/>
          <w:sz w:val="25"/>
          <w:szCs w:val="25"/>
          <w:spacing w:val="40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the...</w:t>
      </w:r>
    </w:p>
    <w:p>
      <w:pPr>
        <w:pStyle w:val="BodyText"/>
        <w:spacing w:before="308" w:line="213" w:lineRule="auto"/>
        <w:rPr>
          <w:sz w:val="25"/>
          <w:szCs w:val="25"/>
        </w:rPr>
      </w:pPr>
      <w:r>
        <w:rPr>
          <w:sz w:val="25"/>
          <w:szCs w:val="25"/>
          <w:spacing w:val="-12"/>
        </w:rPr>
        <w:t>(此内容可复制到</w:t>
      </w:r>
      <w:r>
        <w:rPr>
          <w:rFonts w:ascii="Arial" w:hAnsi="Arial" w:eastAsia="Arial" w:cs="Arial"/>
          <w:sz w:val="25"/>
          <w:szCs w:val="25"/>
          <w:spacing w:val="-12"/>
        </w:rPr>
        <w:t>DOCX</w:t>
      </w:r>
      <w:r>
        <w:rPr>
          <w:sz w:val="25"/>
          <w:szCs w:val="25"/>
          <w:spacing w:val="-12"/>
        </w:rPr>
        <w:t>文件，格式化为学术报告，包括标题、段落、表格和引</w:t>
      </w:r>
      <w:r>
        <w:rPr>
          <w:sz w:val="25"/>
          <w:szCs w:val="25"/>
          <w:spacing w:val="-13"/>
        </w:rPr>
        <w:t>用。)</w:t>
      </w:r>
    </w:p>
    <w:sectPr>
      <w:pgSz w:w="12240" w:h="15840"/>
      <w:pgMar w:top="809" w:right="1836" w:bottom="0" w:left="11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2026-03-15T23:57:04</vt:filetime>
  </property>
  <property fmtid="{D5CDD505-2E9C-101B-9397-08002B2CF9AE}" pid="4" name="UsrData">
    <vt:lpwstr>69b6d6cd5b4fbf001fccde5cwl</vt:lpwstr>
  </property>
</Properties>
</file>