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8" w:line="221" w:lineRule="auto"/>
        <w:rPr/>
      </w:pPr>
      <w:r>
        <w:rPr>
          <w:b/>
          <w:bCs/>
          <w:spacing w:val="4"/>
        </w:rPr>
        <w:t>先进制程芯片(10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nm</w:t>
      </w:r>
      <w:r>
        <w:rPr>
          <w:rFonts w:ascii="Times New Roman" w:hAnsi="Times New Roman" w:eastAsia="Times New Roman" w:cs="Times New Roman"/>
          <w:b/>
          <w:bCs/>
          <w:spacing w:val="-12"/>
        </w:rPr>
        <w:t xml:space="preserve"> </w:t>
      </w:r>
      <w:r>
        <w:rPr>
          <w:b/>
          <w:bCs/>
          <w:spacing w:val="4"/>
        </w:rPr>
        <w:t>及以下节点)金属薄膜</w:t>
      </w:r>
      <w:r>
        <w:rPr>
          <w:b/>
          <w:bCs/>
          <w:spacing w:val="3"/>
        </w:rPr>
        <w:t>沉积设备应用调研报告</w:t>
      </w:r>
    </w:p>
    <w:p>
      <w:pPr>
        <w:pStyle w:val="BodyText"/>
        <w:spacing w:before="266" w:line="221" w:lineRule="auto"/>
        <w:rPr/>
      </w:pPr>
      <w:r>
        <w:rPr>
          <w:spacing w:val="10"/>
        </w:rPr>
        <w:t>报告编制日期：2026年2月</w:t>
      </w:r>
    </w:p>
    <w:p>
      <w:pPr>
        <w:pStyle w:val="BodyText"/>
        <w:spacing w:before="132" w:line="221" w:lineRule="auto"/>
        <w:rPr>
          <w:rFonts w:ascii="SimSun" w:hAnsi="SimSun" w:eastAsia="SimSun" w:cs="SimSun"/>
        </w:rPr>
      </w:pPr>
      <w:r>
        <w:rPr>
          <w:spacing w:val="3"/>
        </w:rPr>
        <w:t>适用节点范围：主要聚焦7</w:t>
      </w:r>
      <w:r>
        <w:rPr>
          <w:spacing w:val="3"/>
        </w:rPr>
        <w:t xml:space="preserve"> 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3"/>
        </w:rPr>
        <w:t>、5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3"/>
        </w:rPr>
        <w:t>、3    </w:t>
      </w:r>
      <w:r>
        <w:rPr>
          <w:rFonts w:ascii="SimSun" w:hAnsi="SimSun" w:eastAsia="SimSun" w:cs="SimSun"/>
        </w:rPr>
        <w:t>nm</w:t>
      </w:r>
      <w:r>
        <w:rPr>
          <w:spacing w:val="3"/>
        </w:rPr>
        <w:t>及以下节点(逻辑器件与高性能</w:t>
      </w:r>
      <w:r>
        <w:rPr>
          <w:rFonts w:ascii="SimSun" w:hAnsi="SimSun" w:eastAsia="SimSun" w:cs="SimSun"/>
        </w:rPr>
        <w:t>DRAM</w:t>
      </w:r>
      <w:r>
        <w:rPr>
          <w:rFonts w:ascii="SimSun" w:hAnsi="SimSun" w:eastAsia="SimSun" w:cs="SimSun"/>
          <w:spacing w:val="3"/>
        </w:rPr>
        <w:t>/</w:t>
      </w:r>
      <w:r>
        <w:rPr>
          <w:rFonts w:ascii="SimSun" w:hAnsi="SimSun" w:eastAsia="SimSun" w:cs="SimSun"/>
        </w:rPr>
        <w:t>HBM</w:t>
      </w:r>
      <w:r>
        <w:rPr>
          <w:rFonts w:ascii="SimSun" w:hAnsi="SimSun" w:eastAsia="SimSun" w:cs="SimSun"/>
          <w:spacing w:val="3"/>
        </w:rPr>
        <w:t>)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一、报告核心问题直接回答</w:t>
      </w:r>
    </w:p>
    <w:p>
      <w:pPr>
        <w:pStyle w:val="BodyText"/>
        <w:spacing w:before="218" w:line="213" w:lineRule="auto"/>
        <w:rPr/>
      </w:pPr>
      <w:r>
        <w:rPr>
          <w:spacing w:val="4"/>
        </w:rPr>
        <w:t>问题1:在如今先进制程中，实际运用的五种金属薄膜沉积设备是哪些?</w:t>
      </w:r>
    </w:p>
    <w:p>
      <w:pPr>
        <w:pStyle w:val="BodyText"/>
        <w:ind w:right="433"/>
        <w:spacing w:before="244" w:line="359" w:lineRule="auto"/>
        <w:rPr>
          <w:sz w:val="18"/>
          <w:szCs w:val="18"/>
        </w:rPr>
      </w:pPr>
      <w:r>
        <w:rPr>
          <w:spacing w:val="10"/>
        </w:rPr>
        <w:t>在2025-2026年量产的10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及以下节点(尤其</w:t>
      </w:r>
      <w:r>
        <w:rPr>
          <w:spacing w:val="9"/>
        </w:rPr>
        <w:t>是5</w:t>
      </w:r>
      <w:r>
        <w:rPr>
          <w:spacing w:val="9"/>
        </w:rPr>
        <w:t xml:space="preserve"> 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及以下)中，五种设备的使用现状如</w:t>
      </w:r>
      <w:r>
        <w:rPr/>
        <w:t xml:space="preserve"> </w:t>
      </w:r>
      <w:r>
        <w:rPr>
          <w:sz w:val="18"/>
          <w:szCs w:val="18"/>
          <w:spacing w:val="-6"/>
        </w:rPr>
        <w:t>下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：</w:t>
      </w:r>
    </w:p>
    <w:tbl>
      <w:tblPr>
        <w:tblStyle w:val="TableNormal"/>
        <w:tblW w:w="1022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33"/>
        <w:gridCol w:w="4144"/>
        <w:gridCol w:w="2045"/>
        <w:gridCol w:w="1598"/>
      </w:tblGrid>
      <w:tr>
        <w:trPr>
          <w:trHeight w:val="1571" w:hRule="atLeast"/>
        </w:trPr>
        <w:tc>
          <w:tcPr>
            <w:tcW w:w="2433" w:type="dxa"/>
            <w:vAlign w:val="top"/>
            <w:tcBorders>
              <w:right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设备类型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71" w:line="220" w:lineRule="auto"/>
              <w:rPr/>
            </w:pPr>
            <w:r>
              <w:rPr/>
              <w:t>PVD</w:t>
            </w:r>
            <w:r>
              <w:rPr>
                <w:spacing w:val="7"/>
              </w:rPr>
              <w:t>(物理气相沉积)</w:t>
            </w:r>
          </w:p>
        </w:tc>
        <w:tc>
          <w:tcPr>
            <w:tcW w:w="4144" w:type="dxa"/>
            <w:vAlign w:val="top"/>
            <w:tcBorders>
              <w:left w:val="nil"/>
              <w:right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72" w:line="219" w:lineRule="auto"/>
              <w:rPr/>
            </w:pPr>
            <w:r>
              <w:rPr>
                <w:spacing w:val="3"/>
              </w:rPr>
              <w:t>当前在先进制程中的实际使用状态</w:t>
            </w:r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71" w:line="219" w:lineRule="auto"/>
              <w:rPr/>
            </w:pPr>
            <w:r>
              <w:rPr>
                <w:spacing w:val="-1"/>
              </w:rPr>
              <w:t>仍然广泛使用(尤其是反应性PVD)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主要使用节点范围</w:t>
            </w:r>
          </w:p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 w:right="92" w:firstLine="17"/>
              <w:spacing w:before="71" w:line="203" w:lineRule="auto"/>
              <w:rPr/>
            </w:pPr>
            <w:r>
              <w:rPr>
                <w:spacing w:val="22"/>
              </w:rPr>
              <w:t>7</w:t>
            </w:r>
            <w:r>
              <w:rPr>
                <w:spacing w:val="57"/>
              </w:rPr>
              <w:t xml:space="preserve"> </w:t>
            </w:r>
            <w:r>
              <w:rPr/>
              <w:t>nm</w:t>
            </w:r>
            <w:r>
              <w:rPr>
                <w:spacing w:val="22"/>
              </w:rPr>
              <w:t>～3</w:t>
            </w:r>
            <w:r>
              <w:rPr>
                <w:spacing w:val="54"/>
              </w:rPr>
              <w:t xml:space="preserve"> </w:t>
            </w:r>
            <w:r>
              <w:rPr/>
              <w:t>nm</w:t>
            </w:r>
            <w:r>
              <w:rPr>
                <w:spacing w:val="22"/>
              </w:rPr>
              <w:t>及以</w:t>
            </w:r>
            <w:r>
              <w:rPr/>
              <w:t xml:space="preserve"> </w:t>
            </w:r>
            <w:r>
              <w:rPr/>
              <w:t>下</w:t>
            </w:r>
          </w:p>
        </w:tc>
        <w:tc>
          <w:tcPr>
            <w:tcW w:w="1598" w:type="dxa"/>
            <w:vAlign w:val="top"/>
            <w:tcBorders>
              <w:left w:val="nil"/>
            </w:tcBorders>
          </w:tcPr>
          <w:p>
            <w:pPr>
              <w:pStyle w:val="TableText"/>
              <w:ind w:left="161" w:right="84"/>
              <w:spacing w:before="230" w:line="251" w:lineRule="auto"/>
              <w:rPr/>
            </w:pPr>
            <w:r>
              <w:rPr>
                <w:b/>
                <w:bCs/>
                <w:spacing w:val="2"/>
              </w:rPr>
              <w:t>是否仍为量产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主流</w:t>
            </w:r>
          </w:p>
          <w:p>
            <w:pPr>
              <w:pStyle w:val="TableText"/>
              <w:ind w:left="157" w:right="436"/>
              <w:spacing w:before="229" w:line="211" w:lineRule="auto"/>
              <w:rPr/>
            </w:pPr>
            <w:r>
              <w:rPr>
                <w:spacing w:val="1"/>
              </w:rPr>
              <w:t>是(主流之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一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)</w:t>
            </w:r>
          </w:p>
        </w:tc>
      </w:tr>
      <w:tr>
        <w:trPr>
          <w:trHeight w:val="639" w:hRule="atLeast"/>
        </w:trPr>
        <w:tc>
          <w:tcPr>
            <w:tcW w:w="2433" w:type="dxa"/>
            <w:vAlign w:val="top"/>
            <w:tcBorders>
              <w:right w:val="nil"/>
            </w:tcBorders>
          </w:tcPr>
          <w:p>
            <w:pPr>
              <w:pStyle w:val="TableText"/>
              <w:ind w:left="154"/>
              <w:spacing w:before="213" w:line="220" w:lineRule="auto"/>
              <w:rPr/>
            </w:pPr>
            <w:r>
              <w:rPr/>
              <w:t>CVD</w:t>
            </w:r>
            <w:r>
              <w:rPr>
                <w:spacing w:val="6"/>
              </w:rPr>
              <w:t>(化学气相沉积)</w:t>
            </w:r>
          </w:p>
        </w:tc>
        <w:tc>
          <w:tcPr>
            <w:tcW w:w="41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7"/>
              <w:spacing w:before="213" w:line="219" w:lineRule="auto"/>
              <w:rPr/>
            </w:pPr>
            <w:r>
              <w:rPr/>
              <w:t>部分场景仍在使用，但比例显著下降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3"/>
              <w:spacing w:before="216" w:line="222" w:lineRule="auto"/>
              <w:rPr/>
            </w:pPr>
            <w:r>
              <w:rPr>
                <w:spacing w:val="-2"/>
              </w:rPr>
              <w:t>主要7 nm～5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nm</w:t>
            </w:r>
          </w:p>
        </w:tc>
        <w:tc>
          <w:tcPr>
            <w:tcW w:w="1598" w:type="dxa"/>
            <w:vAlign w:val="top"/>
            <w:tcBorders>
              <w:left w:val="nil"/>
            </w:tcBorders>
          </w:tcPr>
          <w:p>
            <w:pPr>
              <w:pStyle w:val="TableText"/>
              <w:ind w:left="148"/>
              <w:spacing w:before="214" w:line="221" w:lineRule="auto"/>
              <w:rPr/>
            </w:pPr>
            <w:r>
              <w:rPr>
                <w:spacing w:val="-2"/>
              </w:rPr>
              <w:t>边缘化</w:t>
            </w:r>
          </w:p>
        </w:tc>
      </w:tr>
      <w:tr>
        <w:trPr>
          <w:trHeight w:val="758" w:hRule="atLeast"/>
        </w:trPr>
        <w:tc>
          <w:tcPr>
            <w:tcW w:w="2433" w:type="dxa"/>
            <w:vAlign w:val="top"/>
            <w:tcBorders>
              <w:right w:val="nil"/>
            </w:tcBorders>
          </w:tcPr>
          <w:p>
            <w:pPr>
              <w:pStyle w:val="TableText"/>
              <w:ind w:left="154" w:right="372"/>
              <w:spacing w:before="192" w:line="233" w:lineRule="auto"/>
              <w:rPr/>
            </w:pPr>
            <w:r>
              <w:rPr>
                <w:spacing w:val="3"/>
              </w:rPr>
              <w:t>电子束蒸发(e-</w:t>
            </w:r>
            <w:r>
              <w:rPr/>
              <w:t>beam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evaporation)</w:t>
            </w:r>
          </w:p>
        </w:tc>
        <w:tc>
          <w:tcPr>
            <w:tcW w:w="41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86"/>
              <w:spacing w:before="272" w:line="219" w:lineRule="auto"/>
              <w:rPr/>
            </w:pPr>
            <w:r>
              <w:rPr>
                <w:spacing w:val="1"/>
              </w:rPr>
              <w:t>几乎不再用于前端互连金属沉积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 w:right="133"/>
              <w:spacing w:before="214" w:line="224" w:lineRule="auto"/>
              <w:rPr/>
            </w:pPr>
            <w:r>
              <w:rPr>
                <w:spacing w:val="-2"/>
              </w:rPr>
              <w:t>极少量特殊研发场</w:t>
            </w:r>
            <w:r>
              <w:rPr>
                <w:spacing w:val="3"/>
              </w:rPr>
              <w:t xml:space="preserve"> </w:t>
            </w:r>
            <w:r>
              <w:rPr/>
              <w:t>景</w:t>
            </w:r>
          </w:p>
        </w:tc>
        <w:tc>
          <w:tcPr>
            <w:tcW w:w="1598" w:type="dxa"/>
            <w:vAlign w:val="top"/>
            <w:tcBorders>
              <w:left w:val="nil"/>
            </w:tcBorders>
          </w:tcPr>
          <w:p>
            <w:pPr>
              <w:pStyle w:val="TableText"/>
              <w:ind w:left="376"/>
              <w:spacing w:before="272" w:line="219" w:lineRule="auto"/>
              <w:rPr/>
            </w:pPr>
            <w:r>
              <w:rPr>
                <w:spacing w:val="-2"/>
              </w:rPr>
              <w:t>基本淘汰</w:t>
            </w:r>
          </w:p>
        </w:tc>
      </w:tr>
      <w:tr>
        <w:trPr>
          <w:trHeight w:val="888" w:hRule="atLeast"/>
        </w:trPr>
        <w:tc>
          <w:tcPr>
            <w:tcW w:w="2433" w:type="dxa"/>
            <w:vAlign w:val="top"/>
            <w:tcBorders>
              <w:right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2" w:line="219" w:lineRule="auto"/>
              <w:rPr/>
            </w:pPr>
            <w:r>
              <w:rPr/>
              <w:t>ALD</w:t>
            </w:r>
            <w:r>
              <w:rPr>
                <w:spacing w:val="6"/>
              </w:rPr>
              <w:t>(原子层沉积)</w:t>
            </w:r>
          </w:p>
        </w:tc>
        <w:tc>
          <w:tcPr>
            <w:tcW w:w="41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6" w:right="124"/>
              <w:spacing w:before="245" w:line="237" w:lineRule="auto"/>
              <w:rPr/>
            </w:pPr>
            <w:r>
              <w:rPr>
                <w:spacing w:val="-8"/>
              </w:rPr>
              <w:t>已成为阻挡层、种子层、部分金属填</w:t>
            </w:r>
            <w:r>
              <w:rPr/>
              <w:t xml:space="preserve"> </w:t>
            </w:r>
            <w:r>
              <w:rPr>
                <w:spacing w:val="3"/>
              </w:rPr>
              <w:t>充的核心技术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2" w:right="601" w:hanging="26"/>
              <w:spacing w:before="248" w:line="245" w:lineRule="auto"/>
              <w:rPr/>
            </w:pPr>
            <w:r>
              <w:rPr>
                <w:spacing w:val="-2"/>
              </w:rPr>
              <w:t>7nm～2nm及以</w:t>
            </w:r>
            <w:r>
              <w:rPr>
                <w:spacing w:val="3"/>
              </w:rPr>
              <w:t xml:space="preserve"> </w:t>
            </w:r>
            <w:r>
              <w:rPr/>
              <w:t>下</w:t>
            </w:r>
          </w:p>
        </w:tc>
        <w:tc>
          <w:tcPr>
            <w:tcW w:w="1598" w:type="dxa"/>
            <w:vAlign w:val="top"/>
            <w:tcBorders>
              <w:left w:val="nil"/>
            </w:tcBorders>
          </w:tcPr>
          <w:p>
            <w:pPr>
              <w:pStyle w:val="TableText"/>
              <w:ind w:left="117" w:right="255"/>
              <w:spacing w:before="246" w:line="245" w:lineRule="auto"/>
              <w:rPr/>
            </w:pPr>
            <w:r>
              <w:rPr>
                <w:spacing w:val="1"/>
              </w:rPr>
              <w:t>是(最关键技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术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723" w:hRule="atLeast"/>
        </w:trPr>
        <w:tc>
          <w:tcPr>
            <w:tcW w:w="2433" w:type="dxa"/>
            <w:vAlign w:val="top"/>
            <w:tcBorders>
              <w:right w:val="nil"/>
            </w:tcBorders>
          </w:tcPr>
          <w:p>
            <w:pPr>
              <w:pStyle w:val="TableText"/>
              <w:ind w:left="154"/>
              <w:spacing w:before="258" w:line="219" w:lineRule="auto"/>
              <w:rPr/>
            </w:pPr>
            <w:r>
              <w:rPr/>
              <w:t>MBE</w:t>
            </w:r>
            <w:r>
              <w:rPr>
                <w:spacing w:val="6"/>
              </w:rPr>
              <w:t>(分子束外延)</w:t>
            </w:r>
          </w:p>
        </w:tc>
        <w:tc>
          <w:tcPr>
            <w:tcW w:w="414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97"/>
              <w:spacing w:before="258" w:line="219" w:lineRule="auto"/>
              <w:rPr/>
            </w:pPr>
            <w:r>
              <w:rPr>
                <w:spacing w:val="1"/>
              </w:rPr>
              <w:t>完全不用于量产互连金属沉积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3" w:right="238"/>
              <w:spacing w:before="198" w:line="216" w:lineRule="auto"/>
              <w:rPr/>
            </w:pPr>
            <w:r>
              <w:rPr>
                <w:spacing w:val="-1"/>
              </w:rPr>
              <w:t>仅限实验室/特殊</w:t>
            </w:r>
            <w:r>
              <w:rPr/>
              <w:t xml:space="preserve"> </w:t>
            </w:r>
            <w:r>
              <w:rPr>
                <w:spacing w:val="5"/>
              </w:rPr>
              <w:t>材料研究</w:t>
            </w:r>
          </w:p>
        </w:tc>
        <w:tc>
          <w:tcPr>
            <w:tcW w:w="1598" w:type="dxa"/>
            <w:vAlign w:val="top"/>
            <w:tcBorders>
              <w:left w:val="nil"/>
            </w:tcBorders>
          </w:tcPr>
          <w:p>
            <w:pPr>
              <w:pStyle w:val="TableText"/>
              <w:ind w:left="148"/>
              <w:spacing w:before="258" w:line="219" w:lineRule="auto"/>
              <w:rPr/>
            </w:pPr>
            <w:r>
              <w:rPr>
                <w:spacing w:val="2"/>
              </w:rPr>
              <w:t>不用于量产</w:t>
            </w:r>
          </w:p>
        </w:tc>
      </w:tr>
    </w:tbl>
    <w:p>
      <w:pPr>
        <w:pStyle w:val="BodyText"/>
        <w:spacing w:before="313" w:line="213" w:lineRule="auto"/>
        <w:rPr/>
      </w:pPr>
      <w:r>
        <w:rPr>
          <w:spacing w:val="13"/>
        </w:rPr>
        <w:t>结论性排序(使用频率由高到低，2025-2026</w:t>
      </w:r>
      <w:r>
        <w:rPr>
          <w:spacing w:val="12"/>
        </w:rPr>
        <w:t>年量产实际情况):</w:t>
      </w:r>
    </w:p>
    <w:p>
      <w:pPr>
        <w:pStyle w:val="BodyText"/>
        <w:spacing w:before="173" w:line="221" w:lineRule="auto"/>
        <w:rPr/>
      </w:pPr>
      <w:r>
        <w:rPr>
          <w:rFonts w:ascii="Arial" w:hAnsi="Arial" w:eastAsia="Arial" w:cs="Arial"/>
        </w:rPr>
        <w:t>ALD</w:t>
      </w:r>
      <w:r>
        <w:rPr>
          <w:rFonts w:ascii="Arial" w:hAnsi="Arial" w:eastAsia="Arial" w:cs="Arial"/>
          <w:spacing w:val="18"/>
        </w:rPr>
        <w:t>&gt;&gt;</w:t>
      </w:r>
      <w:r>
        <w:rPr>
          <w:rFonts w:ascii="Arial" w:hAnsi="Arial" w:eastAsia="Arial" w:cs="Arial"/>
        </w:rPr>
        <w:t>PVD</w:t>
      </w:r>
      <w:r>
        <w:rPr>
          <w:rFonts w:ascii="Arial" w:hAnsi="Arial" w:eastAsia="Arial" w:cs="Arial"/>
          <w:spacing w:val="18"/>
        </w:rPr>
        <w:t>&gt;&gt;</w:t>
      </w:r>
      <w:r>
        <w:rPr>
          <w:rFonts w:ascii="Arial" w:hAnsi="Arial" w:eastAsia="Arial" w:cs="Arial"/>
        </w:rPr>
        <w:t>CVD</w:t>
      </w:r>
      <w:r>
        <w:rPr>
          <w:rFonts w:ascii="Arial" w:hAnsi="Arial" w:eastAsia="Arial" w:cs="Arial"/>
          <w:spacing w:val="18"/>
        </w:rPr>
        <w:t xml:space="preserve">      </w:t>
      </w:r>
      <w:r>
        <w:rPr>
          <w:spacing w:val="18"/>
        </w:rPr>
        <w:t>(少量场景)&gt;&gt;电子束蒸发(几乎无)≈</w:t>
      </w:r>
      <w:r>
        <w:rPr>
          <w:spacing w:val="-68"/>
        </w:rPr>
        <w:t xml:space="preserve"> </w:t>
      </w:r>
      <w:r>
        <w:rPr>
          <w:rFonts w:ascii="Arial" w:hAnsi="Arial" w:eastAsia="Arial" w:cs="Arial"/>
        </w:rPr>
        <w:t>MBE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spacing w:val="18"/>
        </w:rPr>
        <w:t>(无)</w:t>
      </w:r>
    </w:p>
    <w:p>
      <w:pPr>
        <w:pStyle w:val="BodyText"/>
        <w:spacing w:before="243" w:line="221" w:lineRule="auto"/>
        <w:rPr/>
      </w:pPr>
      <w:r>
        <w:rPr>
          <w:spacing w:val="7"/>
        </w:rPr>
        <w:t>问题2:这些设备分别用于沉积哪些具体金属薄膜?</w:t>
      </w:r>
    </w:p>
    <w:p>
      <w:pPr>
        <w:spacing w:line="221" w:lineRule="auto"/>
        <w:sectPr>
          <w:pgSz w:w="12240" w:h="15840"/>
          <w:pgMar w:top="1135" w:right="1024" w:bottom="0" w:left="980" w:header="0" w:footer="0" w:gutter="0"/>
        </w:sectPr>
        <w:rPr/>
      </w:pPr>
    </w:p>
    <w:tbl>
      <w:tblPr>
        <w:tblStyle w:val="TableNormal"/>
        <w:tblW w:w="1018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91"/>
        <w:gridCol w:w="4902"/>
        <w:gridCol w:w="1695"/>
        <w:gridCol w:w="2692"/>
      </w:tblGrid>
      <w:tr>
        <w:trPr>
          <w:trHeight w:val="2201" w:hRule="atLeast"/>
        </w:trPr>
        <w:tc>
          <w:tcPr>
            <w:tcW w:w="891" w:type="dxa"/>
            <w:vAlign w:val="top"/>
            <w:tcBorders>
              <w:right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2" w:line="221" w:lineRule="auto"/>
              <w:rPr/>
            </w:pPr>
            <w:r>
              <w:rPr>
                <w:b/>
                <w:bCs/>
                <w:spacing w:val="-6"/>
              </w:rPr>
              <w:t>设备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2" w:line="184" w:lineRule="auto"/>
              <w:rPr/>
            </w:pPr>
            <w:r>
              <w:rPr>
                <w:b/>
                <w:bCs/>
                <w:spacing w:val="-3"/>
              </w:rPr>
              <w:t>ALD</w:t>
            </w:r>
          </w:p>
        </w:tc>
        <w:tc>
          <w:tcPr>
            <w:tcW w:w="49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2" w:right="145"/>
              <w:spacing w:before="219" w:line="248" w:lineRule="auto"/>
              <w:rPr/>
            </w:pPr>
            <w:r>
              <w:rPr>
                <w:b/>
                <w:bCs/>
                <w:spacing w:val="-1"/>
              </w:rPr>
              <w:t>主要沉积的金属/金属化合物薄膜(先进节点典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8"/>
              </w:rPr>
              <w:t>型应用)</w:t>
            </w:r>
          </w:p>
          <w:p>
            <w:pPr>
              <w:pStyle w:val="TableText"/>
              <w:ind w:left="328" w:right="503"/>
              <w:spacing w:before="243" w:line="235" w:lineRule="auto"/>
              <w:rPr/>
            </w:pPr>
            <w:r>
              <w:rPr/>
              <w:t>TiN</w:t>
            </w:r>
            <w:r>
              <w:rPr>
                <w:spacing w:val="9"/>
              </w:rPr>
              <w:t>、</w:t>
            </w:r>
            <w:r>
              <w:rPr/>
              <w:t>TaN</w:t>
            </w:r>
            <w:r>
              <w:rPr>
                <w:spacing w:val="9"/>
              </w:rPr>
              <w:t>、</w:t>
            </w:r>
            <w:r>
              <w:rPr/>
              <w:t>Co</w:t>
            </w:r>
            <w:r>
              <w:rPr>
                <w:spacing w:val="9"/>
              </w:rPr>
              <w:t>、</w:t>
            </w:r>
            <w:r>
              <w:rPr/>
              <w:t>Ru</w:t>
            </w:r>
            <w:r>
              <w:rPr>
                <w:spacing w:val="9"/>
              </w:rPr>
              <w:t>、</w:t>
            </w:r>
            <w:r>
              <w:rPr/>
              <w:t>Mo</w:t>
            </w:r>
            <w:r>
              <w:rPr>
                <w:spacing w:val="9"/>
              </w:rPr>
              <w:t>、W(选择性</w:t>
            </w:r>
            <w:r>
              <w:rPr/>
              <w:t>ALD</w:t>
            </w:r>
            <w:r>
              <w:rPr>
                <w:spacing w:val="9"/>
              </w:rPr>
              <w:t>)、</w:t>
            </w:r>
            <w:r>
              <w:rPr/>
              <w:t xml:space="preserve"> </w:t>
            </w:r>
            <w:r>
              <w:rPr/>
              <w:t>Al</w:t>
            </w:r>
            <w:r>
              <w:rPr>
                <w:rFonts w:ascii="Calibri" w:hAnsi="Calibri" w:eastAsia="Calibri" w:cs="Calibri"/>
                <w:spacing w:val="14"/>
              </w:rPr>
              <w:t>₂</w:t>
            </w:r>
            <w:r>
              <w:rPr>
                <w:spacing w:val="14"/>
              </w:rPr>
              <w:t>O</w:t>
            </w:r>
            <w:r>
              <w:rPr>
                <w:rFonts w:ascii="Calibri" w:hAnsi="Calibri" w:eastAsia="Calibri" w:cs="Calibri"/>
                <w:spacing w:val="14"/>
              </w:rPr>
              <w:t>₃ </w:t>
            </w:r>
            <w:r>
              <w:rPr>
                <w:spacing w:val="14"/>
              </w:rPr>
              <w:t>(极薄阻挡)、</w:t>
            </w:r>
            <w:r>
              <w:rPr/>
              <w:t>HfN</w:t>
            </w:r>
            <w:r>
              <w:rPr>
                <w:spacing w:val="14"/>
              </w:rPr>
              <w:t>等</w:t>
            </w:r>
          </w:p>
        </w:tc>
        <w:tc>
          <w:tcPr>
            <w:tcW w:w="1695" w:type="dxa"/>
            <w:vAlign w:val="top"/>
            <w:tcBorders>
              <w:left w:val="nil"/>
              <w:right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72" w:line="219" w:lineRule="auto"/>
              <w:rPr/>
            </w:pPr>
            <w:r>
              <w:rPr>
                <w:b/>
                <w:bCs/>
              </w:rPr>
              <w:t>典型厚度范围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 w:right="459"/>
              <w:spacing w:before="72" w:line="235" w:lineRule="auto"/>
              <w:rPr/>
            </w:pPr>
            <w:r>
              <w:rPr>
                <w:spacing w:val="-2"/>
              </w:rPr>
              <w:t>2-10 nm(阻</w:t>
            </w:r>
            <w:r>
              <w:rPr>
                <w:spacing w:val="5"/>
              </w:rPr>
              <w:t xml:space="preserve"> </w:t>
            </w:r>
            <w:r>
              <w:rPr>
                <w:spacing w:val="11"/>
              </w:rPr>
              <w:t>挡/种子)</w:t>
            </w:r>
          </w:p>
          <w:p>
            <w:pPr>
              <w:pStyle w:val="TableText"/>
              <w:ind w:left="146" w:right="306"/>
              <w:spacing w:before="16" w:line="230" w:lineRule="auto"/>
              <w:rPr/>
            </w:pPr>
            <w:r>
              <w:rPr>
                <w:spacing w:val="1"/>
              </w:rPr>
              <w:t>10-30</w:t>
            </w:r>
            <w:r>
              <w:rPr>
                <w:spacing w:val="24"/>
              </w:rPr>
              <w:t xml:space="preserve"> </w:t>
            </w:r>
            <w:r>
              <w:rPr/>
              <w:t>nm</w:t>
            </w:r>
            <w:r>
              <w:rPr>
                <w:spacing w:val="1"/>
              </w:rPr>
              <w:t>(部</w:t>
            </w:r>
            <w:r>
              <w:rPr/>
              <w:t xml:space="preserve"> </w:t>
            </w:r>
            <w:r>
              <w:rPr>
                <w:spacing w:val="-9"/>
              </w:rPr>
              <w:t>分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填</w:t>
            </w:r>
            <w:r>
              <w:rPr>
                <w:spacing w:val="-39"/>
              </w:rPr>
              <w:t xml:space="preserve"> </w:t>
            </w:r>
            <w:r>
              <w:rPr>
                <w:spacing w:val="-9"/>
              </w:rPr>
              <w:t>充</w:t>
            </w:r>
            <w:r>
              <w:rPr>
                <w:spacing w:val="-41"/>
              </w:rPr>
              <w:t xml:space="preserve"> </w:t>
            </w:r>
            <w:r>
              <w:rPr>
                <w:spacing w:val="-9"/>
              </w:rPr>
              <w:t>)</w:t>
            </w:r>
          </w:p>
        </w:tc>
        <w:tc>
          <w:tcPr>
            <w:tcW w:w="2692" w:type="dxa"/>
            <w:vAlign w:val="top"/>
            <w:tcBorders>
              <w:left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 w:line="219" w:lineRule="auto"/>
              <w:rPr/>
            </w:pPr>
            <w:r>
              <w:rPr>
                <w:b/>
                <w:bCs/>
                <w:spacing w:val="-4"/>
              </w:rPr>
              <w:t>主要功能层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 w:right="24"/>
              <w:spacing w:before="71" w:line="238" w:lineRule="auto"/>
              <w:rPr/>
            </w:pPr>
            <w:r>
              <w:rPr/>
              <w:t>阻挡层、种子层、直接填</w:t>
            </w:r>
            <w:r>
              <w:rPr>
                <w:spacing w:val="9"/>
              </w:rPr>
              <w:t xml:space="preserve"> </w:t>
            </w:r>
            <w:r>
              <w:rPr>
                <w:spacing w:val="11"/>
              </w:rPr>
              <w:t>充(</w:t>
            </w:r>
            <w:r>
              <w:rPr/>
              <w:t>Co</w:t>
            </w:r>
            <w:r>
              <w:rPr>
                <w:spacing w:val="11"/>
              </w:rPr>
              <w:t>、</w:t>
            </w:r>
            <w:r>
              <w:rPr/>
              <w:t>Ru</w:t>
            </w:r>
            <w:r>
              <w:rPr>
                <w:spacing w:val="11"/>
              </w:rPr>
              <w:t>)</w:t>
            </w:r>
          </w:p>
        </w:tc>
      </w:tr>
      <w:tr>
        <w:trPr>
          <w:trHeight w:val="1447" w:hRule="atLeast"/>
        </w:trPr>
        <w:tc>
          <w:tcPr>
            <w:tcW w:w="891" w:type="dxa"/>
            <w:vAlign w:val="top"/>
            <w:tcBorders>
              <w:right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2" w:line="182" w:lineRule="auto"/>
              <w:rPr/>
            </w:pPr>
            <w:r>
              <w:rPr>
                <w:b/>
                <w:bCs/>
                <w:spacing w:val="-4"/>
              </w:rPr>
              <w:t>PVD</w:t>
            </w:r>
          </w:p>
        </w:tc>
        <w:tc>
          <w:tcPr>
            <w:tcW w:w="49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98" w:right="429"/>
              <w:spacing w:before="261" w:line="245" w:lineRule="auto"/>
              <w:rPr/>
            </w:pPr>
            <w:r>
              <w:rPr>
                <w:spacing w:val="-1"/>
              </w:rPr>
              <w:t>Cu(主互连填充与晶种层)、Co(部分种子/填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充)、</w:t>
            </w:r>
            <w:r>
              <w:rPr/>
              <w:t>Ti</w:t>
            </w:r>
            <w:r>
              <w:rPr>
                <w:spacing w:val="4"/>
              </w:rPr>
              <w:t>/</w:t>
            </w:r>
            <w:r>
              <w:rPr/>
              <w:t>TiN</w:t>
            </w:r>
            <w:r>
              <w:rPr>
                <w:spacing w:val="4"/>
              </w:rPr>
              <w:t>(传统阻挡)、</w:t>
            </w:r>
            <w:r>
              <w:rPr/>
              <w:t>Ta</w:t>
            </w:r>
            <w:r>
              <w:rPr>
                <w:spacing w:val="4"/>
              </w:rPr>
              <w:t>/</w:t>
            </w:r>
            <w:r>
              <w:rPr/>
              <w:t>TaN</w:t>
            </w:r>
          </w:p>
        </w:tc>
        <w:tc>
          <w:tcPr>
            <w:tcW w:w="169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6"/>
              <w:spacing w:before="256" w:line="222" w:lineRule="auto"/>
              <w:rPr/>
            </w:pPr>
            <w:r>
              <w:rPr/>
              <w:t>2-15</w:t>
            </w:r>
            <w:r>
              <w:rPr>
                <w:spacing w:val="17"/>
              </w:rPr>
              <w:t xml:space="preserve"> </w:t>
            </w:r>
            <w:r>
              <w:rPr/>
              <w:t>nm(晶</w:t>
            </w:r>
          </w:p>
          <w:p>
            <w:pPr>
              <w:pStyle w:val="TableText"/>
              <w:ind w:left="136" w:right="457"/>
              <w:spacing w:before="2" w:line="245" w:lineRule="auto"/>
              <w:tabs>
                <w:tab w:val="left" w:pos="286"/>
              </w:tabs>
              <w:rPr/>
            </w:pPr>
            <w:r>
              <w:rPr>
                <w:spacing w:val="11"/>
              </w:rPr>
              <w:t>种/阻挡)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50-500</w:t>
            </w:r>
            <w:r>
              <w:rPr>
                <w:spacing w:val="11"/>
              </w:rPr>
              <w:t xml:space="preserve">  </w:t>
            </w:r>
            <w:r>
              <w:rPr>
                <w:spacing w:val="-3"/>
              </w:rPr>
              <w:t>nm</w:t>
            </w:r>
            <w:r>
              <w:rPr>
                <w:spacing w:val="1"/>
              </w:rPr>
              <w:t xml:space="preserve"> </w:t>
            </w:r>
            <w:r>
              <w:rPr/>
              <w:tab/>
            </w:r>
            <w:r>
              <w:rPr>
                <w:spacing w:val="12"/>
              </w:rPr>
              <w:t>(</w:t>
            </w:r>
            <w:r>
              <w:rPr/>
              <w:t>Cu</w:t>
            </w:r>
            <w:r>
              <w:rPr>
                <w:spacing w:val="12"/>
              </w:rPr>
              <w:t>填充)</w:t>
            </w:r>
          </w:p>
        </w:tc>
        <w:tc>
          <w:tcPr>
            <w:tcW w:w="2692" w:type="dxa"/>
            <w:vAlign w:val="top"/>
            <w:tcBorders>
              <w:left w:val="nil"/>
            </w:tcBorders>
          </w:tcPr>
          <w:p>
            <w:pPr>
              <w:pStyle w:val="TableText"/>
              <w:ind w:left="221" w:right="468"/>
              <w:spacing w:before="252" w:line="237" w:lineRule="auto"/>
              <w:rPr/>
            </w:pPr>
            <w:r>
              <w:rPr/>
              <w:t>Cu</w:t>
            </w:r>
            <w:r>
              <w:rPr>
                <w:spacing w:val="2"/>
              </w:rPr>
              <w:t>晶种层、部分阻挡</w:t>
            </w:r>
            <w:r>
              <w:rPr/>
              <w:t xml:space="preserve"> </w:t>
            </w:r>
            <w:r>
              <w:rPr>
                <w:spacing w:val="-2"/>
              </w:rPr>
              <w:t>层、填充主体</w:t>
            </w:r>
          </w:p>
        </w:tc>
      </w:tr>
      <w:tr>
        <w:trPr>
          <w:trHeight w:val="829" w:hRule="atLeast"/>
        </w:trPr>
        <w:tc>
          <w:tcPr>
            <w:tcW w:w="891" w:type="dxa"/>
            <w:vAlign w:val="top"/>
            <w:tcBorders>
              <w:right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1" w:line="183" w:lineRule="auto"/>
              <w:rPr/>
            </w:pPr>
            <w:r>
              <w:rPr>
                <w:b/>
                <w:bCs/>
                <w:spacing w:val="-5"/>
              </w:rPr>
              <w:t>CVD</w:t>
            </w:r>
          </w:p>
        </w:tc>
        <w:tc>
          <w:tcPr>
            <w:tcW w:w="49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8" w:right="724"/>
              <w:spacing w:before="197" w:line="236" w:lineRule="auto"/>
              <w:rPr/>
            </w:pPr>
            <w:r>
              <w:rPr/>
              <w:t>W(接触孔/通孔填充)、Co(早期Co</w:t>
            </w:r>
            <w:r>
              <w:rPr>
                <w:spacing w:val="-1"/>
              </w:rPr>
              <w:t>填充实</w:t>
            </w:r>
            <w:r>
              <w:rPr/>
              <w:t xml:space="preserve"> </w:t>
            </w:r>
            <w:r>
              <w:rPr>
                <w:spacing w:val="6"/>
              </w:rPr>
              <w:t>验)、</w:t>
            </w:r>
            <w:r>
              <w:rPr/>
              <w:t>TiN</w:t>
            </w:r>
            <w:r>
              <w:rPr>
                <w:spacing w:val="6"/>
              </w:rPr>
              <w:t>(部分老节点)</w:t>
            </w:r>
          </w:p>
        </w:tc>
        <w:tc>
          <w:tcPr>
            <w:tcW w:w="1695" w:type="dxa"/>
            <w:vAlign w:val="top"/>
            <w:tcBorders>
              <w:left w:val="nil"/>
              <w:right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71"/>
              <w:rPr/>
            </w:pPr>
            <w:r>
              <w:rPr>
                <w:spacing w:val="-1"/>
              </w:rPr>
              <w:t>20-100 nm</w:t>
            </w:r>
          </w:p>
        </w:tc>
        <w:tc>
          <w:tcPr>
            <w:tcW w:w="2692" w:type="dxa"/>
            <w:vAlign w:val="top"/>
            <w:tcBorders>
              <w:left w:val="nil"/>
            </w:tcBorders>
          </w:tcPr>
          <w:p>
            <w:pPr>
              <w:pStyle w:val="TableText"/>
              <w:ind w:left="211" w:right="282"/>
              <w:spacing w:before="185" w:line="254" w:lineRule="auto"/>
              <w:rPr/>
            </w:pPr>
            <w:r>
              <w:rPr>
                <w:spacing w:val="-1"/>
              </w:rPr>
              <w:t>接触/通孔钨填充(部分</w:t>
            </w:r>
            <w:r>
              <w:rPr>
                <w:spacing w:val="2"/>
              </w:rPr>
              <w:t xml:space="preserve"> </w:t>
            </w:r>
            <w:r>
              <w:rPr>
                <w:spacing w:val="11"/>
              </w:rPr>
              <w:t>节点仍在用)</w:t>
            </w:r>
          </w:p>
        </w:tc>
      </w:tr>
      <w:tr>
        <w:trPr>
          <w:trHeight w:val="789" w:hRule="atLeast"/>
        </w:trPr>
        <w:tc>
          <w:tcPr>
            <w:tcW w:w="891" w:type="dxa"/>
            <w:vAlign w:val="top"/>
            <w:tcBorders>
              <w:right w:val="nil"/>
            </w:tcBorders>
          </w:tcPr>
          <w:p>
            <w:pPr>
              <w:pStyle w:val="TableText"/>
              <w:ind w:left="138" w:right="72"/>
              <w:spacing w:before="183" w:line="230" w:lineRule="auto"/>
              <w:rPr/>
            </w:pPr>
            <w:r>
              <w:rPr>
                <w:b/>
                <w:bCs/>
                <w:spacing w:val="2"/>
              </w:rPr>
              <w:t>电子束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6"/>
              </w:rPr>
              <w:t>蒸发</w:t>
            </w:r>
          </w:p>
        </w:tc>
        <w:tc>
          <w:tcPr>
            <w:tcW w:w="49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8" w:right="119"/>
              <w:spacing w:before="185" w:line="238" w:lineRule="auto"/>
              <w:rPr/>
            </w:pPr>
            <w:r>
              <w:rPr>
                <w:spacing w:val="-9"/>
              </w:rPr>
              <w:t>几乎无量产应用；研发中可能用于某些高纯度稀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有金属(如某些过渡金属)</w:t>
            </w:r>
          </w:p>
        </w:tc>
        <w:tc>
          <w:tcPr>
            <w:tcW w:w="4387" w:type="dxa"/>
            <w:vAlign w:val="top"/>
            <w:gridSpan w:val="2"/>
            <w:tcBorders>
              <w:left w:val="nil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71" w:line="170" w:lineRule="exact"/>
              <w:rPr/>
            </w:pPr>
            <w:r>
              <w:rPr>
                <w:spacing w:val="-7"/>
                <w:position w:val="-4"/>
              </w:rPr>
              <w:t>一</w:t>
            </w:r>
            <w:r>
              <w:rPr>
                <w:spacing w:val="9"/>
                <w:position w:val="-4"/>
              </w:rPr>
              <w:t xml:space="preserve">            </w:t>
            </w:r>
            <w:r>
              <w:rPr>
                <w:spacing w:val="-7"/>
                <w:position w:val="-4"/>
              </w:rPr>
              <w:t>一</w:t>
            </w:r>
          </w:p>
        </w:tc>
      </w:tr>
      <w:tr>
        <w:trPr>
          <w:trHeight w:val="744" w:hRule="atLeast"/>
        </w:trPr>
        <w:tc>
          <w:tcPr>
            <w:tcW w:w="891" w:type="dxa"/>
            <w:vAlign w:val="top"/>
            <w:tcBorders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72" w:line="182" w:lineRule="auto"/>
              <w:rPr/>
            </w:pPr>
            <w:r>
              <w:rPr>
                <w:b/>
                <w:bCs/>
                <w:spacing w:val="-3"/>
              </w:rPr>
              <w:t>MBE</w:t>
            </w:r>
          </w:p>
        </w:tc>
        <w:tc>
          <w:tcPr>
            <w:tcW w:w="49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8" w:right="119"/>
              <w:spacing w:before="207" w:line="221" w:lineRule="auto"/>
              <w:rPr/>
            </w:pPr>
            <w:r>
              <w:rPr>
                <w:spacing w:val="-8"/>
              </w:rPr>
              <w:t>无量产应用；仅限实验室生长超薄单晶金属或异</w:t>
            </w:r>
            <w:r>
              <w:rPr/>
              <w:t xml:space="preserve"> </w:t>
            </w:r>
            <w:r>
              <w:rPr>
                <w:spacing w:val="4"/>
              </w:rPr>
              <w:t>质结构(如某些磁性金属)</w:t>
            </w:r>
          </w:p>
        </w:tc>
        <w:tc>
          <w:tcPr>
            <w:tcW w:w="4387" w:type="dxa"/>
            <w:vAlign w:val="top"/>
            <w:gridSpan w:val="2"/>
            <w:tcBorders>
              <w:left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71" w:line="171" w:lineRule="exact"/>
              <w:rPr/>
            </w:pPr>
            <w:r>
              <w:rPr>
                <w:spacing w:val="-7"/>
                <w:position w:val="-4"/>
              </w:rPr>
              <w:t>一</w:t>
            </w:r>
            <w:r>
              <w:rPr>
                <w:spacing w:val="9"/>
                <w:position w:val="-4"/>
              </w:rPr>
              <w:t xml:space="preserve">            </w:t>
            </w:r>
            <w:r>
              <w:rPr>
                <w:spacing w:val="-7"/>
                <w:position w:val="-4"/>
              </w:rPr>
              <w:t>一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b/>
          <w:bCs/>
          <w:spacing w:val="3"/>
        </w:rPr>
        <w:t>问题3:为什么在先进制程中选择这些特定的设备和材料组合</w:t>
      </w:r>
      <w:r>
        <w:rPr>
          <w:spacing w:val="3"/>
        </w:rPr>
        <w:t>?</w:t>
      </w:r>
      <w:r>
        <w:rPr>
          <w:spacing w:val="3"/>
        </w:rPr>
        <w:t xml:space="preserve">  </w:t>
      </w:r>
      <w:r>
        <w:rPr>
          <w:spacing w:val="3"/>
        </w:rPr>
        <w:t>(核心技</w:t>
      </w:r>
      <w:r>
        <w:rPr>
          <w:spacing w:val="2"/>
        </w:rPr>
        <w:t>术原因分析)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4"/>
        </w:rPr>
        <w:t>二、先进制程金属沉积面临的核心技术挑战(</w:t>
      </w:r>
      <w:r>
        <w:rPr>
          <w:sz w:val="30"/>
          <w:szCs w:val="30"/>
          <w:b/>
          <w:bCs/>
          <w:spacing w:val="3"/>
        </w:rPr>
        <w:t>背景)</w:t>
      </w:r>
    </w:p>
    <w:p>
      <w:pPr>
        <w:pStyle w:val="BodyText"/>
        <w:spacing w:before="223" w:line="221" w:lineRule="auto"/>
        <w:rPr/>
      </w:pPr>
      <w:r>
        <w:rPr>
          <w:rFonts w:ascii="SimSun" w:hAnsi="SimSun" w:eastAsia="SimSun" w:cs="SimSun"/>
          <w:spacing w:val="-2"/>
        </w:rPr>
        <w:t>7nm</w:t>
      </w:r>
      <w:r>
        <w:rPr>
          <w:rFonts w:ascii="SimSun" w:hAnsi="SimSun" w:eastAsia="SimSun" w:cs="SimSun"/>
          <w:spacing w:val="98"/>
        </w:rPr>
        <w:t xml:space="preserve"> </w:t>
      </w:r>
      <w:r>
        <w:rPr>
          <w:spacing w:val="-2"/>
        </w:rPr>
        <w:t>及以下节点互连与接触层的主要工艺限制包括：</w:t>
      </w:r>
    </w:p>
    <w:p>
      <w:pPr>
        <w:pStyle w:val="BodyText"/>
        <w:ind w:left="339"/>
        <w:spacing w:before="298" w:line="21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1. </w:t>
      </w:r>
      <w:r>
        <w:rPr/>
        <w:t>极高的深宽比</w:t>
      </w:r>
      <w:r>
        <w:rPr/>
        <w:t xml:space="preserve"> </w:t>
      </w:r>
      <w:r>
        <w:rPr>
          <w:rFonts w:ascii="SimSun" w:hAnsi="SimSun" w:eastAsia="SimSun" w:cs="SimSun"/>
        </w:rPr>
        <w:t>(aspect ratio):</w:t>
      </w:r>
      <w:r>
        <w:rPr>
          <w:rFonts w:ascii="SimSun" w:hAnsi="SimSun" w:eastAsia="SimSun" w:cs="SimSun"/>
          <w:spacing w:val="-55"/>
        </w:rPr>
        <w:t xml:space="preserve"> </w:t>
      </w:r>
      <w:r>
        <w:rPr/>
        <w:t>接触孔/通孔</w:t>
      </w:r>
      <w:r>
        <w:rPr>
          <w:rFonts w:ascii="SimSun" w:hAnsi="SimSun" w:eastAsia="SimSun" w:cs="SimSun"/>
        </w:rPr>
        <w:t>AR&gt;10-20,</w:t>
      </w:r>
      <w:r>
        <w:rPr>
          <w:rFonts w:ascii="SimSun" w:hAnsi="SimSun" w:eastAsia="SimSun" w:cs="SimSun"/>
          <w:spacing w:val="34"/>
        </w:rPr>
        <w:t xml:space="preserve">   </w:t>
      </w:r>
      <w:r>
        <w:rPr/>
        <w:t>沟槽</w:t>
      </w:r>
      <w:r>
        <w:rPr>
          <w:rFonts w:ascii="SimSun" w:hAnsi="SimSun" w:eastAsia="SimSun" w:cs="SimSun"/>
        </w:rPr>
        <w:t>AR&gt;5-10</w:t>
      </w:r>
    </w:p>
    <w:p>
      <w:pPr>
        <w:pStyle w:val="BodyText"/>
        <w:ind w:left="679" w:right="58" w:hanging="340"/>
        <w:spacing w:before="156" w:line="295" w:lineRule="auto"/>
        <w:rPr/>
      </w:pPr>
      <w:r>
        <w:rPr>
          <w:rFonts w:ascii="Arial" w:hAnsi="Arial" w:eastAsia="Arial" w:cs="Arial"/>
          <w:spacing w:val="7"/>
        </w:rPr>
        <w:t>2.</w:t>
      </w:r>
      <w:r>
        <w:rPr>
          <w:rFonts w:ascii="Arial" w:hAnsi="Arial" w:eastAsia="Arial" w:cs="Arial"/>
          <w:spacing w:val="74"/>
        </w:rPr>
        <w:t xml:space="preserve"> </w:t>
      </w:r>
      <w:r>
        <w:rPr>
          <w:spacing w:val="7"/>
        </w:rPr>
        <w:t>线宽/间距急剧缩小(金属半间距&lt;20</w:t>
      </w:r>
      <w:r>
        <w:rPr>
          <w:spacing w:val="62"/>
        </w:rPr>
        <w:t xml:space="preserve"> </w:t>
      </w:r>
      <w:r>
        <w:rPr>
          <w:rFonts w:ascii="Arial" w:hAnsi="Arial" w:eastAsia="Arial" w:cs="Arial"/>
        </w:rPr>
        <w:t>nm</w:t>
      </w:r>
      <w:r>
        <w:rPr>
          <w:rFonts w:ascii="Arial" w:hAnsi="Arial" w:eastAsia="Arial" w:cs="Arial"/>
          <w:spacing w:val="7"/>
        </w:rPr>
        <w:t>)→</w:t>
      </w:r>
      <w:r>
        <w:rPr>
          <w:rFonts w:ascii="Arial" w:hAnsi="Arial" w:eastAsia="Arial" w:cs="Arial"/>
          <w:spacing w:val="29"/>
          <w:w w:val="101"/>
        </w:rPr>
        <w:t xml:space="preserve">  </w:t>
      </w:r>
      <w:r>
        <w:rPr>
          <w:spacing w:val="7"/>
        </w:rPr>
        <w:t>电阻急剧上升(尺寸效应、晶界散射、界面</w:t>
      </w:r>
      <w:r>
        <w:rPr/>
        <w:t xml:space="preserve"> </w:t>
      </w:r>
      <w:r>
        <w:rPr>
          <w:spacing w:val="9"/>
        </w:rPr>
        <w:t>散射)</w:t>
      </w:r>
    </w:p>
    <w:p>
      <w:pPr>
        <w:pStyle w:val="BodyText"/>
        <w:ind w:left="339"/>
        <w:spacing w:before="206" w:line="327" w:lineRule="exact"/>
        <w:rPr/>
      </w:pPr>
      <w:r>
        <w:rPr>
          <w:rFonts w:ascii="Arial" w:hAnsi="Arial" w:eastAsia="Arial" w:cs="Arial"/>
          <w:spacing w:val="7"/>
          <w:position w:val="1"/>
        </w:rPr>
        <w:t>3.</w:t>
      </w:r>
      <w:r>
        <w:rPr>
          <w:rFonts w:ascii="Arial" w:hAnsi="Arial" w:eastAsia="Arial" w:cs="Arial"/>
          <w:spacing w:val="80"/>
          <w:position w:val="1"/>
        </w:rPr>
        <w:t xml:space="preserve"> </w:t>
      </w:r>
      <w:r>
        <w:rPr>
          <w:spacing w:val="7"/>
          <w:position w:val="1"/>
        </w:rPr>
        <w:t>阻挡层厚度必须压缩到&lt;3-5</w:t>
      </w:r>
      <w:r>
        <w:rPr>
          <w:spacing w:val="7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nm</w:t>
      </w:r>
      <w:r>
        <w:rPr>
          <w:rFonts w:ascii="Arial" w:hAnsi="Arial" w:eastAsia="Arial" w:cs="Arial"/>
          <w:spacing w:val="7"/>
          <w:position w:val="1"/>
        </w:rPr>
        <w:t xml:space="preserve"> </w:t>
      </w:r>
      <w:r>
        <w:rPr>
          <w:spacing w:val="7"/>
          <w:position w:val="1"/>
        </w:rPr>
        <w:t>仍需连续、无针孔</w:t>
      </w:r>
    </w:p>
    <w:p>
      <w:pPr>
        <w:pStyle w:val="BodyText"/>
        <w:ind w:left="668" w:right="137" w:hanging="329"/>
        <w:spacing w:before="256" w:line="272" w:lineRule="auto"/>
        <w:rPr/>
      </w:pPr>
      <w:r>
        <w:rPr>
          <w:rFonts w:ascii="SimSun" w:hAnsi="SimSun" w:eastAsia="SimSun" w:cs="SimSun"/>
          <w:spacing w:val="-1"/>
        </w:rPr>
        <w:t>4.Cu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spacing w:val="-1"/>
        </w:rPr>
        <w:t>在极小尺寸下电迁移与扩散问题加剧，传统</w:t>
      </w:r>
      <w:r>
        <w:rPr>
          <w:rFonts w:ascii="SimSun" w:hAnsi="SimSun" w:eastAsia="SimSun" w:cs="SimSun"/>
          <w:spacing w:val="-1"/>
        </w:rPr>
        <w:t>TaN/Ta+Cu   seed+Cu    ECP</w:t>
      </w:r>
      <w:r>
        <w:rPr>
          <w:spacing w:val="-1"/>
        </w:rPr>
        <w:t>流程的电阻贡</w:t>
      </w:r>
      <w:r>
        <w:rPr/>
        <w:t xml:space="preserve"> </w:t>
      </w:r>
      <w:r>
        <w:rPr>
          <w:spacing w:val="13"/>
        </w:rPr>
        <w:t>献已占总互连电阻的50%以上</w:t>
      </w:r>
    </w:p>
    <w:p>
      <w:pPr>
        <w:pStyle w:val="BodyText"/>
        <w:ind w:left="339"/>
        <w:spacing w:before="253" w:line="222" w:lineRule="auto"/>
        <w:rPr/>
      </w:pPr>
      <w:r>
        <w:rPr>
          <w:rFonts w:ascii="SimSun" w:hAnsi="SimSun" w:eastAsia="SimSun" w:cs="SimSun"/>
          <w:spacing w:val="25"/>
        </w:rPr>
        <w:t>5.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25"/>
        </w:rPr>
        <w:t>热预算越来越严格(&lt;400-450℃)</w:t>
      </w:r>
    </w:p>
    <w:p>
      <w:pPr>
        <w:pStyle w:val="BodyText"/>
        <w:ind w:right="3784" w:firstLine="339"/>
        <w:spacing w:before="281" w:line="334" w:lineRule="auto"/>
        <w:rPr/>
      </w:pPr>
      <w:r>
        <w:rPr>
          <w:rFonts w:ascii="SimSun" w:hAnsi="SimSun" w:eastAsia="SimSun" w:cs="SimSun"/>
        </w:rPr>
        <w:t>6.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需要同时满足低电阻、高可靠性、保形性、工艺窗</w:t>
      </w:r>
      <w:r>
        <w:rPr>
          <w:spacing w:val="-1"/>
        </w:rPr>
        <w:t>口宽</w:t>
      </w:r>
      <w:r>
        <w:rPr/>
        <w:t xml:space="preserve"> </w:t>
      </w:r>
      <w:r>
        <w:rPr>
          <w:spacing w:val="-1"/>
        </w:rPr>
        <w:t>这些挑战直接决定了设备与材料的选择逻辑。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三、设备-材料-应用场景的技术匹配深度分析</w:t>
      </w:r>
    </w:p>
    <w:p>
      <w:pPr>
        <w:spacing w:line="221" w:lineRule="auto"/>
        <w:sectPr>
          <w:pgSz w:w="12240" w:h="15840"/>
          <w:pgMar w:top="1135" w:right="1044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left="10"/>
        <w:spacing w:before="48" w:line="222" w:lineRule="auto"/>
        <w:rPr/>
      </w:pPr>
      <w:r>
        <w:rPr>
          <w:rFonts w:ascii="SimSun" w:hAnsi="SimSun" w:eastAsia="SimSun" w:cs="SimSun"/>
          <w:b/>
          <w:bCs/>
          <w:spacing w:val="-1"/>
        </w:rPr>
        <w:t>1.ALD——</w:t>
      </w:r>
      <w:r>
        <w:rPr>
          <w:rFonts w:ascii="SimSun" w:hAnsi="SimSun" w:eastAsia="SimSun" w:cs="SimSun"/>
          <w:spacing w:val="-1"/>
        </w:rPr>
        <w:t xml:space="preserve">  </w:t>
      </w:r>
      <w:r>
        <w:rPr>
          <w:b/>
          <w:bCs/>
          <w:spacing w:val="-1"/>
        </w:rPr>
        <w:t>成为先进节点金属沉积最核心技术的原因</w:t>
      </w:r>
    </w:p>
    <w:p>
      <w:pPr>
        <w:pStyle w:val="BodyText"/>
        <w:ind w:left="835" w:right="981" w:hanging="149"/>
        <w:spacing w:before="243" w:line="284" w:lineRule="auto"/>
        <w:rPr/>
      </w:pPr>
      <w:r>
        <w:rPr>
          <w:spacing w:val="5"/>
        </w:rPr>
        <w:t>·原子级保形性：在</w:t>
      </w:r>
      <w:r>
        <w:rPr>
          <w:rFonts w:ascii="SimSun" w:hAnsi="SimSun" w:eastAsia="SimSun" w:cs="SimSun"/>
        </w:rPr>
        <w:t>AR</w:t>
      </w:r>
      <w:r>
        <w:rPr>
          <w:rFonts w:ascii="SimSun" w:hAnsi="SimSun" w:eastAsia="SimSun" w:cs="SimSun"/>
          <w:spacing w:val="5"/>
        </w:rPr>
        <w:t>&gt;15-30   </w:t>
      </w:r>
      <w:r>
        <w:rPr>
          <w:spacing w:val="5"/>
        </w:rPr>
        <w:t>的结</w:t>
      </w:r>
      <w:r>
        <w:rPr>
          <w:spacing w:val="4"/>
        </w:rPr>
        <w:t>构中仍能实现近乎100%台阶覆盖，这是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PVD/CVD </w:t>
      </w:r>
      <w:r>
        <w:rPr>
          <w:spacing w:val="-2"/>
        </w:rPr>
        <w:t>完全无法企及的。</w:t>
      </w:r>
    </w:p>
    <w:p>
      <w:pPr>
        <w:pStyle w:val="BodyText"/>
        <w:ind w:left="835" w:right="55" w:hanging="149"/>
        <w:spacing w:before="222" w:line="280" w:lineRule="auto"/>
        <w:rPr/>
      </w:pPr>
      <w:r>
        <w:rPr>
          <w:spacing w:val="-3"/>
        </w:rPr>
        <w:t>·超薄连续膜能力：可在2-3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厚度实现连续、无针孔的</w:t>
      </w:r>
      <w:r>
        <w:rPr>
          <w:rFonts w:ascii="Times New Roman" w:hAnsi="Times New Roman" w:eastAsia="Times New Roman" w:cs="Times New Roman"/>
          <w:spacing w:val="-3"/>
        </w:rPr>
        <w:t>TiN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T</w:t>
      </w:r>
      <w:r>
        <w:rPr>
          <w:rFonts w:ascii="Times New Roman" w:hAnsi="Times New Roman" w:eastAsia="Times New Roman" w:cs="Times New Roman"/>
          <w:spacing w:val="-4"/>
        </w:rPr>
        <w:t>aN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Co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Ru </w:t>
      </w:r>
      <w:r>
        <w:rPr>
          <w:spacing w:val="-4"/>
        </w:rPr>
        <w:t>膜，这是</w:t>
      </w:r>
      <w:r>
        <w:rPr/>
        <w:t xml:space="preserve"> </w:t>
      </w:r>
      <w:r>
        <w:rPr>
          <w:spacing w:val="-1"/>
        </w:rPr>
        <w:t>阻挡层厚度持续缩减的唯一可行路径。</w:t>
      </w:r>
    </w:p>
    <w:p>
      <w:pPr>
        <w:pStyle w:val="BodyText"/>
        <w:ind w:left="686"/>
        <w:spacing w:before="243" w:line="222" w:lineRule="auto"/>
        <w:rPr/>
      </w:pPr>
      <w:r>
        <w:rPr>
          <w:spacing w:val="19"/>
        </w:rPr>
        <w:t>·</w:t>
      </w:r>
      <w:r>
        <w:rPr>
          <w:spacing w:val="-66"/>
        </w:rPr>
        <w:t xml:space="preserve"> </w:t>
      </w:r>
      <w:r>
        <w:rPr>
          <w:spacing w:val="19"/>
        </w:rPr>
        <w:t>低温工艺(&lt;300-400℃):兼容后段热预算。</w:t>
      </w:r>
    </w:p>
    <w:p>
      <w:pPr>
        <w:pStyle w:val="BodyText"/>
        <w:ind w:left="835" w:right="16" w:hanging="149"/>
        <w:spacing w:before="226" w:line="282" w:lineRule="auto"/>
        <w:rPr/>
      </w:pPr>
      <w:r>
        <w:rPr>
          <w:spacing w:val="-1"/>
        </w:rPr>
        <w:t>·材料多样性：开发出多种金属</w:t>
      </w:r>
      <w:r>
        <w:rPr>
          <w:rFonts w:ascii="Times New Roman" w:hAnsi="Times New Roman" w:eastAsia="Times New Roman" w:cs="Times New Roman"/>
          <w:spacing w:val="-1"/>
        </w:rPr>
        <w:t>ALD</w:t>
      </w:r>
      <w:r>
        <w:rPr>
          <w:spacing w:val="-1"/>
        </w:rPr>
        <w:t>前驱体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(Co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Ru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Mo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W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Ni 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等),使直接金属填</w:t>
      </w:r>
      <w:r>
        <w:rPr/>
        <w:t xml:space="preserve"> </w:t>
      </w:r>
      <w:r>
        <w:rPr>
          <w:spacing w:val="-11"/>
        </w:rPr>
        <w:t>充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11"/>
        </w:rPr>
        <w:t>(Direct Metal Fill)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1"/>
        </w:rPr>
        <w:t>成为可能。</w:t>
      </w:r>
    </w:p>
    <w:p>
      <w:pPr>
        <w:pStyle w:val="BodyText"/>
        <w:ind w:left="686"/>
        <w:spacing w:before="253" w:line="223" w:lineRule="auto"/>
        <w:rPr/>
      </w:pPr>
      <w:r>
        <w:rPr>
          <w:spacing w:val="-22"/>
        </w:rPr>
        <w:t>·</w:t>
      </w:r>
      <w:r>
        <w:rPr>
          <w:spacing w:val="-101"/>
        </w:rPr>
        <w:t xml:space="preserve"> </w:t>
      </w:r>
      <w:r>
        <w:rPr>
          <w:spacing w:val="-22"/>
        </w:rPr>
        <w:t>典型组合：</w:t>
      </w:r>
    </w:p>
    <w:p>
      <w:pPr>
        <w:pStyle w:val="BodyText"/>
        <w:ind w:left="1196"/>
        <w:spacing w:before="257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·</w:t>
      </w:r>
      <w:r>
        <w:rPr>
          <w:rFonts w:ascii="SimSun" w:hAnsi="SimSun" w:eastAsia="SimSun" w:cs="SimSun"/>
        </w:rPr>
        <w:t>TiN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</w:rPr>
        <w:t>TaN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4"/>
        </w:rPr>
        <w:t>)    </w:t>
      </w:r>
      <w:r>
        <w:rPr>
          <w:spacing w:val="4"/>
        </w:rPr>
        <w:t>作为超薄阻挡层(2-4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4"/>
        </w:rPr>
        <w:t>)</w:t>
      </w:r>
    </w:p>
    <w:p>
      <w:pPr>
        <w:pStyle w:val="BodyText"/>
        <w:ind w:left="1196"/>
        <w:spacing w:before="229" w:line="21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4"/>
        </w:rPr>
        <w:t>·</w:t>
      </w:r>
      <w:r>
        <w:rPr>
          <w:rFonts w:ascii="Arial" w:hAnsi="Arial" w:eastAsia="Arial" w:cs="Arial"/>
        </w:rPr>
        <w:t>Ru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Co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Arial" w:hAnsi="Arial" w:eastAsia="Arial" w:cs="Arial"/>
        </w:rPr>
        <w:t>Mo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spacing w:val="4"/>
        </w:rPr>
        <w:t>作为晶种层或直接填充材料(取代部分</w:t>
      </w:r>
      <w:r>
        <w:rPr>
          <w:rFonts w:ascii="Arial" w:hAnsi="Arial" w:eastAsia="Arial" w:cs="Arial"/>
        </w:rPr>
        <w:t>Cu</w:t>
      </w:r>
      <w:r>
        <w:rPr>
          <w:rFonts w:ascii="Arial" w:hAnsi="Arial" w:eastAsia="Arial" w:cs="Arial"/>
          <w:spacing w:val="4"/>
        </w:rPr>
        <w:t>)</w:t>
      </w:r>
    </w:p>
    <w:p>
      <w:pPr>
        <w:pStyle w:val="BodyText"/>
        <w:ind w:left="1196"/>
        <w:spacing w:before="231" w:line="327" w:lineRule="exact"/>
        <w:rPr/>
      </w:pPr>
      <w:r>
        <w:rPr>
          <w:spacing w:val="-2"/>
          <w:position w:val="3"/>
        </w:rPr>
        <w:t>·选择性</w:t>
      </w:r>
      <w:r>
        <w:rPr>
          <w:rFonts w:ascii="Arial" w:hAnsi="Arial" w:eastAsia="Arial" w:cs="Arial"/>
          <w:spacing w:val="-2"/>
          <w:position w:val="3"/>
        </w:rPr>
        <w:t>ALD(Selective     ALD)</w:t>
      </w:r>
      <w:r>
        <w:rPr>
          <w:rFonts w:ascii="Arial" w:hAnsi="Arial" w:eastAsia="Arial" w:cs="Arial"/>
          <w:spacing w:val="73"/>
          <w:position w:val="3"/>
        </w:rPr>
        <w:t xml:space="preserve"> </w:t>
      </w:r>
      <w:r>
        <w:rPr>
          <w:spacing w:val="-2"/>
          <w:position w:val="3"/>
        </w:rPr>
        <w:t>用于</w:t>
      </w:r>
      <w:r>
        <w:rPr>
          <w:rFonts w:ascii="Arial" w:hAnsi="Arial" w:eastAsia="Arial" w:cs="Arial"/>
          <w:spacing w:val="-2"/>
          <w:position w:val="3"/>
        </w:rPr>
        <w:t>bottom-up  </w:t>
      </w:r>
      <w:r>
        <w:rPr>
          <w:spacing w:val="-2"/>
          <w:position w:val="3"/>
        </w:rPr>
        <w:t>填充或自对准工艺</w:t>
      </w:r>
    </w:p>
    <w:p>
      <w:pPr>
        <w:pStyle w:val="BodyText"/>
        <w:spacing w:before="316" w:line="213" w:lineRule="auto"/>
        <w:rPr/>
      </w:pPr>
      <w:r>
        <w:rPr>
          <w:rFonts w:ascii="SimSun" w:hAnsi="SimSun" w:eastAsia="SimSun" w:cs="SimSun"/>
          <w:b/>
          <w:bCs/>
          <w:spacing w:val="-2"/>
        </w:rPr>
        <w:t>2.PVD——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b/>
          <w:bCs/>
          <w:spacing w:val="-2"/>
        </w:rPr>
        <w:t>仍然不可或缺，但角色已大幅转变</w:t>
      </w:r>
    </w:p>
    <w:p>
      <w:pPr>
        <w:pStyle w:val="BodyText"/>
        <w:ind w:left="835" w:right="200" w:hanging="149"/>
        <w:spacing w:before="266" w:line="280" w:lineRule="auto"/>
        <w:rPr/>
      </w:pPr>
      <w:r>
        <w:rPr>
          <w:rFonts w:ascii="Arial" w:hAnsi="Arial" w:eastAsia="Arial" w:cs="Arial"/>
          <w:spacing w:val="-1"/>
        </w:rPr>
        <w:t>·Cu   PVD</w:t>
      </w:r>
      <w:r>
        <w:rPr>
          <w:spacing w:val="-1"/>
        </w:rPr>
        <w:t>晶种层：尽管</w:t>
      </w:r>
      <w:r>
        <w:rPr>
          <w:rFonts w:ascii="Arial" w:hAnsi="Arial" w:eastAsia="Arial" w:cs="Arial"/>
          <w:spacing w:val="-1"/>
        </w:rPr>
        <w:t>ALD  Ru/Co</w:t>
      </w:r>
      <w:r>
        <w:rPr>
          <w:spacing w:val="-1"/>
        </w:rPr>
        <w:t>逐渐侵蚀其份</w:t>
      </w:r>
      <w:r>
        <w:rPr>
          <w:spacing w:val="-2"/>
        </w:rPr>
        <w:t>额，但在主流7-5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-2"/>
        </w:rPr>
        <w:t>nm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-2"/>
        </w:rPr>
        <w:t>节点，</w:t>
      </w:r>
      <w:r>
        <w:rPr>
          <w:rFonts w:ascii="Arial" w:hAnsi="Arial" w:eastAsia="Arial" w:cs="Arial"/>
          <w:spacing w:val="-2"/>
        </w:rPr>
        <w:t>Cu</w:t>
      </w:r>
      <w:r>
        <w:rPr>
          <w:spacing w:val="-2"/>
        </w:rPr>
        <w:t>互连</w:t>
      </w:r>
      <w:r>
        <w:rPr/>
        <w:t xml:space="preserve"> </w:t>
      </w:r>
      <w:r>
        <w:rPr/>
        <w:t>仍占主导，</w:t>
      </w:r>
      <w:r>
        <w:rPr>
          <w:rFonts w:ascii="Arial" w:hAnsi="Arial" w:eastAsia="Arial" w:cs="Arial"/>
        </w:rPr>
        <w:t>PVD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rFonts w:ascii="Arial" w:hAnsi="Arial" w:eastAsia="Arial" w:cs="Arial"/>
        </w:rPr>
        <w:t>Cu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rFonts w:ascii="Arial" w:hAnsi="Arial" w:eastAsia="Arial" w:cs="Arial"/>
        </w:rPr>
        <w:t>seed</w:t>
      </w:r>
      <w:r>
        <w:rPr/>
        <w:t>仍然是获得最佳晶粒取</w:t>
      </w:r>
      <w:r>
        <w:rPr>
          <w:spacing w:val="-1"/>
        </w:rPr>
        <w:t>向、低电阻</w:t>
      </w:r>
      <w:r>
        <w:rPr>
          <w:rFonts w:ascii="Arial" w:hAnsi="Arial" w:eastAsia="Arial" w:cs="Arial"/>
          <w:spacing w:val="-1"/>
        </w:rPr>
        <w:t>Cu</w:t>
      </w:r>
      <w:r>
        <w:rPr>
          <w:spacing w:val="-1"/>
        </w:rPr>
        <w:t>填充的基础。</w:t>
      </w:r>
    </w:p>
    <w:p>
      <w:pPr>
        <w:pStyle w:val="BodyText"/>
        <w:ind w:left="835" w:hanging="149"/>
        <w:spacing w:before="212" w:line="280" w:lineRule="auto"/>
        <w:rPr/>
      </w:pPr>
      <w:r>
        <w:rPr>
          <w:spacing w:val="-2"/>
        </w:rPr>
        <w:t>·反应性</w:t>
      </w:r>
      <w:r>
        <w:rPr>
          <w:rFonts w:ascii="Arial" w:hAnsi="Arial" w:eastAsia="Arial" w:cs="Arial"/>
          <w:spacing w:val="-2"/>
        </w:rPr>
        <w:t>PVD</w:t>
      </w:r>
      <w:r>
        <w:rPr>
          <w:rFonts w:ascii="Arial" w:hAnsi="Arial" w:eastAsia="Arial" w:cs="Arial"/>
          <w:spacing w:val="30"/>
        </w:rPr>
        <w:t xml:space="preserve">  </w:t>
      </w:r>
      <w:r>
        <w:rPr>
          <w:rFonts w:ascii="Arial" w:hAnsi="Arial" w:eastAsia="Arial" w:cs="Arial"/>
          <w:spacing w:val="-2"/>
        </w:rPr>
        <w:t>TiN/TaN: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-2"/>
        </w:rPr>
        <w:t>在某些对保形性要求稍低的场景，或作为</w:t>
      </w:r>
      <w:r>
        <w:rPr>
          <w:rFonts w:ascii="Arial" w:hAnsi="Arial" w:eastAsia="Arial" w:cs="Arial"/>
          <w:spacing w:val="-2"/>
        </w:rPr>
        <w:t>ALD</w:t>
      </w:r>
      <w:r>
        <w:rPr>
          <w:spacing w:val="-2"/>
        </w:rPr>
        <w:t>阻</w:t>
      </w:r>
      <w:r>
        <w:rPr>
          <w:spacing w:val="-3"/>
        </w:rPr>
        <w:t>挡层的过渡层/</w:t>
      </w:r>
      <w:r>
        <w:rPr/>
        <w:t xml:space="preserve"> </w:t>
      </w:r>
      <w:r>
        <w:rPr>
          <w:spacing w:val="-5"/>
        </w:rPr>
        <w:t>增强附着力层。</w:t>
      </w:r>
    </w:p>
    <w:p>
      <w:pPr>
        <w:pStyle w:val="BodyText"/>
        <w:ind w:left="835" w:right="211" w:hanging="149"/>
        <w:spacing w:before="254" w:line="273" w:lineRule="auto"/>
        <w:rPr/>
      </w:pPr>
      <w:r>
        <w:rPr>
          <w:spacing w:val="-1"/>
        </w:rPr>
        <w:t>·</w:t>
      </w:r>
      <w:r>
        <w:rPr>
          <w:spacing w:val="-88"/>
        </w:rPr>
        <w:t xml:space="preserve"> </w:t>
      </w:r>
      <w:r>
        <w:rPr>
          <w:spacing w:val="-1"/>
        </w:rPr>
        <w:t>局限：保形性随深宽比升高急剧下降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(AR&gt;6-8  </w:t>
      </w:r>
      <w:r>
        <w:rPr>
          <w:spacing w:val="-1"/>
        </w:rPr>
        <w:t>已明显变差),无法满足3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nm </w:t>
      </w:r>
      <w:r>
        <w:rPr>
          <w:spacing w:val="-1"/>
        </w:rPr>
        <w:t>以下最</w:t>
      </w:r>
      <w:r>
        <w:rPr/>
        <w:t xml:space="preserve"> </w:t>
      </w:r>
      <w:r>
        <w:rPr>
          <w:spacing w:val="-7"/>
        </w:rPr>
        <w:t>苛刻结构。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8" w:line="222" w:lineRule="auto"/>
        <w:rPr/>
      </w:pPr>
      <w:r>
        <w:rPr>
          <w:rFonts w:ascii="Times New Roman" w:hAnsi="Times New Roman" w:eastAsia="Times New Roman" w:cs="Times New Roman"/>
          <w:sz w:val="10"/>
          <w:szCs w:val="10"/>
          <w:position w:val="-2"/>
        </w:rPr>
        <w:drawing>
          <wp:inline distT="0" distB="0" distL="0" distR="0">
            <wp:extent cx="95211" cy="5079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1" cy="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3"/>
          <w:position w:val="-2"/>
        </w:rPr>
        <w:t xml:space="preserve">      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position w:val="-2"/>
        </w:rPr>
        <w:t>AIn                                                       </w:t>
      </w:r>
      <w:r>
        <w:rPr>
          <w:rFonts w:ascii="SimSun" w:hAnsi="SimSun" w:eastAsia="SimSun" w:cs="SimSun"/>
          <w:b/>
          <w:bCs/>
          <w:spacing w:val="-13"/>
        </w:rPr>
        <w:t>/Ll□1T</w:t>
      </w:r>
      <w:r>
        <w:rPr>
          <w:b/>
          <w:bCs/>
          <w:spacing w:val="-13"/>
        </w:rPr>
        <w:t>七怯户+</w:t>
      </w:r>
      <w:r>
        <w:rPr>
          <w:rFonts w:ascii="SimSun" w:hAnsi="SimSun" w:eastAsia="SimSun" w:cs="SimSun"/>
          <w:b/>
          <w:bCs/>
          <w:spacing w:val="-13"/>
        </w:rPr>
        <w:t>Z</w:t>
      </w:r>
      <w:r>
        <w:rPr>
          <w:b/>
          <w:bCs/>
          <w:spacing w:val="-13"/>
        </w:rPr>
        <w:t>早</w:t>
      </w:r>
    </w:p>
    <w:p>
      <w:pPr>
        <w:spacing w:line="222" w:lineRule="auto"/>
        <w:sectPr>
          <w:pgSz w:w="12240" w:h="15840"/>
          <w:pgMar w:top="1036" w:right="1030" w:bottom="0" w:left="1323" w:header="0" w:footer="0" w:gutter="0"/>
        </w:sectPr>
        <w:rPr/>
      </w:pPr>
    </w:p>
    <w:p>
      <w:pPr>
        <w:pStyle w:val="BodyText"/>
        <w:ind w:left="358"/>
        <w:spacing w:before="48" w:line="221" w:lineRule="auto"/>
        <w:rPr/>
      </w:pPr>
      <w:r>
        <w:rPr>
          <w:rFonts w:ascii="SimSun" w:hAnsi="SimSun" w:eastAsia="SimSun" w:cs="SimSun"/>
          <w:b/>
          <w:bCs/>
          <w:spacing w:val="2"/>
        </w:rPr>
        <w:t>5.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rFonts w:ascii="SimSun" w:hAnsi="SimSun" w:eastAsia="SimSun" w:cs="SimSun"/>
          <w:b/>
          <w:bCs/>
        </w:rPr>
        <w:t>VU</w:t>
      </w:r>
      <w:r>
        <w:rPr>
          <w:rFonts w:ascii="SimSun" w:hAnsi="SimSun" w:eastAsia="SimSun" w:cs="SimSun"/>
          <w:b/>
          <w:bCs/>
          <w:spacing w:val="2"/>
        </w:rPr>
        <w:t>—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b/>
          <w:bCs/>
          <w:spacing w:val="2"/>
        </w:rPr>
        <w:t>一</w:t>
      </w:r>
      <w:r>
        <w:rPr>
          <w:spacing w:val="-44"/>
        </w:rPr>
        <w:t xml:space="preserve"> </w:t>
      </w:r>
      <w:r>
        <w:rPr>
          <w:b/>
          <w:bCs/>
          <w:spacing w:val="2"/>
        </w:rPr>
        <w:t>边</w:t>
      </w:r>
      <w:r>
        <w:rPr>
          <w:spacing w:val="-45"/>
        </w:rPr>
        <w:t xml:space="preserve"> </w:t>
      </w:r>
      <w:r>
        <w:rPr>
          <w:b/>
          <w:bCs/>
          <w:spacing w:val="2"/>
        </w:rPr>
        <w:t>缘</w:t>
      </w:r>
      <w:r>
        <w:rPr>
          <w:spacing w:val="118"/>
        </w:rPr>
        <w:t xml:space="preserve"> </w:t>
      </w:r>
      <w:r>
        <w:rPr>
          <w:b/>
          <w:bCs/>
          <w:spacing w:val="2"/>
        </w:rPr>
        <w:t>但/有忖止切京</w:t>
      </w:r>
    </w:p>
    <w:p>
      <w:pPr>
        <w:pStyle w:val="BodyText"/>
        <w:ind w:left="1183" w:right="222" w:hanging="149"/>
        <w:spacing w:before="247" w:line="273" w:lineRule="auto"/>
        <w:rPr/>
      </w:pPr>
      <w:r>
        <w:rPr>
          <w:rFonts w:ascii="SimSun" w:hAnsi="SimSun" w:eastAsia="SimSun" w:cs="SimSun"/>
        </w:rPr>
        <w:t>·CVD-W  </w:t>
      </w:r>
      <w:r>
        <w:rPr/>
        <w:t>仍然是部分厂商接触孔/通孔填充的主流工艺(尤其</w:t>
      </w:r>
      <w:r>
        <w:rPr>
          <w:rFonts w:ascii="SimSun" w:hAnsi="SimSun" w:eastAsia="SimSun" w:cs="SimSun"/>
        </w:rPr>
        <w:t>DRAM  </w:t>
      </w:r>
      <w:r>
        <w:rPr/>
        <w:t>外围、逻辑接触层</w:t>
      </w:r>
      <w:r>
        <w:rPr>
          <w:spacing w:val="11"/>
        </w:rPr>
        <w:t xml:space="preserve"> </w:t>
      </w:r>
      <w:r>
        <w:rPr>
          <w:spacing w:val="-3"/>
        </w:rPr>
        <w:t>某些区域)。</w:t>
      </w:r>
    </w:p>
    <w:p>
      <w:pPr>
        <w:pStyle w:val="BodyText"/>
        <w:ind w:left="1034"/>
        <w:spacing w:before="247" w:line="219" w:lineRule="auto"/>
        <w:rPr/>
      </w:pPr>
      <w:r>
        <w:rPr>
          <w:spacing w:val="-4"/>
        </w:rPr>
        <w:t>·</w:t>
      </w:r>
      <w:r>
        <w:rPr>
          <w:spacing w:val="-84"/>
        </w:rPr>
        <w:t xml:space="preserve"> </w:t>
      </w:r>
      <w:r>
        <w:rPr>
          <w:spacing w:val="-4"/>
        </w:rPr>
        <w:t>原因：</w:t>
      </w:r>
      <w:r>
        <w:rPr>
          <w:rFonts w:ascii="SimSun" w:hAnsi="SimSun" w:eastAsia="SimSun" w:cs="SimSun"/>
          <w:spacing w:val="-4"/>
        </w:rPr>
        <w:t>W </w:t>
      </w:r>
      <w:r>
        <w:rPr>
          <w:spacing w:val="-4"/>
        </w:rPr>
        <w:t>对高深宽比结构的填充能力优于</w:t>
      </w:r>
      <w:r>
        <w:rPr>
          <w:rFonts w:ascii="SimSun" w:hAnsi="SimSun" w:eastAsia="SimSun" w:cs="SimSun"/>
          <w:spacing w:val="-4"/>
        </w:rPr>
        <w:t>PVD,  </w:t>
      </w:r>
      <w:r>
        <w:rPr>
          <w:spacing w:val="-4"/>
        </w:rPr>
        <w:t>且成本相对可控。</w:t>
      </w:r>
    </w:p>
    <w:p>
      <w:pPr>
        <w:pStyle w:val="BodyText"/>
        <w:ind w:left="1183" w:right="75" w:hanging="149"/>
        <w:spacing w:before="277" w:line="260" w:lineRule="auto"/>
        <w:rPr/>
      </w:pPr>
      <w:r>
        <w:rPr>
          <w:spacing w:val="2"/>
        </w:rPr>
        <w:t>·但在逻辑器件最先进节点(3</w:t>
      </w:r>
      <w:r>
        <w:rPr>
          <w:spacing w:val="2"/>
        </w:rPr>
        <w:t xml:space="preserve"> 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以下),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2"/>
        </w:rPr>
        <w:t>-W</w:t>
      </w:r>
      <w:r>
        <w:rPr>
          <w:rFonts w:ascii="SimSun" w:hAnsi="SimSun" w:eastAsia="SimSun" w:cs="SimSun"/>
          <w:spacing w:val="42"/>
        </w:rPr>
        <w:t xml:space="preserve">  </w:t>
      </w:r>
      <w:r>
        <w:rPr>
          <w:spacing w:val="2"/>
        </w:rPr>
        <w:t>正逐渐被</w:t>
      </w: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2"/>
        </w:rPr>
        <w:t>-W  </w:t>
      </w:r>
      <w:r>
        <w:rPr>
          <w:spacing w:val="2"/>
        </w:rPr>
        <w:t>或</w:t>
      </w: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2"/>
        </w:rPr>
        <w:t>-</w:t>
      </w:r>
      <w:r>
        <w:rPr>
          <w:rFonts w:ascii="SimSun" w:hAnsi="SimSun" w:eastAsia="SimSun" w:cs="SimSun"/>
        </w:rPr>
        <w:t>Co</w:t>
      </w:r>
      <w:r>
        <w:rPr>
          <w:rFonts w:ascii="SimSun" w:hAnsi="SimSun" w:eastAsia="SimSun" w:cs="SimSun"/>
          <w:spacing w:val="2"/>
        </w:rPr>
        <w:t>/</w:t>
      </w:r>
      <w:r>
        <w:rPr>
          <w:rFonts w:ascii="SimSun" w:hAnsi="SimSun" w:eastAsia="SimSun" w:cs="SimSun"/>
        </w:rPr>
        <w:t>Ru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2"/>
        </w:rPr>
        <w:t>直接</w:t>
      </w:r>
      <w:r>
        <w:rPr/>
        <w:t xml:space="preserve"> </w:t>
      </w:r>
      <w:r>
        <w:rPr>
          <w:spacing w:val="-3"/>
        </w:rPr>
        <w:t>填充取代，主要原因是：</w:t>
      </w:r>
    </w:p>
    <w:p>
      <w:pPr>
        <w:pStyle w:val="BodyText"/>
        <w:ind w:left="1554"/>
        <w:spacing w:before="285" w:line="222" w:lineRule="auto"/>
        <w:rPr>
          <w:rFonts w:ascii="Arial" w:hAnsi="Arial" w:eastAsia="Arial" w:cs="Arial"/>
        </w:rPr>
      </w:pPr>
      <w:r>
        <w:rPr>
          <w:spacing w:val="-7"/>
        </w:rPr>
        <w:t>·</w:t>
      </w:r>
      <w:r>
        <w:rPr>
          <w:spacing w:val="-77"/>
        </w:rPr>
        <w:t xml:space="preserve"> </w:t>
      </w:r>
      <w:r>
        <w:rPr>
          <w:spacing w:val="-7"/>
        </w:rPr>
        <w:t>电阻率：</w:t>
      </w:r>
      <w:r>
        <w:rPr>
          <w:rFonts w:ascii="Arial" w:hAnsi="Arial" w:eastAsia="Arial" w:cs="Arial"/>
          <w:spacing w:val="-7"/>
        </w:rPr>
        <w:t>ALD-Co/Ru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-7"/>
        </w:rPr>
        <w:t>在&lt;30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-7"/>
        </w:rPr>
        <w:t>nm  CD</w:t>
      </w:r>
      <w:r>
        <w:rPr>
          <w:spacing w:val="-7"/>
        </w:rPr>
        <w:t>时已优于</w:t>
      </w:r>
      <w:r>
        <w:rPr>
          <w:rFonts w:ascii="Arial" w:hAnsi="Arial" w:eastAsia="Arial" w:cs="Arial"/>
          <w:spacing w:val="-7"/>
        </w:rPr>
        <w:t>W</w:t>
      </w:r>
    </w:p>
    <w:p>
      <w:pPr>
        <w:pStyle w:val="BodyText"/>
        <w:ind w:left="1554"/>
        <w:spacing w:before="229" w:line="213" w:lineRule="auto"/>
        <w:rPr/>
      </w:pPr>
      <w:r>
        <w:rPr>
          <w:spacing w:val="-5"/>
        </w:rPr>
        <w:t>·</w:t>
      </w:r>
      <w:r>
        <w:rPr>
          <w:spacing w:val="-101"/>
        </w:rPr>
        <w:t xml:space="preserve"> </w:t>
      </w:r>
      <w:r>
        <w:rPr>
          <w:spacing w:val="-5"/>
        </w:rPr>
        <w:t>工艺窗口：</w:t>
      </w:r>
      <w:r>
        <w:rPr>
          <w:rFonts w:ascii="SimSun" w:hAnsi="SimSun" w:eastAsia="SimSun" w:cs="SimSun"/>
          <w:spacing w:val="-5"/>
        </w:rPr>
        <w:t>CVD-W</w:t>
      </w:r>
      <w:r>
        <w:rPr>
          <w:rFonts w:ascii="SimSun" w:hAnsi="SimSun" w:eastAsia="SimSun" w:cs="SimSun"/>
          <w:spacing w:val="29"/>
        </w:rPr>
        <w:t xml:space="preserve">  </w:t>
      </w:r>
      <w:r>
        <w:rPr>
          <w:spacing w:val="-5"/>
        </w:rPr>
        <w:t>对种子层依赖强，</w:t>
      </w:r>
      <w:r>
        <w:rPr>
          <w:rFonts w:ascii="SimSun" w:hAnsi="SimSun" w:eastAsia="SimSun" w:cs="SimSun"/>
          <w:spacing w:val="-6"/>
        </w:rPr>
        <w:t>ALD </w:t>
      </w:r>
      <w:r>
        <w:rPr>
          <w:spacing w:val="-6"/>
        </w:rPr>
        <w:t>更鲁棒</w:t>
      </w:r>
    </w:p>
    <w:p>
      <w:pPr>
        <w:rPr>
          <w:rFonts w:ascii="Arial"/>
          <w:sz w:val="21"/>
        </w:rPr>
      </w:pPr>
      <w:r/>
    </w:p>
    <w:p>
      <w:pPr>
        <w:pStyle w:val="BodyText"/>
        <w:ind w:left="364"/>
        <w:spacing w:before="78" w:line="221" w:lineRule="auto"/>
        <w:rPr/>
      </w:pPr>
      <w:r>
        <w:rPr>
          <w:rFonts w:ascii="Arial" w:hAnsi="Arial" w:eastAsia="Arial" w:cs="Arial"/>
          <w:b/>
          <w:bCs/>
          <w:spacing w:val="2"/>
        </w:rPr>
        <w:t>4.  </w:t>
      </w:r>
      <w:r>
        <w:rPr>
          <w:b/>
          <w:bCs/>
          <w:spacing w:val="2"/>
        </w:rPr>
        <w:t>电子束蒸发&amp;</w:t>
      </w:r>
      <w:r>
        <w:rPr>
          <w:spacing w:val="-35"/>
        </w:rPr>
        <w:t xml:space="preserve"> </w:t>
      </w:r>
      <w:r>
        <w:rPr>
          <w:rFonts w:ascii="Arial" w:hAnsi="Arial" w:eastAsia="Arial" w:cs="Arial"/>
          <w:b/>
          <w:bCs/>
        </w:rPr>
        <w:t>MBE</w:t>
      </w:r>
      <w:r>
        <w:rPr>
          <w:rFonts w:ascii="Arial" w:hAnsi="Arial" w:eastAsia="Arial" w:cs="Arial"/>
          <w:b/>
          <w:bCs/>
          <w:spacing w:val="2"/>
        </w:rPr>
        <w:t>——</w:t>
      </w:r>
      <w:r>
        <w:rPr>
          <w:rFonts w:ascii="Arial" w:hAnsi="Arial" w:eastAsia="Arial" w:cs="Arial"/>
          <w:b/>
          <w:bCs/>
          <w:spacing w:val="-19"/>
        </w:rPr>
        <w:t xml:space="preserve"> </w:t>
      </w:r>
      <w:r>
        <w:rPr>
          <w:b/>
          <w:bCs/>
          <w:spacing w:val="2"/>
        </w:rPr>
        <w:t>基本退出量产前端互连</w:t>
      </w:r>
    </w:p>
    <w:p>
      <w:pPr>
        <w:pStyle w:val="BodyText"/>
        <w:ind w:left="1183" w:right="209" w:hanging="149"/>
        <w:spacing w:before="246" w:line="276" w:lineRule="auto"/>
        <w:rPr/>
      </w:pPr>
      <w:r>
        <w:rPr>
          <w:spacing w:val="-3"/>
        </w:rPr>
        <w:t>·</w:t>
      </w:r>
      <w:r>
        <w:rPr>
          <w:b/>
          <w:bCs/>
          <w:spacing w:val="-3"/>
        </w:rPr>
        <w:t>电子束蒸发：</w:t>
      </w:r>
      <w:r>
        <w:rPr>
          <w:spacing w:val="-3"/>
        </w:rPr>
        <w:t>方向性太强，几乎无保形性；颗粒化严重；无法适应高深宽比结构；已</w:t>
      </w:r>
      <w:r>
        <w:rPr>
          <w:spacing w:val="3"/>
        </w:rPr>
        <w:t xml:space="preserve"> </w:t>
      </w:r>
      <w:r>
        <w:rPr>
          <w:spacing w:val="-5"/>
        </w:rPr>
        <w:t>完全被溅射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-5"/>
        </w:rPr>
        <w:t>(PVD)</w:t>
      </w:r>
      <w:r>
        <w:rPr>
          <w:rFonts w:ascii="SimSun" w:hAnsi="SimSun" w:eastAsia="SimSun" w:cs="SimSun"/>
          <w:spacing w:val="31"/>
        </w:rPr>
        <w:t xml:space="preserve">  </w:t>
      </w:r>
      <w:r>
        <w:rPr>
          <w:spacing w:val="-5"/>
        </w:rPr>
        <w:t>取代。</w:t>
      </w:r>
    </w:p>
    <w:p>
      <w:pPr>
        <w:pStyle w:val="BodyText"/>
        <w:ind w:left="1184" w:right="70" w:hanging="146"/>
        <w:spacing w:before="221" w:line="292" w:lineRule="auto"/>
        <w:rPr/>
      </w:pPr>
      <w:r>
        <w:rPr>
          <w:rFonts w:ascii="SimSun" w:hAnsi="SimSun" w:eastAsia="SimSun" w:cs="SimSun"/>
          <w:b/>
          <w:bCs/>
          <w:spacing w:val="2"/>
        </w:rPr>
        <w:t>·</w:t>
      </w:r>
      <w:r>
        <w:rPr>
          <w:rFonts w:ascii="SimSun" w:hAnsi="SimSun" w:eastAsia="SimSun" w:cs="SimSun"/>
          <w:b/>
          <w:bCs/>
        </w:rPr>
        <w:t>MBE</w:t>
      </w:r>
      <w:r>
        <w:rPr>
          <w:rFonts w:ascii="SimSun" w:hAnsi="SimSun" w:eastAsia="SimSun" w:cs="SimSun"/>
          <w:b/>
          <w:bCs/>
          <w:spacing w:val="2"/>
        </w:rPr>
        <w:t>: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2"/>
        </w:rPr>
        <w:t>生长速率极慢(</w:t>
      </w:r>
      <w:r>
        <w:rPr>
          <w:rFonts w:ascii="SimSun" w:hAnsi="SimSun" w:eastAsia="SimSun" w:cs="SimSun"/>
          <w:spacing w:val="2"/>
        </w:rPr>
        <w:t>Å</w:t>
      </w:r>
      <w:r>
        <w:rPr>
          <w:spacing w:val="2"/>
        </w:rPr>
        <w:t>/</w:t>
      </w:r>
      <w:r>
        <w:rPr>
          <w:rFonts w:ascii="SimSun" w:hAnsi="SimSun" w:eastAsia="SimSun" w:cs="SimSun"/>
          <w:spacing w:val="2"/>
        </w:rPr>
        <w:t>s</w:t>
      </w:r>
      <w:r>
        <w:rPr>
          <w:spacing w:val="2"/>
        </w:rPr>
        <w:t>级别)、超高真空要求、成本极高、面积扩展</w:t>
      </w:r>
      <w:r>
        <w:rPr>
          <w:spacing w:val="1"/>
        </w:rPr>
        <w:t>性差，仅适合</w:t>
      </w:r>
      <w:r>
        <w:rPr/>
        <w:t xml:space="preserve"> </w:t>
      </w:r>
      <w:r>
        <w:rPr>
          <w:spacing w:val="7"/>
        </w:rPr>
        <w:t>实验室生长超薄单晶金属膜或异质结构研究(如自旋电子</w:t>
      </w:r>
      <w:r>
        <w:rPr>
          <w:spacing w:val="6"/>
        </w:rPr>
        <w:t>学、拓扑材料),与大规模量</w:t>
      </w:r>
      <w:r>
        <w:rPr/>
        <w:t xml:space="preserve"> </w:t>
      </w:r>
      <w:r>
        <w:rPr>
          <w:spacing w:val="-4"/>
        </w:rPr>
        <w:t>产互连工艺完全无关。</w:t>
      </w:r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02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74"/>
        <w:gridCol w:w="1994"/>
        <w:gridCol w:w="2726"/>
        <w:gridCol w:w="1592"/>
        <w:gridCol w:w="2773"/>
      </w:tblGrid>
      <w:tr>
        <w:trPr>
          <w:trHeight w:val="389" w:hRule="atLeast"/>
        </w:trPr>
        <w:tc>
          <w:tcPr>
            <w:tcW w:w="10259" w:type="dxa"/>
            <w:vAlign w:val="top"/>
            <w:gridSpan w:val="5"/>
            <w:tcBorders>
              <w:top w:val="nil"/>
            </w:tcBorders>
          </w:tcPr>
          <w:p>
            <w:pPr>
              <w:pStyle w:val="TableText"/>
              <w:ind w:left="158"/>
              <w:spacing w:before="8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四、总结</w:t>
            </w:r>
            <w:r>
              <w:rPr>
                <w:sz w:val="23"/>
                <w:szCs w:val="23"/>
                <w:spacing w:val="42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1"/>
              </w:rPr>
              <w:t>：先进制程金属</w:t>
            </w:r>
            <w:r>
              <w:rPr>
                <w:sz w:val="23"/>
                <w:szCs w:val="23"/>
                <w:spacing w:val="30"/>
              </w:rPr>
              <w:t xml:space="preserve">   </w:t>
            </w:r>
            <w:r>
              <w:rPr>
                <w:sz w:val="23"/>
                <w:szCs w:val="23"/>
                <w:b/>
                <w:bCs/>
                <w:spacing w:val="-1"/>
              </w:rPr>
              <w:t>沉积设备版图的</w:t>
            </w:r>
            <w:r>
              <w:rPr>
                <w:sz w:val="23"/>
                <w:szCs w:val="23"/>
                <w:spacing w:val="-1"/>
              </w:rPr>
              <w:t xml:space="preserve">          </w:t>
            </w:r>
            <w:r>
              <w:rPr>
                <w:sz w:val="23"/>
                <w:szCs w:val="23"/>
                <w:b/>
                <w:bCs/>
                <w:spacing w:val="-1"/>
              </w:rPr>
              <w:t>现状与趋势(20</w:t>
            </w:r>
            <w:r>
              <w:rPr>
                <w:sz w:val="23"/>
                <w:szCs w:val="23"/>
                <w:spacing w:val="-1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1"/>
              </w:rPr>
              <w:t>26年视</w:t>
            </w:r>
            <w:r>
              <w:rPr>
                <w:sz w:val="23"/>
                <w:szCs w:val="23"/>
                <w:b/>
                <w:bCs/>
                <w:spacing w:val="-2"/>
              </w:rPr>
              <w:t>角)</w:t>
            </w:r>
          </w:p>
        </w:tc>
      </w:tr>
      <w:tr>
        <w:trPr>
          <w:trHeight w:val="967" w:hRule="atLeast"/>
        </w:trPr>
        <w:tc>
          <w:tcPr>
            <w:tcW w:w="1174" w:type="dxa"/>
            <w:vAlign w:val="top"/>
            <w:vMerge w:val="restart"/>
            <w:tcBorders>
              <w:bottom w:val="nil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4"/>
              </w:rPr>
              <w:t>节点</w:t>
            </w:r>
          </w:p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10-7</w:t>
            </w:r>
            <w:r>
              <w:rPr>
                <w:sz w:val="23"/>
                <w:szCs w:val="23"/>
                <w:spacing w:val="39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nm</w:t>
            </w:r>
          </w:p>
        </w:tc>
        <w:tc>
          <w:tcPr>
            <w:tcW w:w="1994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主导阻挡层沉积</w:t>
            </w:r>
          </w:p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75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ALD-TiN/TaN</w:t>
            </w:r>
          </w:p>
        </w:tc>
        <w:tc>
          <w:tcPr>
            <w:tcW w:w="2726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95"/>
              <w:spacing w:before="26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主导晶种/直接填充材</w:t>
            </w:r>
          </w:p>
          <w:p>
            <w:pPr>
              <w:pStyle w:val="TableText"/>
              <w:ind w:left="192"/>
              <w:spacing w:before="22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料</w:t>
            </w:r>
          </w:p>
        </w:tc>
        <w:tc>
          <w:tcPr>
            <w:tcW w:w="4365" w:type="dxa"/>
            <w:vAlign w:val="top"/>
            <w:gridSpan w:val="2"/>
            <w:tcBorders>
              <w:left w:val="nil"/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主导填充技术</w:t>
            </w:r>
            <w:r>
              <w:rPr>
                <w:sz w:val="23"/>
                <w:szCs w:val="23"/>
                <w:spacing w:val="31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5"/>
              </w:rPr>
              <w:t>备注</w:t>
            </w:r>
          </w:p>
        </w:tc>
      </w:tr>
      <w:tr>
        <w:trPr>
          <w:trHeight w:val="668" w:hRule="atLeast"/>
        </w:trPr>
        <w:tc>
          <w:tcPr>
            <w:tcW w:w="1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4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1" w:type="dxa"/>
            <w:vAlign w:val="top"/>
            <w:gridSpan w:val="3"/>
            <w:tcBorders>
              <w:left w:val="nil"/>
              <w:top w:val="nil"/>
            </w:tcBorders>
          </w:tcPr>
          <w:p>
            <w:pPr>
              <w:pStyle w:val="TableText"/>
              <w:ind w:left="192"/>
              <w:spacing w:before="182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2"/>
              </w:rPr>
              <w:t>PVD</w:t>
            </w:r>
            <w:r>
              <w:rPr>
                <w:sz w:val="23"/>
                <w:szCs w:val="23"/>
                <w:spacing w:val="1"/>
                <w:position w:val="2"/>
              </w:rPr>
              <w:t>-</w:t>
            </w:r>
            <w:r>
              <w:rPr>
                <w:sz w:val="23"/>
                <w:szCs w:val="23"/>
                <w:position w:val="2"/>
              </w:rPr>
              <w:t>Cu</w:t>
            </w:r>
            <w:r>
              <w:rPr>
                <w:sz w:val="23"/>
                <w:szCs w:val="23"/>
                <w:spacing w:val="1"/>
                <w:position w:val="2"/>
              </w:rPr>
              <w:t>+</w:t>
            </w:r>
            <w:r>
              <w:rPr>
                <w:sz w:val="23"/>
                <w:szCs w:val="23"/>
                <w:position w:val="2"/>
              </w:rPr>
              <w:t>ALD</w:t>
            </w:r>
            <w:r>
              <w:rPr>
                <w:sz w:val="23"/>
                <w:szCs w:val="23"/>
                <w:spacing w:val="1"/>
                <w:position w:val="2"/>
              </w:rPr>
              <w:t>-              </w:t>
            </w:r>
            <w:r>
              <w:rPr>
                <w:sz w:val="23"/>
                <w:szCs w:val="23"/>
              </w:rPr>
              <w:t>Cu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</w:rPr>
              <w:t>ECP</w:t>
            </w:r>
            <w:r>
              <w:rPr>
                <w:sz w:val="23"/>
                <w:szCs w:val="23"/>
                <w:spacing w:val="1"/>
              </w:rPr>
              <w:t>/</w:t>
            </w:r>
            <w:r>
              <w:rPr>
                <w:sz w:val="23"/>
                <w:szCs w:val="23"/>
              </w:rPr>
              <w:t>CVD</w:t>
            </w:r>
            <w:r>
              <w:rPr>
                <w:sz w:val="23"/>
                <w:szCs w:val="23"/>
                <w:spacing w:val="1"/>
              </w:rPr>
              <w:t>-</w:t>
            </w:r>
            <w:r>
              <w:rPr>
                <w:sz w:val="23"/>
                <w:szCs w:val="23"/>
              </w:rPr>
              <w:t>W</w:t>
            </w:r>
            <w:r>
              <w:rPr>
                <w:sz w:val="23"/>
                <w:szCs w:val="23"/>
                <w:spacing w:val="28"/>
              </w:rPr>
              <w:t xml:space="preserve">  </w:t>
            </w:r>
            <w:r>
              <w:rPr>
                <w:sz w:val="23"/>
                <w:szCs w:val="23"/>
              </w:rPr>
              <w:t>Cu</w:t>
            </w:r>
            <w:r>
              <w:rPr>
                <w:sz w:val="23"/>
                <w:szCs w:val="23"/>
                <w:spacing w:val="1"/>
              </w:rPr>
              <w:t>仍占</w:t>
            </w:r>
            <w:r>
              <w:rPr>
                <w:sz w:val="23"/>
                <w:szCs w:val="23"/>
              </w:rPr>
              <w:t>主导</w:t>
            </w:r>
          </w:p>
          <w:p>
            <w:pPr>
              <w:pStyle w:val="TableText"/>
              <w:ind w:left="192"/>
              <w:spacing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Ru/Co</w:t>
            </w:r>
          </w:p>
        </w:tc>
      </w:tr>
      <w:tr>
        <w:trPr>
          <w:trHeight w:val="808" w:hRule="atLeast"/>
        </w:trPr>
        <w:tc>
          <w:tcPr>
            <w:tcW w:w="1174" w:type="dxa"/>
            <w:vAlign w:val="top"/>
            <w:tcBorders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5-3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nm</w:t>
            </w:r>
          </w:p>
        </w:tc>
        <w:tc>
          <w:tcPr>
            <w:tcW w:w="1994" w:type="dxa"/>
            <w:vAlign w:val="top"/>
            <w:tcBorders>
              <w:left w:val="nil"/>
              <w:right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/>
              <w:spacing w:before="74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ALD-</w:t>
            </w:r>
          </w:p>
          <w:p>
            <w:pPr>
              <w:pStyle w:val="TableText"/>
              <w:ind w:left="295"/>
              <w:spacing w:before="8" w:line="17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TiN/TaN/Ru</w:t>
            </w:r>
          </w:p>
        </w:tc>
        <w:tc>
          <w:tcPr>
            <w:tcW w:w="431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520" w:right="417" w:hanging="2339"/>
              <w:spacing w:before="302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"/>
              </w:rPr>
              <w:t>ALD-Ru/ALD-Co</w:t>
            </w:r>
            <w:r>
              <w:rPr>
                <w:sz w:val="23"/>
                <w:szCs w:val="23"/>
                <w:spacing w:val="6"/>
                <w:position w:val="1"/>
              </w:rPr>
              <w:t xml:space="preserve">       </w:t>
            </w:r>
            <w:r>
              <w:rPr>
                <w:sz w:val="23"/>
                <w:szCs w:val="23"/>
              </w:rPr>
              <w:t>ALD-Co/</w:t>
            </w:r>
            <w:r>
              <w:rPr>
                <w:sz w:val="23"/>
                <w:szCs w:val="23"/>
                <w:spacing w:val="-1"/>
              </w:rPr>
              <w:t>Ru+Cu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ECP</w:t>
            </w:r>
          </w:p>
        </w:tc>
        <w:tc>
          <w:tcPr>
            <w:tcW w:w="2773" w:type="dxa"/>
            <w:vAlign w:val="top"/>
            <w:tcBorders>
              <w:left w:val="nil"/>
            </w:tcBorders>
          </w:tcPr>
          <w:p>
            <w:pPr>
              <w:pStyle w:val="TableText"/>
              <w:ind w:left="423" w:right="166"/>
              <w:spacing w:before="297" w:line="20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Ru/Co直接填充快速渗</w:t>
            </w:r>
            <w:r>
              <w:rPr>
                <w:sz w:val="23"/>
                <w:szCs w:val="23"/>
                <w:spacing w:val="3"/>
              </w:rPr>
              <w:t xml:space="preserve"> </w:t>
            </w:r>
            <w:r>
              <w:rPr>
                <w:sz w:val="23"/>
                <w:szCs w:val="23"/>
              </w:rPr>
              <w:t>透</w:t>
            </w:r>
          </w:p>
        </w:tc>
      </w:tr>
      <w:tr>
        <w:trPr>
          <w:trHeight w:val="843" w:hRule="atLeast"/>
        </w:trPr>
        <w:tc>
          <w:tcPr>
            <w:tcW w:w="1174" w:type="dxa"/>
            <w:vAlign w:val="top"/>
            <w:tcBorders>
              <w:right w:val="nil"/>
            </w:tcBorders>
          </w:tcPr>
          <w:p>
            <w:pPr>
              <w:pStyle w:val="TableText"/>
              <w:ind w:left="164" w:right="63"/>
              <w:spacing w:before="29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</w:rPr>
              <w:t>nm及以 </w:t>
            </w:r>
            <w:r>
              <w:rPr>
                <w:sz w:val="23"/>
                <w:szCs w:val="23"/>
              </w:rPr>
              <w:t>下</w:t>
            </w:r>
          </w:p>
        </w:tc>
        <w:tc>
          <w:tcPr>
            <w:tcW w:w="9085" w:type="dxa"/>
            <w:vAlign w:val="top"/>
            <w:gridSpan w:val="4"/>
            <w:tcBorders>
              <w:left w:val="nil"/>
            </w:tcBorders>
          </w:tcPr>
          <w:p>
            <w:pPr>
              <w:pStyle w:val="TableText"/>
              <w:ind w:left="365"/>
              <w:spacing w:before="286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ALD</w:t>
            </w:r>
            <w:r>
              <w:rPr>
                <w:sz w:val="23"/>
                <w:szCs w:val="23"/>
                <w:spacing w:val="4"/>
              </w:rPr>
              <w:t>超薄阻挡    </w:t>
            </w:r>
            <w:r>
              <w:rPr>
                <w:sz w:val="23"/>
                <w:szCs w:val="23"/>
                <w:position w:val="-1"/>
              </w:rPr>
              <w:t>ALD</w:t>
            </w:r>
            <w:r>
              <w:rPr>
                <w:sz w:val="23"/>
                <w:szCs w:val="23"/>
                <w:spacing w:val="4"/>
                <w:position w:val="-1"/>
              </w:rPr>
              <w:t>-</w:t>
            </w:r>
            <w:r>
              <w:rPr>
                <w:sz w:val="23"/>
                <w:szCs w:val="23"/>
                <w:position w:val="-1"/>
              </w:rPr>
              <w:t>Ru</w:t>
            </w:r>
            <w:r>
              <w:rPr>
                <w:sz w:val="23"/>
                <w:szCs w:val="23"/>
                <w:spacing w:val="4"/>
                <w:position w:val="-1"/>
              </w:rPr>
              <w:t>/</w:t>
            </w:r>
            <w:r>
              <w:rPr>
                <w:sz w:val="23"/>
                <w:szCs w:val="23"/>
                <w:position w:val="-1"/>
              </w:rPr>
              <w:t>Mo</w:t>
            </w:r>
            <w:r>
              <w:rPr>
                <w:sz w:val="23"/>
                <w:szCs w:val="23"/>
                <w:spacing w:val="4"/>
                <w:position w:val="-1"/>
              </w:rPr>
              <w:t>/</w:t>
            </w:r>
            <w:r>
              <w:rPr>
                <w:sz w:val="23"/>
                <w:szCs w:val="23"/>
                <w:position w:val="-1"/>
              </w:rPr>
              <w:t>Co</w:t>
            </w:r>
            <w:r>
              <w:rPr>
                <w:sz w:val="23"/>
                <w:szCs w:val="23"/>
                <w:spacing w:val="4"/>
                <w:position w:val="-1"/>
              </w:rPr>
              <w:t xml:space="preserve">          </w:t>
            </w:r>
            <w:r>
              <w:rPr>
                <w:sz w:val="23"/>
                <w:szCs w:val="23"/>
              </w:rPr>
              <w:t>ALD</w:t>
            </w:r>
            <w:r>
              <w:rPr>
                <w:sz w:val="23"/>
                <w:szCs w:val="23"/>
                <w:spacing w:val="4"/>
              </w:rPr>
              <w:t>直接金属填充</w:t>
            </w:r>
            <w:r>
              <w:rPr>
                <w:sz w:val="23"/>
                <w:szCs w:val="23"/>
                <w:spacing w:val="18"/>
              </w:rPr>
              <w:t xml:space="preserve">  </w:t>
            </w:r>
            <w:r>
              <w:rPr>
                <w:sz w:val="23"/>
                <w:szCs w:val="23"/>
                <w:position w:val="2"/>
              </w:rPr>
              <w:t>Cu</w:t>
            </w:r>
            <w:r>
              <w:rPr>
                <w:sz w:val="23"/>
                <w:szCs w:val="23"/>
                <w:spacing w:val="4"/>
                <w:position w:val="2"/>
              </w:rPr>
              <w:t>使用比例预</w:t>
            </w:r>
            <w:r>
              <w:rPr>
                <w:sz w:val="23"/>
                <w:szCs w:val="23"/>
                <w:spacing w:val="3"/>
                <w:position w:val="2"/>
              </w:rPr>
              <w:t>计显著</w:t>
            </w:r>
          </w:p>
          <w:p>
            <w:pPr>
              <w:pStyle w:val="TableText"/>
              <w:ind w:left="6735"/>
              <w:spacing w:line="20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34"/>
              </w:rPr>
              <w:t>下降</w:t>
            </w:r>
          </w:p>
        </w:tc>
      </w:tr>
    </w:tbl>
    <w:p>
      <w:pPr>
        <w:pStyle w:val="BodyText"/>
        <w:ind w:left="8"/>
        <w:spacing w:before="310" w:line="222" w:lineRule="auto"/>
        <w:rPr/>
      </w:pPr>
      <w:r>
        <w:rPr>
          <w:b/>
          <w:bCs/>
          <w:spacing w:val="-7"/>
        </w:rPr>
        <w:t>核心技术逻辑一句话总结：</w:t>
      </w:r>
    </w:p>
    <w:p>
      <w:pPr>
        <w:pStyle w:val="BodyText"/>
        <w:ind w:left="5"/>
        <w:spacing w:before="264" w:line="213" w:lineRule="auto"/>
        <w:rPr/>
      </w:pPr>
      <w:r>
        <w:rPr>
          <w:spacing w:val="1"/>
        </w:rPr>
        <w:t>在先进制程中，</w:t>
      </w:r>
      <w:r>
        <w:rPr>
          <w:rFonts w:ascii="Times New Roman" w:hAnsi="Times New Roman" w:eastAsia="Times New Roman" w:cs="Times New Roman"/>
        </w:rPr>
        <w:t>ALD</w:t>
      </w:r>
      <w:r>
        <w:rPr>
          <w:spacing w:val="1"/>
        </w:rPr>
        <w:t>因其原子级保形性、超薄连续性、低温</w:t>
      </w:r>
      <w:r>
        <w:rPr/>
        <w:t>能力和材料多样性，成为金属薄膜沉</w:t>
      </w:r>
    </w:p>
    <w:p>
      <w:pPr>
        <w:pStyle w:val="BodyText"/>
        <w:ind w:left="8" w:right="119"/>
        <w:spacing w:before="141" w:line="320" w:lineRule="auto"/>
        <w:rPr/>
      </w:pPr>
      <w:r>
        <w:rPr>
          <w:b/>
          <w:bCs/>
          <w:spacing w:val="-3"/>
        </w:rPr>
        <w:t>积无可替代的核心技术；</w:t>
      </w:r>
      <w:r>
        <w:rPr>
          <w:rFonts w:ascii="SimSun" w:hAnsi="SimSun" w:eastAsia="SimSun" w:cs="SimSun"/>
          <w:b/>
          <w:bCs/>
          <w:spacing w:val="-3"/>
        </w:rPr>
        <w:t>PVD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b/>
          <w:bCs/>
          <w:spacing w:val="-3"/>
        </w:rPr>
        <w:t>作为</w:t>
      </w:r>
      <w:r>
        <w:rPr>
          <w:rFonts w:ascii="SimSun" w:hAnsi="SimSun" w:eastAsia="SimSun" w:cs="SimSun"/>
          <w:b/>
          <w:bCs/>
          <w:spacing w:val="-3"/>
        </w:rPr>
        <w:t>Cu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b/>
          <w:bCs/>
          <w:spacing w:val="-3"/>
        </w:rPr>
        <w:t>晶种与部分阻挡的过渡技术仍有重要地位；</w:t>
      </w:r>
      <w:r>
        <w:rPr>
          <w:rFonts w:ascii="SimSun" w:hAnsi="SimSun" w:eastAsia="SimSun" w:cs="SimSun"/>
          <w:b/>
          <w:bCs/>
          <w:spacing w:val="-3"/>
        </w:rPr>
        <w:t>CVD-W</w:t>
      </w:r>
      <w:r>
        <w:rPr>
          <w:rFonts w:ascii="SimSun" w:hAnsi="SimSun" w:eastAsia="SimSun" w:cs="SimSun"/>
          <w:spacing w:val="34"/>
        </w:rPr>
        <w:t xml:space="preserve">  </w:t>
      </w:r>
      <w:r>
        <w:rPr>
          <w:b/>
          <w:bCs/>
          <w:spacing w:val="-3"/>
        </w:rPr>
        <w:t>在特定</w:t>
      </w:r>
      <w:r>
        <w:rPr/>
        <w:t xml:space="preserve"> </w:t>
      </w:r>
      <w:r>
        <w:rPr>
          <w:b/>
          <w:bCs/>
          <w:spacing w:val="-3"/>
        </w:rPr>
        <w:t>场景残存；电子束蒸发与</w:t>
      </w:r>
      <w:r>
        <w:rPr>
          <w:rFonts w:ascii="SimSun" w:hAnsi="SimSun" w:eastAsia="SimSun" w:cs="SimSun"/>
          <w:b/>
          <w:bCs/>
          <w:spacing w:val="-3"/>
        </w:rPr>
        <w:t>MBE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b/>
          <w:bCs/>
          <w:spacing w:val="-3"/>
        </w:rPr>
        <w:t>已基本退出量产前端互连领</w:t>
      </w:r>
      <w:r>
        <w:rPr>
          <w:b/>
          <w:bCs/>
          <w:spacing w:val="-4"/>
        </w:rPr>
        <w:t>域</w:t>
      </w:r>
      <w:r>
        <w:rPr>
          <w:spacing w:val="-4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8" w:line="221" w:lineRule="auto"/>
        <w:rPr/>
      </w:pPr>
      <w:r>
        <w:rPr>
          <w:b/>
          <w:bCs/>
          <w:spacing w:val="-5"/>
        </w:rPr>
        <w:t>报告完</w:t>
      </w:r>
    </w:p>
    <w:p>
      <w:pPr>
        <w:spacing w:line="221" w:lineRule="auto"/>
        <w:sectPr>
          <w:pgSz w:w="12240" w:h="15840"/>
          <w:pgMar w:top="835" w:right="995" w:bottom="0" w:left="975" w:header="0" w:footer="0" w:gutter="0"/>
        </w:sectPr>
        <w:rPr/>
      </w:pPr>
    </w:p>
    <w:p>
      <w:pPr>
        <w:rPr>
          <w:rFonts w:ascii="Arial"/>
          <w:sz w:val="21"/>
        </w:rPr>
      </w:pPr>
      <w:r/>
    </w:p>
    <w:sectPr>
      <w:headerReference w:type="default" r:id="rId2"/>
      <w:footerReference w:type="default" r:id="rId3"/>
      <w:pgSz w:w="12240" w:h="15840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1.xml"/><Relationship Id="rId2" Type="http://schemas.openxmlformats.org/officeDocument/2006/relationships/header" Target="header1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2026-03-15T23:56:54</vt:filetime>
  </property>
  <property fmtid="{D5CDD505-2E9C-101B-9397-08002B2CF9AE}" pid="4" name="UsrData">
    <vt:lpwstr>69b6d6c37fe946001fc139c0wl</vt:lpwstr>
  </property>
</Properties>
</file>