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先进制程芯片工艺中金属薄膜生长设备应用调研</w:t>
      </w:r>
    </w:p>
    <w:p>
      <w:pPr>
        <w:pStyle w:val="BodyText"/>
        <w:ind w:left="519" w:right="80" w:hanging="126"/>
        <w:spacing w:before="223" w:line="298" w:lineRule="auto"/>
        <w:rPr/>
      </w:pPr>
      <w:r>
        <w:rPr>
          <w:b/>
          <w:bCs/>
          <w:spacing w:val="3"/>
        </w:rPr>
        <w:t>·主要设备应用：</w:t>
      </w:r>
      <w:r>
        <w:rPr>
          <w:spacing w:val="3"/>
        </w:rPr>
        <w:t>在当今先进制程(如3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3"/>
        </w:rPr>
        <w:t>、2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spacing w:val="3"/>
        </w:rPr>
        <w:t>节点)中，物理气相沉积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3"/>
        </w:rPr>
        <w:t>)、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spacing w:val="3"/>
        </w:rPr>
        <w:t>化学气</w:t>
      </w:r>
      <w:r>
        <w:rPr/>
        <w:t xml:space="preserve">  </w:t>
      </w:r>
      <w:r>
        <w:rPr>
          <w:spacing w:val="1"/>
        </w:rPr>
        <w:t>相沉积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CVD</w:t>
      </w:r>
      <w:r>
        <w:rPr>
          <w:rFonts w:ascii="Arial" w:hAnsi="Arial" w:eastAsia="Arial" w:cs="Arial"/>
          <w:spacing w:val="1"/>
        </w:rPr>
        <w:t>)   </w:t>
      </w:r>
      <w:r>
        <w:rPr>
          <w:spacing w:val="1"/>
        </w:rPr>
        <w:t>和原子层沉积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ALD</w:t>
      </w:r>
      <w:r>
        <w:rPr>
          <w:rFonts w:ascii="Arial" w:hAnsi="Arial" w:eastAsia="Arial" w:cs="Arial"/>
          <w:spacing w:val="1"/>
        </w:rPr>
        <w:t>)   </w:t>
      </w:r>
      <w:r>
        <w:rPr>
          <w:spacing w:val="1"/>
        </w:rPr>
        <w:t>是金属薄膜生长的核心设备，用于互连、接触和栅极</w:t>
      </w:r>
      <w:r>
        <w:rPr>
          <w:spacing w:val="10"/>
        </w:rPr>
        <w:t xml:space="preserve"> </w:t>
      </w:r>
      <w:r>
        <w:rPr>
          <w:spacing w:val="1"/>
        </w:rPr>
        <w:t>等关键层。电子束蒸发沉积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EBE</w:t>
      </w:r>
      <w:r>
        <w:rPr>
          <w:rFonts w:ascii="Times New Roman" w:hAnsi="Times New Roman" w:eastAsia="Times New Roman" w:cs="Times New Roman"/>
          <w:spacing w:val="1"/>
        </w:rPr>
        <w:t>)</w:t>
      </w:r>
      <w:r>
        <w:rPr>
          <w:rFonts w:ascii="Times New Roman" w:hAnsi="Times New Roman" w:eastAsia="Times New Roman" w:cs="Times New Roman"/>
          <w:spacing w:val="34"/>
        </w:rPr>
        <w:t xml:space="preserve">  </w:t>
      </w:r>
      <w:r>
        <w:rPr>
          <w:spacing w:val="1"/>
        </w:rPr>
        <w:t>作为</w:t>
      </w:r>
      <w:r>
        <w:rPr>
          <w:rFonts w:ascii="Times New Roman" w:hAnsi="Times New Roman" w:eastAsia="Times New Roman" w:cs="Times New Roman"/>
        </w:rPr>
        <w:t>PVD</w:t>
      </w:r>
      <w:r>
        <w:rPr>
          <w:spacing w:val="1"/>
        </w:rPr>
        <w:t>的一种变体，主要用于实验室或特定高熔点金</w:t>
      </w:r>
      <w:r>
        <w:rPr/>
        <w:t xml:space="preserve"> </w:t>
      </w:r>
      <w:r>
        <w:rPr>
          <w:spacing w:val="-1"/>
        </w:rPr>
        <w:t>属蒸发，但生产中较少采用。分子束外延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(MBE)</w:t>
      </w:r>
      <w:r>
        <w:rPr>
          <w:rFonts w:ascii="SimSun" w:hAnsi="SimSun" w:eastAsia="SimSun" w:cs="SimSun"/>
          <w:spacing w:val="40"/>
        </w:rPr>
        <w:t xml:space="preserve">  </w:t>
      </w:r>
      <w:r>
        <w:rPr>
          <w:spacing w:val="-1"/>
        </w:rPr>
        <w:t>则主要针对半导体外延生长，不常用于金</w:t>
      </w:r>
      <w:r>
        <w:rPr/>
        <w:t xml:space="preserve"> </w:t>
      </w:r>
      <w:r>
        <w:rPr>
          <w:spacing w:val="-6"/>
        </w:rPr>
        <w:t>属薄膜互连。</w:t>
      </w:r>
    </w:p>
    <w:p>
      <w:pPr>
        <w:pStyle w:val="BodyText"/>
        <w:ind w:left="519" w:right="149" w:hanging="126"/>
        <w:spacing w:before="267" w:line="270" w:lineRule="auto"/>
        <w:rPr/>
      </w:pPr>
      <w:r>
        <w:rPr>
          <w:b/>
          <w:bCs/>
          <w:spacing w:val="-5"/>
        </w:rPr>
        <w:t>·金属类型与选择：</w:t>
      </w:r>
      <w:r>
        <w:rPr>
          <w:spacing w:val="-5"/>
        </w:rPr>
        <w:t>铜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(Cu)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rFonts w:ascii="SimSun" w:hAnsi="SimSun" w:eastAsia="SimSun" w:cs="SimSun"/>
          <w:spacing w:val="-5"/>
        </w:rPr>
        <w:t>、 </w:t>
      </w:r>
      <w:r>
        <w:rPr>
          <w:spacing w:val="-5"/>
        </w:rPr>
        <w:t>钨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(W)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5"/>
        </w:rPr>
        <w:t>、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5"/>
        </w:rPr>
        <w:t>钴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(Co)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5"/>
        </w:rPr>
        <w:t>、 </w:t>
      </w:r>
      <w:r>
        <w:rPr>
          <w:spacing w:val="-5"/>
        </w:rPr>
        <w:t>钌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(Ru)    </w:t>
      </w:r>
      <w:r>
        <w:rPr>
          <w:spacing w:val="-5"/>
        </w:rPr>
        <w:t>和钼</w:t>
      </w:r>
      <w:r>
        <w:rPr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(Mo)    </w:t>
      </w:r>
      <w:r>
        <w:rPr>
          <w:spacing w:val="-5"/>
        </w:rPr>
        <w:t>等是常见金属。选</w:t>
      </w:r>
      <w:r>
        <w:rPr/>
        <w:t xml:space="preserve"> </w:t>
      </w:r>
      <w:r>
        <w:rPr/>
        <w:t>择基于电阻率、共形性、间隙填充能力和电迁移抵抗，以应对</w:t>
      </w:r>
      <w:r>
        <w:rPr>
          <w:spacing w:val="-1"/>
        </w:rPr>
        <w:t>缩小特征尺寸带来的挑战。</w:t>
      </w:r>
    </w:p>
    <w:p>
      <w:pPr>
        <w:pStyle w:val="BodyText"/>
        <w:ind w:left="518" w:right="112" w:hanging="129"/>
        <w:spacing w:before="251" w:line="292" w:lineRule="auto"/>
        <w:rPr/>
      </w:pPr>
      <w:r>
        <w:rPr>
          <w:spacing w:val="-2"/>
        </w:rPr>
        <w:t>·选择理由概述：设备选择考虑精确控制、均匀性和兼容性。</w:t>
      </w:r>
      <w:r>
        <w:rPr>
          <w:rFonts w:ascii="Times New Roman" w:hAnsi="Times New Roman" w:eastAsia="Times New Roman" w:cs="Times New Roman"/>
          <w:spacing w:val="-2"/>
        </w:rPr>
        <w:t>P</w:t>
      </w:r>
      <w:r>
        <w:rPr>
          <w:rFonts w:ascii="Times New Roman" w:hAnsi="Times New Roman" w:eastAsia="Times New Roman" w:cs="Times New Roman"/>
          <w:spacing w:val="-3"/>
        </w:rPr>
        <w:t>VD</w:t>
      </w:r>
      <w:r>
        <w:rPr>
          <w:spacing w:val="-3"/>
        </w:rPr>
        <w:t>适合快速沉积种子层，</w:t>
      </w:r>
      <w:r>
        <w:rPr>
          <w:rFonts w:ascii="Times New Roman" w:hAnsi="Times New Roman" w:eastAsia="Times New Roman" w:cs="Times New Roman"/>
          <w:spacing w:val="-3"/>
        </w:rPr>
        <w:t>CVD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>擅长填充高纵横比结构，</w:t>
      </w:r>
      <w:r>
        <w:rPr>
          <w:rFonts w:ascii="SimSun" w:hAnsi="SimSun" w:eastAsia="SimSun" w:cs="SimSun"/>
        </w:rPr>
        <w:t>ALD </w:t>
      </w:r>
      <w:r>
        <w:rPr/>
        <w:t>提供原子级精度，而</w:t>
      </w:r>
      <w:r>
        <w:rPr>
          <w:rFonts w:ascii="SimSun" w:hAnsi="SimSun" w:eastAsia="SimSun" w:cs="SimSun"/>
        </w:rPr>
        <w:t>EBE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和</w:t>
      </w:r>
      <w:r>
        <w:rPr>
          <w:rFonts w:ascii="SimSun" w:hAnsi="SimSun" w:eastAsia="SimSun" w:cs="SimSun"/>
        </w:rPr>
        <w:t>MBE</w:t>
      </w:r>
      <w:r>
        <w:rPr>
          <w:rFonts w:ascii="SimSun" w:hAnsi="SimSun" w:eastAsia="SimSun" w:cs="SimSun"/>
          <w:spacing w:val="42"/>
        </w:rPr>
        <w:t xml:space="preserve"> </w:t>
      </w:r>
      <w:r>
        <w:rPr/>
        <w:t>在先进生产中</w:t>
      </w:r>
      <w:r>
        <w:rPr>
          <w:spacing w:val="-1"/>
        </w:rPr>
        <w:t>边缘化，以避免</w:t>
      </w:r>
      <w:r>
        <w:rPr/>
        <w:t xml:space="preserve"> </w:t>
      </w:r>
      <w:r>
        <w:rPr>
          <w:spacing w:val="-3"/>
        </w:rPr>
        <w:t>污染或低效率。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8" w:line="222" w:lineRule="auto"/>
        <w:rPr/>
      </w:pPr>
      <w:r>
        <w:rPr>
          <w:b/>
          <w:bCs/>
          <w:spacing w:val="-2"/>
        </w:rPr>
        <w:t>设备在先进制程中的角色</w:t>
      </w:r>
    </w:p>
    <w:p>
      <w:pPr>
        <w:pStyle w:val="BodyText"/>
        <w:ind w:left="10" w:right="106"/>
        <w:spacing w:before="216" w:line="313" w:lineRule="auto"/>
        <w:rPr/>
      </w:pPr>
      <w:r>
        <w:rPr>
          <w:spacing w:val="5"/>
        </w:rPr>
        <w:t>先进芯片制程(如</w:t>
      </w:r>
      <w:r>
        <w:rPr>
          <w:rFonts w:ascii="SimSun" w:hAnsi="SimSun" w:eastAsia="SimSun" w:cs="SimSun"/>
        </w:rPr>
        <w:t>TSMC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</w:rPr>
        <w:t>N</w:t>
      </w:r>
      <w:r>
        <w:rPr>
          <w:rFonts w:ascii="SimSun" w:hAnsi="SimSun" w:eastAsia="SimSun" w:cs="SimSun"/>
          <w:spacing w:val="5"/>
        </w:rPr>
        <w:t>3、</w:t>
      </w:r>
      <w:r>
        <w:rPr>
          <w:rFonts w:ascii="SimSun" w:hAnsi="SimSun" w:eastAsia="SimSun" w:cs="SimSun"/>
        </w:rPr>
        <w:t>Intel</w:t>
      </w:r>
      <w:r>
        <w:rPr>
          <w:rFonts w:ascii="SimSun" w:hAnsi="SimSun" w:eastAsia="SimSun" w:cs="SimSun"/>
          <w:spacing w:val="37"/>
        </w:rPr>
        <w:t xml:space="preserve">  </w:t>
      </w:r>
      <w:r>
        <w:rPr>
          <w:rFonts w:ascii="SimSun" w:hAnsi="SimSun" w:eastAsia="SimSun" w:cs="SimSun"/>
          <w:spacing w:val="5"/>
        </w:rPr>
        <w:t>18A、</w:t>
      </w:r>
      <w:r>
        <w:rPr>
          <w:rFonts w:ascii="SimSun" w:hAnsi="SimSun" w:eastAsia="SimSun" w:cs="SimSun"/>
        </w:rPr>
        <w:t>Samsung</w:t>
      </w:r>
      <w:r>
        <w:rPr>
          <w:rFonts w:ascii="SimSun" w:hAnsi="SimSun" w:eastAsia="SimSun" w:cs="SimSun"/>
          <w:spacing w:val="5"/>
        </w:rPr>
        <w:t xml:space="preserve">  3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5"/>
        </w:rPr>
        <w:t>强调低功耗和高性能，金属薄膜用于</w:t>
      </w:r>
      <w:r>
        <w:rPr/>
        <w:t xml:space="preserve"> </w:t>
      </w:r>
      <w:r>
        <w:rPr>
          <w:spacing w:val="-1"/>
        </w:rPr>
        <w:t>后端互连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(BEOL)  </w:t>
      </w:r>
      <w:r>
        <w:rPr>
          <w:spacing w:val="-1"/>
        </w:rPr>
        <w:t>和中端接触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(MOL)。  </w:t>
      </w:r>
      <w:r>
        <w:rPr>
          <w:spacing w:val="-1"/>
        </w:rPr>
        <w:t>设备选择取决于层厚、几何形状和材料属性。</w:t>
      </w:r>
      <w:r>
        <w:rPr>
          <w:rFonts w:ascii="SimSun" w:hAnsi="SimSun" w:eastAsia="SimSun" w:cs="SimSun"/>
          <w:spacing w:val="-1"/>
        </w:rPr>
        <w:t>PVD</w:t>
      </w:r>
      <w:r>
        <w:rPr>
          <w:rFonts w:ascii="SimSun" w:hAnsi="SimSun" w:eastAsia="SimSun" w:cs="SimSun"/>
          <w:spacing w:val="39"/>
        </w:rPr>
        <w:t xml:space="preserve"> </w:t>
      </w:r>
      <w:r>
        <w:rPr>
          <w:spacing w:val="-1"/>
        </w:rPr>
        <w:t>和</w:t>
      </w:r>
      <w:r>
        <w:rPr/>
        <w:t xml:space="preserve">  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58"/>
        </w:rPr>
        <w:t xml:space="preserve"> </w:t>
      </w:r>
      <w:r>
        <w:rPr/>
        <w:t>仍是主流，</w:t>
      </w:r>
      <w:r>
        <w:rPr>
          <w:rFonts w:ascii="SimSun" w:hAnsi="SimSun" w:eastAsia="SimSun" w:cs="SimSun"/>
        </w:rPr>
        <w:t>ALD </w:t>
      </w:r>
      <w:r>
        <w:rPr/>
        <w:t>在子10</w:t>
      </w:r>
      <w:r>
        <w:rPr>
          <w:rFonts w:ascii="SimSun" w:hAnsi="SimSun" w:eastAsia="SimSun" w:cs="SimSun"/>
        </w:rPr>
        <w:t>nm </w:t>
      </w:r>
      <w:r>
        <w:rPr/>
        <w:t>节点</w:t>
      </w:r>
      <w:r>
        <w:rPr>
          <w:spacing w:val="-1"/>
        </w:rPr>
        <w:t>日益重要，以实现无空隙填充和低电阻。</w:t>
      </w:r>
    </w:p>
    <w:p>
      <w:pPr>
        <w:pStyle w:val="BodyText"/>
        <w:ind w:left="13"/>
        <w:spacing w:before="247" w:line="223" w:lineRule="auto"/>
        <w:rPr/>
      </w:pPr>
      <w:r>
        <w:rPr>
          <w:b/>
          <w:bCs/>
          <w:spacing w:val="-1"/>
        </w:rPr>
        <w:t>关键挑战与趋势</w:t>
      </w:r>
    </w:p>
    <w:p>
      <w:pPr>
        <w:pStyle w:val="BodyText"/>
        <w:ind w:left="10" w:right="27"/>
        <w:spacing w:before="200" w:line="333" w:lineRule="auto"/>
        <w:rPr/>
      </w:pPr>
      <w:r>
        <w:rPr/>
        <w:t>随着节点缩小，铜互连面临电阻增加和电迁移问题，导致转向</w:t>
      </w:r>
      <w:r>
        <w:rPr>
          <w:rFonts w:ascii="Times New Roman" w:hAnsi="Times New Roman" w:eastAsia="Times New Roman" w:cs="Times New Roman"/>
        </w:rPr>
        <w:t>Ru</w:t>
      </w:r>
      <w:r>
        <w:rPr/>
        <w:t>和</w:t>
      </w:r>
      <w:r>
        <w:rPr>
          <w:rFonts w:ascii="Times New Roman" w:hAnsi="Times New Roman" w:eastAsia="Times New Roman" w:cs="Times New Roman"/>
        </w:rPr>
        <w:t>Co </w:t>
      </w:r>
      <w:r>
        <w:rPr/>
        <w:t>等替代金属。这些设备支持</w:t>
      </w:r>
      <w:r>
        <w:rPr>
          <w:spacing w:val="11"/>
        </w:rPr>
        <w:t xml:space="preserve"> </w:t>
      </w:r>
      <w:r>
        <w:rPr>
          <w:spacing w:val="1"/>
        </w:rPr>
        <w:t>混合工艺，如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种子层后跟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1"/>
        </w:rPr>
        <w:t>填充。研究表明</w:t>
      </w:r>
      <w:r>
        <w:rPr/>
        <w:t>，</w:t>
      </w:r>
      <w:r>
        <w:rPr>
          <w:rFonts w:ascii="SimSun" w:hAnsi="SimSun" w:eastAsia="SimSun" w:cs="SimSun"/>
        </w:rPr>
        <w:t>ALD </w:t>
      </w:r>
      <w:r>
        <w:rPr/>
        <w:t>可降低热预算，避免对低</w:t>
      </w:r>
      <w:r>
        <w:rPr>
          <w:rFonts w:ascii="SimSun" w:hAnsi="SimSun" w:eastAsia="SimSun" w:cs="SimSun"/>
        </w:rPr>
        <w:t>k</w:t>
      </w:r>
      <w:r>
        <w:rPr/>
        <w:t>介电质的损</w:t>
      </w:r>
      <w:r>
        <w:rPr/>
        <w:t xml:space="preserve">  </w:t>
      </w:r>
      <w:r>
        <w:rPr>
          <w:spacing w:val="2"/>
        </w:rPr>
        <w:t>伤(详见</w:t>
      </w:r>
      <w:r>
        <w:rPr>
          <w:rFonts w:ascii="Arial" w:hAnsi="Arial" w:eastAsia="Arial" w:cs="Arial"/>
        </w:rPr>
        <w:t>Applied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</w:rPr>
        <w:t>Materials</w:t>
      </w:r>
      <w:r>
        <w:rPr>
          <w:spacing w:val="2"/>
        </w:rPr>
        <w:t>和</w:t>
      </w:r>
      <w:r>
        <w:rPr>
          <w:rFonts w:ascii="Arial" w:hAnsi="Arial" w:eastAsia="Arial" w:cs="Arial"/>
        </w:rPr>
        <w:t>Lam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Arial" w:hAnsi="Arial" w:eastAsia="Arial" w:cs="Arial"/>
        </w:rPr>
        <w:t>Research</w:t>
      </w:r>
      <w:r>
        <w:rPr>
          <w:spacing w:val="2"/>
        </w:rPr>
        <w:t>的技术文档)。</w:t>
      </w:r>
    </w:p>
    <w:p>
      <w:pPr>
        <w:spacing w:line="45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40669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先进制程芯片工艺中金属薄膜生长设备应用全面调研</w:t>
      </w:r>
    </w:p>
    <w:p>
      <w:pPr>
        <w:pStyle w:val="BodyText"/>
        <w:ind w:left="10"/>
        <w:spacing w:before="213" w:line="213" w:lineRule="auto"/>
        <w:rPr/>
      </w:pPr>
      <w:r>
        <w:rPr>
          <w:spacing w:val="6"/>
        </w:rPr>
        <w:t>在微电子领域，金属薄膜生长是芯片制造的核心步骤，尤其在先</w:t>
      </w:r>
      <w:r>
        <w:rPr>
          <w:spacing w:val="5"/>
        </w:rPr>
        <w:t>进制程(如7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以下节点)中，</w:t>
      </w:r>
    </w:p>
    <w:p>
      <w:pPr>
        <w:pStyle w:val="BodyText"/>
        <w:ind w:left="10" w:right="150"/>
        <w:spacing w:before="145" w:line="302" w:lineRule="auto"/>
        <w:rPr/>
      </w:pPr>
      <w:r>
        <w:rPr>
          <w:spacing w:val="1"/>
        </w:rPr>
        <w:t>用于构建互连、接触和栅极结构。这些薄膜确保电气连接的低电</w:t>
      </w:r>
      <w:r>
        <w:rPr/>
        <w:t>阻和高可靠性。调研焦点为物理</w:t>
      </w:r>
      <w:r>
        <w:rPr/>
        <w:t xml:space="preserve"> </w:t>
      </w:r>
      <w:r>
        <w:rPr>
          <w:spacing w:val="1"/>
        </w:rPr>
        <w:t>气相沉积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PVD</w:t>
      </w:r>
      <w:r>
        <w:rPr>
          <w:rFonts w:ascii="Arial" w:hAnsi="Arial" w:eastAsia="Arial" w:cs="Arial"/>
          <w:spacing w:val="1"/>
        </w:rPr>
        <w:t>)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1"/>
        </w:rPr>
        <w:t>化学气相沉积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CVD</w:t>
      </w:r>
      <w:r>
        <w:rPr>
          <w:rFonts w:ascii="Arial" w:hAnsi="Arial" w:eastAsia="Arial" w:cs="Arial"/>
          <w:spacing w:val="1"/>
        </w:rPr>
        <w:t>)</w:t>
      </w:r>
      <w:r>
        <w:rPr>
          <w:rFonts w:ascii="SimSun" w:hAnsi="SimSun" w:eastAsia="SimSun" w:cs="SimSun"/>
          <w:spacing w:val="1"/>
        </w:rPr>
        <w:t>、 </w:t>
      </w:r>
      <w:r>
        <w:rPr>
          <w:spacing w:val="1"/>
        </w:rPr>
        <w:t>电子束蒸发沉积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EBE</w:t>
      </w:r>
      <w:r>
        <w:rPr>
          <w:rFonts w:ascii="Arial" w:hAnsi="Arial" w:eastAsia="Arial" w:cs="Arial"/>
          <w:spacing w:val="1"/>
        </w:rPr>
        <w:t>)</w:t>
      </w:r>
      <w:r>
        <w:rPr>
          <w:rFonts w:ascii="SimSun" w:hAnsi="SimSun" w:eastAsia="SimSun" w:cs="SimSun"/>
          <w:spacing w:val="1"/>
        </w:rPr>
        <w:t>、</w:t>
      </w:r>
      <w:r>
        <w:rPr>
          <w:spacing w:val="1"/>
        </w:rPr>
        <w:t>原子层沉积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ALD</w:t>
      </w:r>
      <w:r>
        <w:rPr>
          <w:rFonts w:ascii="Arial" w:hAnsi="Arial" w:eastAsia="Arial" w:cs="Arial"/>
          <w:spacing w:val="1"/>
        </w:rPr>
        <w:t>)</w:t>
      </w:r>
      <w:r>
        <w:rPr>
          <w:rFonts w:ascii="Arial" w:hAnsi="Arial" w:eastAsia="Arial" w:cs="Arial"/>
        </w:rPr>
        <w:t xml:space="preserve">   </w:t>
      </w:r>
      <w:r>
        <w:rPr/>
        <w:t>和分</w:t>
      </w:r>
      <w:r>
        <w:rPr/>
        <w:t xml:space="preserve">  </w:t>
      </w:r>
      <w:r>
        <w:rPr>
          <w:spacing w:val="3"/>
        </w:rPr>
        <w:t>子束外延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spacing w:val="3"/>
        </w:rPr>
        <w:t>(</w:t>
      </w:r>
      <w:r>
        <w:rPr>
          <w:rFonts w:ascii="Arial" w:hAnsi="Arial" w:eastAsia="Arial" w:cs="Arial"/>
        </w:rPr>
        <w:t>MBE</w:t>
      </w:r>
      <w:r>
        <w:rPr>
          <w:rFonts w:ascii="Arial" w:hAnsi="Arial" w:eastAsia="Arial" w:cs="Arial"/>
          <w:spacing w:val="3"/>
        </w:rPr>
        <w:t>)</w:t>
      </w:r>
      <w:r>
        <w:rPr>
          <w:rFonts w:ascii="Arial" w:hAnsi="Arial" w:eastAsia="Arial" w:cs="Arial"/>
          <w:spacing w:val="37"/>
        </w:rPr>
        <w:t xml:space="preserve">  </w:t>
      </w:r>
      <w:r>
        <w:rPr>
          <w:spacing w:val="3"/>
        </w:rPr>
        <w:t>等设备在当今先进芯片工艺(如</w:t>
      </w:r>
      <w:r>
        <w:rPr>
          <w:rFonts w:ascii="Arial" w:hAnsi="Arial" w:eastAsia="Arial" w:cs="Arial"/>
        </w:rPr>
        <w:t>TSMC</w:t>
      </w:r>
      <w:r>
        <w:rPr>
          <w:rFonts w:ascii="SimSun" w:hAnsi="SimSun" w:eastAsia="SimSun" w:cs="SimSun"/>
          <w:spacing w:val="3"/>
        </w:rPr>
        <w:t>、</w:t>
      </w:r>
      <w:r>
        <w:rPr>
          <w:rFonts w:ascii="Arial" w:hAnsi="Arial" w:eastAsia="Arial" w:cs="Arial"/>
        </w:rPr>
        <w:t>Intel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和</w:t>
      </w:r>
      <w:r>
        <w:rPr>
          <w:rFonts w:ascii="Arial" w:hAnsi="Arial" w:eastAsia="Arial" w:cs="Arial"/>
        </w:rPr>
        <w:t>Samsung</w:t>
      </w:r>
      <w:r>
        <w:rPr>
          <w:spacing w:val="3"/>
        </w:rPr>
        <w:t>的</w:t>
      </w:r>
      <w:r>
        <w:rPr>
          <w:spacing w:val="-45"/>
        </w:rPr>
        <w:t xml:space="preserve"> </w:t>
      </w:r>
      <w:r>
        <w:rPr>
          <w:spacing w:val="3"/>
        </w:rPr>
        <w:t>3</w:t>
      </w:r>
      <w:r>
        <w:rPr>
          <w:rFonts w:ascii="Arial" w:hAnsi="Arial" w:eastAsia="Arial" w:cs="Arial"/>
        </w:rPr>
        <w:t>nm</w:t>
      </w:r>
      <w:r>
        <w:rPr>
          <w:rFonts w:ascii="Arial" w:hAnsi="Arial" w:eastAsia="Arial" w:cs="Arial"/>
          <w:spacing w:val="3"/>
        </w:rPr>
        <w:t>/2</w:t>
      </w:r>
      <w:r>
        <w:rPr>
          <w:rFonts w:ascii="Arial" w:hAnsi="Arial" w:eastAsia="Arial" w:cs="Arial"/>
        </w:rPr>
        <w:t>nm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3"/>
        </w:rPr>
        <w:t>节点)</w:t>
      </w:r>
      <w:r>
        <w:rPr/>
        <w:t xml:space="preserve">  </w:t>
      </w:r>
      <w:r>
        <w:rPr>
          <w:spacing w:val="4"/>
        </w:rPr>
        <w:t>中的应用。基于多家半导体厂商(如</w:t>
      </w:r>
      <w:r>
        <w:rPr>
          <w:rFonts w:ascii="SimSun" w:hAnsi="SimSun" w:eastAsia="SimSun" w:cs="SimSun"/>
        </w:rPr>
        <w:t>Applied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rFonts w:ascii="SimSun" w:hAnsi="SimSun" w:eastAsia="SimSun" w:cs="SimSun"/>
        </w:rPr>
        <w:t>Materials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SimSun" w:hAnsi="SimSun" w:eastAsia="SimSun" w:cs="SimSun"/>
        </w:rPr>
        <w:t>Lam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rFonts w:ascii="SimSun" w:hAnsi="SimSun" w:eastAsia="SimSun" w:cs="SimSun"/>
        </w:rPr>
        <w:t>Research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4"/>
        </w:rPr>
        <w:t>和学术文献的分析，</w:t>
      </w:r>
    </w:p>
    <w:p>
      <w:pPr>
        <w:pStyle w:val="BodyText"/>
        <w:ind w:left="10" w:right="42"/>
        <w:spacing w:before="69" w:line="316" w:lineRule="auto"/>
        <w:rPr/>
      </w:pPr>
      <w:r>
        <w:rPr/>
        <w:t>这些设备的选择取决于沉积速率、共形性、纯度和与低</w:t>
      </w:r>
      <w:r>
        <w:rPr>
          <w:rFonts w:ascii="Times New Roman" w:hAnsi="Times New Roman" w:eastAsia="Times New Roman" w:cs="Times New Roman"/>
        </w:rPr>
        <w:t>k</w:t>
      </w:r>
      <w:r>
        <w:rPr/>
        <w:t>介电质的兼容性。以下从设备类型、沉积</w:t>
      </w:r>
      <w:r>
        <w:rPr>
          <w:spacing w:val="16"/>
        </w:rPr>
        <w:t xml:space="preserve"> </w:t>
      </w:r>
      <w:r>
        <w:rPr>
          <w:spacing w:val="-1"/>
        </w:rPr>
        <w:t>金属、选择理由和先进应用等方面展开讨论。</w:t>
      </w:r>
    </w:p>
    <w:p>
      <w:pPr>
        <w:pStyle w:val="BodyText"/>
        <w:ind w:left="13"/>
        <w:spacing w:before="274" w:line="221" w:lineRule="auto"/>
        <w:rPr/>
      </w:pPr>
      <w:r>
        <w:rPr>
          <w:b/>
          <w:bCs/>
          <w:spacing w:val="-4"/>
        </w:rPr>
        <w:t>金属薄膜在先进制程中的作用与挑战</w:t>
      </w:r>
    </w:p>
    <w:p>
      <w:pPr>
        <w:spacing w:line="221" w:lineRule="auto"/>
        <w:sectPr>
          <w:pgSz w:w="12240" w:h="15840"/>
          <w:pgMar w:top="1124" w:right="1000" w:bottom="0" w:left="970" w:header="0" w:footer="0" w:gutter="0"/>
        </w:sectPr>
        <w:rPr/>
      </w:pPr>
    </w:p>
    <w:p>
      <w:pPr>
        <w:pStyle w:val="BodyText"/>
        <w:spacing w:before="52" w:line="325" w:lineRule="auto"/>
        <w:jc w:val="both"/>
        <w:rPr/>
      </w:pPr>
      <w:r>
        <w:rPr>
          <w:spacing w:val="1"/>
        </w:rPr>
        <w:t>金属薄膜主要用于后端互连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BEOL</w:t>
      </w:r>
      <w:r>
        <w:rPr>
          <w:rFonts w:ascii="Times New Roman" w:hAnsi="Times New Roman" w:eastAsia="Times New Roman" w:cs="Times New Roman"/>
          <w:spacing w:val="1"/>
        </w:rPr>
        <w:t>)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1"/>
        </w:rPr>
        <w:t>中端接</w:t>
      </w:r>
      <w:r>
        <w:rPr/>
        <w:t>触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(MOL)   </w:t>
      </w:r>
      <w:r>
        <w:rPr/>
        <w:t>和栅极电极。在先进节点，特征尺寸缩</w:t>
      </w:r>
      <w:r>
        <w:rPr/>
        <w:t xml:space="preserve"> </w:t>
      </w:r>
      <w:r>
        <w:rPr>
          <w:spacing w:val="5"/>
        </w:rPr>
        <w:t>小至10</w:t>
      </w:r>
      <w:r>
        <w:rPr>
          <w:rFonts w:ascii="Arial" w:hAnsi="Arial" w:eastAsia="Arial" w:cs="Arial"/>
        </w:rPr>
        <w:t>nm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5"/>
        </w:rPr>
        <w:t>以下，导致传统铜互连的电阻率急剧上升(因表面散射和晶界效</w:t>
      </w:r>
      <w:r>
        <w:rPr>
          <w:spacing w:val="4"/>
        </w:rPr>
        <w:t>应),电迁移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4"/>
        </w:rPr>
        <w:t>(</w:t>
      </w:r>
      <w:r>
        <w:rPr>
          <w:rFonts w:ascii="Arial" w:hAnsi="Arial" w:eastAsia="Arial" w:cs="Arial"/>
        </w:rPr>
        <w:t>EM</w:t>
      </w:r>
      <w:r>
        <w:rPr>
          <w:rFonts w:ascii="Arial" w:hAnsi="Arial" w:eastAsia="Arial" w:cs="Arial"/>
          <w:spacing w:val="4"/>
        </w:rPr>
        <w:t>)   </w:t>
      </w:r>
      <w:r>
        <w:rPr>
          <w:spacing w:val="4"/>
        </w:rPr>
        <w:t>风</w:t>
      </w:r>
      <w:r>
        <w:rPr/>
        <w:t xml:space="preserve"> </w:t>
      </w:r>
      <w:r>
        <w:rPr/>
        <w:t>险增加。同时，高纵横比</w:t>
      </w:r>
      <w:r>
        <w:rPr/>
        <w:t xml:space="preserve"> </w:t>
      </w:r>
      <w:r>
        <w:rPr>
          <w:rFonts w:ascii="SimSun" w:hAnsi="SimSun" w:eastAsia="SimSun" w:cs="SimSun"/>
        </w:rPr>
        <w:t>(AR&gt;5:1)</w:t>
      </w:r>
      <w:r>
        <w:rPr>
          <w:rFonts w:ascii="SimSun" w:hAnsi="SimSun" w:eastAsia="SimSun" w:cs="SimSun"/>
          <w:spacing w:val="112"/>
        </w:rPr>
        <w:t xml:space="preserve"> </w:t>
      </w:r>
      <w:r>
        <w:rPr>
          <w:spacing w:val="-1"/>
        </w:rPr>
        <w:t>结构要求共形沉积以避免空隙。调研显示，设备需平衡沉积</w:t>
      </w:r>
      <w:r>
        <w:rPr/>
        <w:t xml:space="preserve"> </w:t>
      </w:r>
      <w:r>
        <w:rPr>
          <w:spacing w:val="5"/>
        </w:rPr>
        <w:t>速率、热预算和材料纯度。转向</w:t>
      </w:r>
      <w:r>
        <w:rPr>
          <w:rFonts w:ascii="Times New Roman" w:hAnsi="Times New Roman" w:eastAsia="Times New Roman" w:cs="Times New Roman"/>
        </w:rPr>
        <w:t>Ru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和</w:t>
      </w:r>
      <w:r>
        <w:rPr>
          <w:rFonts w:ascii="Times New Roman" w:hAnsi="Times New Roman" w:eastAsia="Times New Roman" w:cs="Times New Roman"/>
        </w:rPr>
        <w:t>Mo</w:t>
      </w:r>
      <w:r>
        <w:rPr>
          <w:spacing w:val="5"/>
        </w:rPr>
        <w:t>等金属是趋势，以降低</w:t>
      </w:r>
      <w:r>
        <w:rPr>
          <w:rFonts w:ascii="Times New Roman" w:hAnsi="Times New Roman" w:eastAsia="Times New Roman" w:cs="Times New Roman"/>
        </w:rPr>
        <w:t>RC</w:t>
      </w:r>
      <w:r>
        <w:rPr>
          <w:spacing w:val="5"/>
        </w:rPr>
        <w:t>延迟(电阻-电容延迟),</w:t>
      </w:r>
      <w:r>
        <w:rPr/>
        <w:t xml:space="preserve"> </w:t>
      </w:r>
      <w:r>
        <w:rPr>
          <w:spacing w:val="5"/>
        </w:rPr>
        <w:t>如</w:t>
      </w:r>
      <w:r>
        <w:rPr>
          <w:rFonts w:ascii="SimSun" w:hAnsi="SimSun" w:eastAsia="SimSun" w:cs="SimSun"/>
        </w:rPr>
        <w:t>Intel</w:t>
      </w:r>
      <w:r>
        <w:rPr>
          <w:rFonts w:ascii="SimSun" w:hAnsi="SimSun" w:eastAsia="SimSun" w:cs="SimSun"/>
          <w:spacing w:val="5"/>
        </w:rPr>
        <w:t xml:space="preserve"> 18A</w:t>
      </w:r>
      <w:r>
        <w:rPr>
          <w:spacing w:val="5"/>
        </w:rPr>
        <w:t>节点中</w:t>
      </w:r>
      <w:r>
        <w:rPr>
          <w:rFonts w:ascii="SimSun" w:hAnsi="SimSun" w:eastAsia="SimSun" w:cs="SimSun"/>
        </w:rPr>
        <w:t>Ru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5"/>
        </w:rPr>
        <w:t>的应用可将电阻降低20%以上(详见</w:t>
      </w:r>
      <w:r>
        <w:rPr>
          <w:rFonts w:ascii="SimSun" w:hAnsi="SimSun" w:eastAsia="SimSun" w:cs="SimSun"/>
        </w:rPr>
        <w:t>SemiEngineering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5"/>
        </w:rPr>
        <w:t>报告)。</w:t>
      </w:r>
    </w:p>
    <w:p>
      <w:pPr>
        <w:pStyle w:val="BodyText"/>
        <w:ind w:left="3"/>
        <w:spacing w:before="218" w:line="222" w:lineRule="auto"/>
        <w:rPr/>
      </w:pPr>
      <w:r>
        <w:rPr>
          <w:b/>
          <w:bCs/>
          <w:spacing w:val="-4"/>
        </w:rPr>
        <w:t>设备应用详述</w:t>
      </w:r>
    </w:p>
    <w:p>
      <w:pPr>
        <w:pStyle w:val="BodyText"/>
        <w:ind w:right="232"/>
        <w:spacing w:before="212" w:line="321" w:lineRule="auto"/>
        <w:rPr/>
      </w:pPr>
      <w:r>
        <w:rPr/>
        <w:t>以下表格总结各设备在先进制程中的使用情况，包括沉积金属和选择理由。数据来源于</w:t>
      </w:r>
      <w:r>
        <w:rPr>
          <w:rFonts w:ascii="SimSun" w:hAnsi="SimSun" w:eastAsia="SimSun" w:cs="SimSun"/>
        </w:rPr>
        <w:t>App</w:t>
      </w:r>
      <w:r>
        <w:rPr>
          <w:rFonts w:ascii="SimSun" w:hAnsi="SimSun" w:eastAsia="SimSun" w:cs="SimSun"/>
          <w:spacing w:val="-1"/>
        </w:rPr>
        <w:t>lied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Materials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SimSun" w:hAnsi="SimSun" w:eastAsia="SimSun" w:cs="SimSun"/>
        </w:rPr>
        <w:t>Lam</w:t>
      </w:r>
      <w:r>
        <w:rPr>
          <w:rFonts w:ascii="SimSun" w:hAnsi="SimSun" w:eastAsia="SimSun" w:cs="SimSun"/>
          <w:spacing w:val="47"/>
        </w:rPr>
        <w:t xml:space="preserve">  </w:t>
      </w:r>
      <w:r>
        <w:rPr>
          <w:rFonts w:ascii="SimSun" w:hAnsi="SimSun" w:eastAsia="SimSun" w:cs="SimSun"/>
        </w:rPr>
        <w:t>Research</w:t>
      </w:r>
      <w:r>
        <w:rPr>
          <w:rFonts w:ascii="SimSun" w:hAnsi="SimSun" w:eastAsia="SimSun" w:cs="SimSun"/>
          <w:spacing w:val="4"/>
        </w:rPr>
        <w:t>、</w:t>
      </w:r>
      <w:r>
        <w:rPr>
          <w:rFonts w:ascii="SimSun" w:hAnsi="SimSun" w:eastAsia="SimSun" w:cs="SimSun"/>
        </w:rPr>
        <w:t>Samsung</w:t>
      </w:r>
      <w:r>
        <w:rPr>
          <w:rFonts w:ascii="SimSun" w:hAnsi="SimSun" w:eastAsia="SimSun" w:cs="SimSun"/>
          <w:spacing w:val="46"/>
        </w:rPr>
        <w:t xml:space="preserve">  </w:t>
      </w:r>
      <w:r>
        <w:rPr>
          <w:rFonts w:ascii="SimSun" w:hAnsi="SimSun" w:eastAsia="SimSun" w:cs="SimSun"/>
        </w:rPr>
        <w:t>Semiconductor</w:t>
      </w:r>
      <w:r>
        <w:rPr>
          <w:spacing w:val="4"/>
        </w:rPr>
        <w:t>和学术论文(如</w:t>
      </w:r>
      <w:r>
        <w:rPr>
          <w:rFonts w:ascii="SimSun" w:hAnsi="SimSun" w:eastAsia="SimSun" w:cs="SimSun"/>
        </w:rPr>
        <w:t>PMC</w:t>
      </w:r>
      <w:r>
        <w:rPr>
          <w:rFonts w:ascii="SimSun" w:hAnsi="SimSun" w:eastAsia="SimSun" w:cs="SimSun"/>
          <w:spacing w:val="85"/>
        </w:rPr>
        <w:t xml:space="preserve"> </w:t>
      </w:r>
      <w:r>
        <w:rPr>
          <w:spacing w:val="4"/>
        </w:rPr>
        <w:t>上的互连材料调</w:t>
      </w:r>
      <w:r>
        <w:rPr/>
        <w:t xml:space="preserve">  </w:t>
      </w:r>
      <w:r>
        <w:rPr>
          <w:spacing w:val="-8"/>
        </w:rPr>
        <w:t>研)。</w:t>
      </w:r>
    </w:p>
    <w:p>
      <w:pPr>
        <w:spacing w:line="321" w:lineRule="auto"/>
        <w:sectPr>
          <w:pgSz w:w="12240" w:h="15840"/>
          <w:pgMar w:top="1231" w:right="1069" w:bottom="0" w:left="980" w:header="0" w:footer="0" w:gutter="0"/>
        </w:sectPr>
        <w:rPr/>
      </w:pPr>
    </w:p>
    <w:tbl>
      <w:tblPr>
        <w:tblStyle w:val="TableNormal"/>
        <w:tblW w:w="100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2"/>
        <w:gridCol w:w="1587"/>
        <w:gridCol w:w="864"/>
        <w:gridCol w:w="279"/>
        <w:gridCol w:w="3421"/>
        <w:gridCol w:w="3007"/>
      </w:tblGrid>
      <w:tr>
        <w:trPr>
          <w:trHeight w:val="2708" w:hRule="atLeast"/>
        </w:trPr>
        <w:tc>
          <w:tcPr>
            <w:tcW w:w="9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设备类</w:t>
            </w:r>
          </w:p>
          <w:p>
            <w:pPr>
              <w:pStyle w:val="TableText"/>
              <w:spacing w:before="105" w:line="227" w:lineRule="auto"/>
              <w:rPr/>
            </w:pPr>
            <w:r>
              <w:rPr/>
              <w:t>型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物理气</w:t>
            </w:r>
          </w:p>
          <w:p>
            <w:pPr>
              <w:pStyle w:val="TableText"/>
              <w:ind w:left="3"/>
              <w:spacing w:before="10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相沉积</w:t>
            </w:r>
          </w:p>
          <w:p>
            <w:pPr>
              <w:spacing w:before="141" w:line="19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3"/>
              </w:rPr>
              <w:t>(PVD)</w:t>
            </w:r>
          </w:p>
        </w:tc>
        <w:tc>
          <w:tcPr>
            <w:tcW w:w="1587" w:type="dxa"/>
            <w:vAlign w:val="top"/>
            <w:tcBorders>
              <w:bottom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6" w:line="222" w:lineRule="auto"/>
              <w:rPr/>
            </w:pPr>
            <w:r>
              <w:rPr>
                <w:b/>
                <w:bCs/>
                <w:spacing w:val="9"/>
              </w:rPr>
              <w:t>沉积金属示例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5" w:line="221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 </w:t>
            </w:r>
            <w:r>
              <w:rPr>
                <w:spacing w:val="7"/>
              </w:rPr>
              <w:t>(种子</w:t>
            </w:r>
          </w:p>
          <w:p>
            <w:pPr>
              <w:pStyle w:val="TableText"/>
              <w:ind w:left="277" w:right="257" w:hanging="129"/>
              <w:spacing w:before="131" w:line="324" w:lineRule="auto"/>
              <w:rPr/>
            </w:pPr>
            <w:r>
              <w:rPr>
                <w:spacing w:val="3"/>
              </w:rPr>
              <w:t>层)、</w:t>
            </w:r>
            <w:r>
              <w:rPr>
                <w:rFonts w:ascii="Arial" w:hAnsi="Arial" w:eastAsia="Arial" w:cs="Arial"/>
              </w:rPr>
              <w:t>Ta</w:t>
            </w:r>
            <w:r>
              <w:rPr>
                <w:rFonts w:ascii="Arial" w:hAnsi="Arial" w:eastAsia="Arial" w:cs="Arial"/>
                <w:spacing w:val="3"/>
              </w:rPr>
              <w:t>/</w:t>
            </w:r>
            <w:r>
              <w:rPr>
                <w:rFonts w:ascii="Arial" w:hAnsi="Arial" w:eastAsia="Arial" w:cs="Arial"/>
              </w:rPr>
              <w:t>TaN</w:t>
            </w:r>
            <w:r>
              <w:rPr>
                <w:rFonts w:ascii="Arial" w:hAnsi="Arial" w:eastAsia="Arial" w:cs="Arial"/>
                <w:spacing w:val="1"/>
              </w:rPr>
              <w:t xml:space="preserve"> </w:t>
            </w:r>
            <w:r>
              <w:rPr>
                <w:spacing w:val="3"/>
              </w:rPr>
              <w:t>(阻挡层)、</w:t>
            </w:r>
          </w:p>
          <w:p>
            <w:pPr>
              <w:ind w:left="148"/>
              <w:spacing w:before="40" w:line="19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AI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、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Ti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、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Co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、</w:t>
            </w:r>
          </w:p>
          <w:p>
            <w:pPr>
              <w:ind w:left="148"/>
              <w:spacing w:before="144" w:line="18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Ru</w:t>
            </w:r>
          </w:p>
        </w:tc>
        <w:tc>
          <w:tcPr>
            <w:tcW w:w="8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3" w:right="71"/>
              <w:spacing w:line="313" w:lineRule="auto"/>
              <w:rPr/>
            </w:pPr>
            <w:r>
              <w:rPr>
                <w:sz w:val="22"/>
                <w:szCs w:val="22"/>
                <w:b/>
                <w:bCs/>
                <w:spacing w:val="-7"/>
              </w:rPr>
              <w:t>主要应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12"/>
              </w:rPr>
              <w:t>用层</w:t>
            </w:r>
          </w:p>
          <w:p>
            <w:pPr>
              <w:pStyle w:val="TableText"/>
              <w:ind w:left="140" w:right="74"/>
              <w:spacing w:before="248" w:line="322" w:lineRule="auto"/>
              <w:rPr/>
            </w:pPr>
            <w:r>
              <w:rPr>
                <w:sz w:val="22"/>
                <w:szCs w:val="22"/>
                <w:spacing w:val="-4"/>
              </w:rPr>
              <w:t>互连种</w:t>
            </w:r>
            <w:r>
              <w:rPr>
                <w:sz w:val="22"/>
                <w:szCs w:val="22"/>
              </w:rPr>
              <w:t xml:space="preserve"> </w:t>
            </w:r>
            <w:r>
              <w:rPr/>
              <w:t>子层、</w:t>
            </w:r>
            <w:r>
              <w:rPr/>
              <w:t xml:space="preserve"> </w:t>
            </w:r>
            <w:r>
              <w:rPr>
                <w:spacing w:val="19"/>
              </w:rPr>
              <w:t>阻挡</w:t>
            </w:r>
          </w:p>
          <w:p>
            <w:pPr>
              <w:pStyle w:val="TableText"/>
              <w:ind w:left="140" w:right="90"/>
              <w:spacing w:before="1" w:line="287" w:lineRule="auto"/>
              <w:rPr/>
            </w:pPr>
            <w:r>
              <w:rPr>
                <w:sz w:val="22"/>
                <w:szCs w:val="22"/>
                <w:spacing w:val="-11"/>
              </w:rPr>
              <w:t>层、接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0"/>
              </w:rPr>
              <w:t>触衬里</w:t>
            </w:r>
          </w:p>
        </w:tc>
        <w:tc>
          <w:tcPr>
            <w:tcW w:w="279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  <w:tcBorders>
              <w:bottom w:val="single" w:color="000000" w:sz="2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66" w:line="222" w:lineRule="auto"/>
              <w:rPr/>
            </w:pPr>
            <w:r>
              <w:rPr>
                <w:b/>
                <w:bCs/>
                <w:spacing w:val="12"/>
              </w:rPr>
              <w:t>选择理由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 w:right="303"/>
              <w:spacing w:before="65" w:line="328" w:lineRule="auto"/>
              <w:rPr/>
            </w:pPr>
            <w:r>
              <w:rPr>
                <w:spacing w:val="12"/>
              </w:rPr>
              <w:t>高沉积速率(&gt;1</w:t>
            </w:r>
            <w:r>
              <w:rPr>
                <w:rFonts w:ascii="SimSun" w:hAnsi="SimSun" w:eastAsia="SimSun" w:cs="SimSun"/>
              </w:rPr>
              <w:t>nm</w:t>
            </w:r>
            <w:r>
              <w:rPr>
                <w:rFonts w:ascii="SimSun" w:hAnsi="SimSun" w:eastAsia="SimSun" w:cs="SimSun"/>
                <w:spacing w:val="12"/>
              </w:rPr>
              <w:t>/s)、</w:t>
            </w:r>
            <w:r>
              <w:rPr>
                <w:rFonts w:ascii="SimSun" w:hAnsi="SimSun" w:eastAsia="SimSun" w:cs="SimSun"/>
                <w:spacing w:val="-4"/>
              </w:rPr>
              <w:t xml:space="preserve"> </w:t>
            </w:r>
            <w:r>
              <w:rPr>
                <w:spacing w:val="12"/>
              </w:rPr>
              <w:t>低成本、</w:t>
            </w:r>
            <w:r>
              <w:rPr/>
              <w:t xml:space="preserve"> </w:t>
            </w:r>
            <w:r>
              <w:rPr>
                <w:spacing w:val="8"/>
              </w:rPr>
              <w:t>高纯度；适合平面或低</w:t>
            </w:r>
            <w:r>
              <w:rPr>
                <w:rFonts w:ascii="Times New Roman" w:hAnsi="Times New Roman" w:eastAsia="Times New Roman" w:cs="Times New Roman"/>
              </w:rPr>
              <w:t>AR</w:t>
            </w:r>
            <w:r>
              <w:rPr>
                <w:spacing w:val="8"/>
              </w:rPr>
              <w:t>结构，</w:t>
            </w:r>
          </w:p>
          <w:p>
            <w:pPr>
              <w:pStyle w:val="TableText"/>
              <w:ind w:left="27"/>
              <w:spacing w:line="221" w:lineRule="auto"/>
              <w:rPr/>
            </w:pPr>
            <w:r>
              <w:rPr>
                <w:spacing w:val="10"/>
              </w:rPr>
              <w:t>提供良好粘附和可扩展性。在</w:t>
            </w:r>
          </w:p>
          <w:p>
            <w:pPr>
              <w:pStyle w:val="TableText"/>
              <w:ind w:left="27" w:right="275"/>
              <w:spacing w:before="100" w:line="292" w:lineRule="auto"/>
              <w:rPr/>
            </w:pP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TSMC</w:t>
            </w:r>
            <w:r>
              <w:rPr>
                <w:rFonts w:ascii="SimSun" w:hAnsi="SimSun" w:eastAsia="SimSun" w:cs="SimSun"/>
                <w:sz w:val="22"/>
                <w:szCs w:val="22"/>
                <w:spacing w:val="44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N3</w:t>
            </w:r>
            <w:r>
              <w:rPr>
                <w:sz w:val="22"/>
                <w:szCs w:val="22"/>
                <w:spacing w:val="-7"/>
              </w:rPr>
              <w:t>节点，用于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Cu</w:t>
            </w:r>
            <w:r>
              <w:rPr>
                <w:rFonts w:ascii="SimSun" w:hAnsi="SimSun" w:eastAsia="SimSun" w:cs="SimSun"/>
                <w:sz w:val="22"/>
                <w:szCs w:val="22"/>
                <w:spacing w:val="-43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种子以改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</w:rPr>
              <w:t>善电镀填充。</w:t>
            </w:r>
          </w:p>
        </w:tc>
        <w:tc>
          <w:tcPr>
            <w:tcW w:w="3007" w:type="dxa"/>
            <w:vAlign w:val="top"/>
            <w:tcBorders>
              <w:bottom w:val="single" w:color="000000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局限性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 w:right="145"/>
              <w:spacing w:before="71" w:line="30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阴影效应导致高</w:t>
            </w:r>
            <w:r>
              <w:rPr>
                <w:rFonts w:ascii="Arial" w:hAnsi="Arial" w:eastAsia="Arial" w:cs="Arial"/>
                <w:sz w:val="22"/>
                <w:szCs w:val="22"/>
                <w:spacing w:val="-10"/>
              </w:rPr>
              <w:t>AR</w:t>
            </w:r>
            <w:r>
              <w:rPr>
                <w:sz w:val="22"/>
                <w:szCs w:val="22"/>
                <w:spacing w:val="-10"/>
              </w:rPr>
              <w:t>结构覆盖不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3"/>
              </w:rPr>
              <w:t>均；不适合超薄层(&lt;5</w:t>
            </w:r>
            <w:r>
              <w:rPr>
                <w:rFonts w:ascii="SimSun" w:hAnsi="SimSun" w:eastAsia="SimSun" w:cs="SimSun"/>
                <w:sz w:val="22"/>
                <w:szCs w:val="22"/>
              </w:rPr>
              <w:t>nm</w:t>
            </w: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)。</w:t>
            </w:r>
          </w:p>
        </w:tc>
      </w:tr>
      <w:tr>
        <w:trPr>
          <w:trHeight w:val="1588" w:hRule="atLeast"/>
        </w:trPr>
        <w:tc>
          <w:tcPr>
            <w:tcW w:w="93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"/>
              <w:spacing w:before="29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化学气</w:t>
            </w:r>
          </w:p>
          <w:p>
            <w:pPr>
              <w:pStyle w:val="TableText"/>
              <w:ind w:left="3"/>
              <w:spacing w:before="9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相沉积</w:t>
            </w:r>
          </w:p>
          <w:p>
            <w:pPr>
              <w:spacing w:before="122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(CVD)</w:t>
            </w:r>
          </w:p>
        </w:tc>
        <w:tc>
          <w:tcPr>
            <w:tcW w:w="158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48"/>
              <w:spacing w:before="291" w:line="222" w:lineRule="auto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W</w:t>
            </w:r>
            <w:r>
              <w:rPr>
                <w:rFonts w:ascii="Arial" w:hAnsi="Arial" w:eastAsia="Arial" w:cs="Arial"/>
                <w:sz w:val="22"/>
                <w:szCs w:val="22"/>
                <w:spacing w:val="43"/>
                <w:w w:val="10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(钨)、</w:t>
            </w:r>
          </w:p>
          <w:p>
            <w:pPr>
              <w:ind w:left="148"/>
              <w:spacing w:before="140" w:line="19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Cu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、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Ru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、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Mo</w:t>
            </w:r>
          </w:p>
        </w:tc>
        <w:tc>
          <w:tcPr>
            <w:tcW w:w="86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40"/>
              <w:spacing w:before="29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接触填</w:t>
            </w:r>
          </w:p>
          <w:p>
            <w:pPr>
              <w:pStyle w:val="TableText"/>
              <w:ind w:left="140"/>
              <w:spacing w:before="9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充、过</w:t>
            </w:r>
          </w:p>
          <w:p>
            <w:pPr>
              <w:pStyle w:val="TableText"/>
              <w:ind w:left="152" w:right="91" w:hanging="12"/>
              <w:spacing w:before="132" w:line="244" w:lineRule="auto"/>
              <w:rPr/>
            </w:pPr>
            <w:r>
              <w:rPr>
                <w:spacing w:val="10"/>
              </w:rPr>
              <w:t>孔、字</w:t>
            </w:r>
            <w:r>
              <w:rPr/>
              <w:t xml:space="preserve"> </w:t>
            </w:r>
            <w:r>
              <w:rPr/>
              <w:t>线</w:t>
            </w:r>
          </w:p>
        </w:tc>
        <w:tc>
          <w:tcPr>
            <w:tcW w:w="27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"/>
              <w:spacing w:before="65" w:line="174" w:lineRule="auto"/>
              <w:jc w:val="right"/>
              <w:rPr/>
            </w:pPr>
            <w:r>
              <w:rPr/>
              <w:t>用</w:t>
            </w:r>
          </w:p>
        </w:tc>
        <w:tc>
          <w:tcPr>
            <w:tcW w:w="342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 w:right="229"/>
              <w:spacing w:before="65" w:line="318" w:lineRule="auto"/>
              <w:rPr>
                <w:sz w:val="22"/>
                <w:szCs w:val="22"/>
              </w:rPr>
            </w:pPr>
            <w:r>
              <w:rPr>
                <w:spacing w:val="10"/>
              </w:rPr>
              <w:t>优秀间隙填充和共形性；适用于高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</w:rPr>
              <w:t>AR</w:t>
            </w:r>
            <w:r>
              <w:rPr>
                <w:rFonts w:ascii="SimSun" w:hAnsi="SimSun" w:eastAsia="SimSun" w:cs="SimSun"/>
                <w:sz w:val="22"/>
                <w:szCs w:val="22"/>
                <w:spacing w:val="-38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特征(如</w:t>
            </w:r>
            <w:r>
              <w:rPr>
                <w:rFonts w:ascii="SimSun" w:hAnsi="SimSun" w:eastAsia="SimSun" w:cs="SimSun"/>
                <w:sz w:val="22"/>
                <w:szCs w:val="22"/>
              </w:rPr>
              <w:t>DRAM</w:t>
            </w:r>
            <w:r>
              <w:rPr>
                <w:rFonts w:ascii="SimSun" w:hAnsi="SimSun" w:eastAsia="SimSun" w:cs="SimSun"/>
                <w:sz w:val="22"/>
                <w:szCs w:val="22"/>
                <w:spacing w:val="84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字线);低电阻</w:t>
            </w:r>
          </w:p>
          <w:p>
            <w:pPr>
              <w:pStyle w:val="TableText"/>
              <w:ind w:left="27"/>
              <w:spacing w:before="19" w:line="217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和热稳定性。在</w:t>
            </w:r>
            <w:r>
              <w:rPr>
                <w:rFonts w:ascii="SimSun" w:hAnsi="SimSun" w:eastAsia="SimSun" w:cs="SimSun"/>
              </w:rPr>
              <w:t>Samsung</w:t>
            </w:r>
            <w:r>
              <w:rPr>
                <w:rFonts w:ascii="SimSun" w:hAnsi="SimSun" w:eastAsia="SimSun" w:cs="SimSun"/>
                <w:spacing w:val="12"/>
              </w:rPr>
              <w:t xml:space="preserve">    </w:t>
            </w:r>
            <w:r>
              <w:rPr>
                <w:rFonts w:ascii="SimSun" w:hAnsi="SimSun" w:eastAsia="SimSun" w:cs="SimSun"/>
                <w:spacing w:val="5"/>
              </w:rPr>
              <w:t>3</w:t>
            </w:r>
            <w:r>
              <w:rPr>
                <w:rFonts w:ascii="SimSun" w:hAnsi="SimSun" w:eastAsia="SimSun" w:cs="SimSun"/>
              </w:rPr>
              <w:t>nm</w:t>
            </w:r>
            <w:r>
              <w:rPr>
                <w:rFonts w:ascii="SimSun" w:hAnsi="SimSun" w:eastAsia="SimSun" w:cs="SimSun"/>
                <w:spacing w:val="5"/>
              </w:rPr>
              <w:t>,</w:t>
            </w:r>
          </w:p>
          <w:p>
            <w:pPr>
              <w:pStyle w:val="TableText"/>
              <w:ind w:left="72"/>
              <w:spacing w:before="90" w:line="174" w:lineRule="auto"/>
              <w:rPr/>
            </w:pPr>
            <w:r>
              <w:rPr>
                <w:spacing w:val="-9"/>
              </w:rPr>
              <w:t>于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W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接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触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以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避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免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spacing w:val="-9"/>
              </w:rPr>
              <w:t>I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的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热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敏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感</w:t>
            </w:r>
          </w:p>
        </w:tc>
        <w:tc>
          <w:tcPr>
            <w:tcW w:w="300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47" w:right="95"/>
              <w:spacing w:before="291" w:line="327" w:lineRule="auto"/>
              <w:rPr/>
            </w:pPr>
            <w:r>
              <w:rPr>
                <w:sz w:val="22"/>
                <w:szCs w:val="22"/>
                <w:spacing w:val="20"/>
              </w:rPr>
              <w:t>高温(400-900℃)可能损伤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pacing w:val="7"/>
              </w:rPr>
              <w:t>低</w:t>
            </w:r>
            <w:r>
              <w:rPr>
                <w:rFonts w:ascii="Arial" w:hAnsi="Arial" w:eastAsia="Arial" w:cs="Arial"/>
                <w:spacing w:val="7"/>
              </w:rPr>
              <w:t>k</w:t>
            </w:r>
            <w:r>
              <w:rPr>
                <w:spacing w:val="7"/>
              </w:rPr>
              <w:t>介电；前驱体毒性需控制。</w:t>
            </w:r>
          </w:p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/>
              <w:spacing w:before="65" w:line="63" w:lineRule="exact"/>
              <w:rPr/>
            </w:pPr>
            <w:r>
              <w:rPr/>
              <w:t>。</w:t>
            </w:r>
          </w:p>
        </w:tc>
      </w:tr>
      <w:tr>
        <w:trPr>
          <w:trHeight w:val="674" w:hRule="atLeast"/>
        </w:trPr>
        <w:tc>
          <w:tcPr>
            <w:tcW w:w="932" w:type="dxa"/>
            <w:vAlign w:val="top"/>
            <w:tcBorders>
              <w:top w:val="single" w:color="000000" w:sz="4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原子层</w:t>
            </w:r>
          </w:p>
        </w:tc>
        <w:tc>
          <w:tcPr>
            <w:tcW w:w="1587" w:type="dxa"/>
            <w:vAlign w:val="top"/>
            <w:tcBorders>
              <w:top w:val="single" w:color="000000" w:sz="4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65" w:line="18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Ru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Co</w:t>
            </w:r>
            <w:r>
              <w:rPr>
                <w:rFonts w:ascii="SimSun" w:hAnsi="SimSun" w:eastAsia="SimSun" w:cs="SimSun"/>
                <w:sz w:val="20"/>
                <w:szCs w:val="20"/>
                <w:spacing w:val="-5"/>
              </w:rPr>
              <w:t>、</w:t>
            </w:r>
          </w:p>
        </w:tc>
        <w:tc>
          <w:tcPr>
            <w:tcW w:w="864" w:type="dxa"/>
            <w:vAlign w:val="top"/>
            <w:tcBorders>
              <w:top w:val="single" w:color="00000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5" w:line="221" w:lineRule="auto"/>
              <w:rPr/>
            </w:pPr>
            <w:r>
              <w:rPr>
                <w:spacing w:val="10"/>
              </w:rPr>
              <w:t>薄阻挡</w:t>
            </w:r>
          </w:p>
        </w:tc>
        <w:tc>
          <w:tcPr>
            <w:tcW w:w="279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  <w:tcBorders>
              <w:top w:val="single" w:color="00000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5" w:line="221" w:lineRule="auto"/>
              <w:rPr/>
            </w:pPr>
            <w:r>
              <w:rPr>
                <w:spacing w:val="8"/>
              </w:rPr>
              <w:t>原子级厚度控制(0.1</w:t>
            </w:r>
            <w:r>
              <w:rPr>
                <w:rFonts w:ascii="Times New Roman" w:hAnsi="Times New Roman" w:eastAsia="Times New Roman" w:cs="Times New Roman"/>
              </w:rPr>
              <w:t>nm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</w:rPr>
              <w:t xml:space="preserve"> </w:t>
            </w:r>
            <w:r>
              <w:rPr>
                <w:spacing w:val="8"/>
              </w:rPr>
              <w:t>周期)、</w:t>
            </w:r>
          </w:p>
        </w:tc>
        <w:tc>
          <w:tcPr>
            <w:tcW w:w="3007" w:type="dxa"/>
            <w:vAlign w:val="top"/>
            <w:tcBorders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7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沉积速率慢(&lt;0.1</w:t>
            </w:r>
            <w:r>
              <w:rPr>
                <w:rFonts w:ascii="SimSun" w:hAnsi="SimSun" w:eastAsia="SimSun" w:cs="SimSun"/>
                <w:sz w:val="22"/>
                <w:szCs w:val="22"/>
              </w:rPr>
              <w:t>nm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>/s)、</w:t>
            </w:r>
            <w:r>
              <w:rPr>
                <w:sz w:val="22"/>
                <w:szCs w:val="22"/>
                <w:spacing w:val="1"/>
              </w:rPr>
              <w:t>成本</w:t>
            </w:r>
          </w:p>
        </w:tc>
      </w:tr>
      <w:tr>
        <w:trPr>
          <w:trHeight w:val="353" w:hRule="atLeast"/>
        </w:trPr>
        <w:tc>
          <w:tcPr>
            <w:tcW w:w="932" w:type="dxa"/>
            <w:vAlign w:val="top"/>
          </w:tcPr>
          <w:p>
            <w:pPr>
              <w:pStyle w:val="TableText"/>
              <w:ind w:left="3"/>
              <w:spacing w:before="6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沉积</w:t>
            </w:r>
          </w:p>
        </w:tc>
        <w:tc>
          <w:tcPr>
            <w:tcW w:w="1587" w:type="dxa"/>
            <w:vAlign w:val="top"/>
          </w:tcPr>
          <w:p>
            <w:pPr>
              <w:ind w:left="148"/>
              <w:spacing w:before="130" w:line="19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Mo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、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W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、</w:t>
            </w:r>
            <w:r>
              <w:rPr>
                <w:rFonts w:ascii="Arial" w:hAnsi="Arial" w:eastAsia="Arial" w:cs="Arial"/>
                <w:sz w:val="20"/>
                <w:szCs w:val="20"/>
                <w:spacing w:val="-1"/>
              </w:rPr>
              <w:t>Hf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ind w:left="140"/>
              <w:spacing w:before="67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层、帽</w:t>
            </w:r>
          </w:p>
        </w:tc>
        <w:tc>
          <w:tcPr>
            <w:tcW w:w="2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</w:tcPr>
          <w:p>
            <w:pPr>
              <w:pStyle w:val="TableText"/>
              <w:ind w:left="27"/>
              <w:spacing w:before="6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完美共形性；适合子10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nm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0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节点的</w:t>
            </w:r>
          </w:p>
        </w:tc>
        <w:tc>
          <w:tcPr>
            <w:tcW w:w="3007" w:type="dxa"/>
            <w:vAlign w:val="top"/>
          </w:tcPr>
          <w:p>
            <w:pPr>
              <w:pStyle w:val="TableText"/>
              <w:ind w:left="47"/>
              <w:spacing w:before="88" w:line="213" w:lineRule="auto"/>
              <w:rPr/>
            </w:pPr>
            <w:r>
              <w:rPr>
                <w:spacing w:val="7"/>
              </w:rPr>
              <w:t>高；需多周期以达厚度。</w:t>
            </w:r>
          </w:p>
        </w:tc>
      </w:tr>
      <w:tr>
        <w:trPr>
          <w:trHeight w:val="1120" w:hRule="atLeast"/>
        </w:trPr>
        <w:tc>
          <w:tcPr>
            <w:tcW w:w="932" w:type="dxa"/>
            <w:vAlign w:val="top"/>
            <w:tcBorders>
              <w:bottom w:val="single" w:color="000000" w:sz="2" w:space="0"/>
            </w:tcBorders>
          </w:tcPr>
          <w:p>
            <w:pPr>
              <w:spacing w:before="89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(ALD)</w:t>
            </w:r>
          </w:p>
        </w:tc>
        <w:tc>
          <w:tcPr>
            <w:tcW w:w="158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0"/>
              <w:spacing w:before="103" w:line="223" w:lineRule="auto"/>
              <w:rPr/>
            </w:pPr>
            <w:r>
              <w:rPr>
                <w:b/>
                <w:bCs/>
                <w:spacing w:val="4"/>
              </w:rPr>
              <w:t>(高</w:t>
            </w:r>
            <w:r>
              <w:rPr>
                <w:rFonts w:ascii="SimSun" w:hAnsi="SimSun" w:eastAsia="SimSun" w:cs="SimSun"/>
                <w:b/>
                <w:bCs/>
                <w:spacing w:val="4"/>
              </w:rPr>
              <w:t>k</w:t>
            </w:r>
            <w:r>
              <w:rPr>
                <w:b/>
                <w:bCs/>
                <w:spacing w:val="4"/>
              </w:rPr>
              <w:t>栅)</w:t>
            </w:r>
          </w:p>
        </w:tc>
        <w:tc>
          <w:tcPr>
            <w:tcW w:w="8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0" w:right="95"/>
              <w:spacing w:before="104" w:line="324" w:lineRule="auto"/>
              <w:rPr>
                <w:sz w:val="22"/>
                <w:szCs w:val="22"/>
              </w:rPr>
            </w:pPr>
            <w:r>
              <w:rPr>
                <w:spacing w:val="9"/>
              </w:rPr>
              <w:t>层、电</w:t>
            </w:r>
            <w:r>
              <w:rPr/>
              <w:t xml:space="preserve"> </w:t>
            </w:r>
            <w:r>
              <w:rPr>
                <w:sz w:val="22"/>
                <w:szCs w:val="22"/>
              </w:rPr>
              <w:t>极</w:t>
            </w:r>
          </w:p>
        </w:tc>
        <w:tc>
          <w:tcPr>
            <w:tcW w:w="279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" w:right="270"/>
              <w:spacing w:before="70" w:line="300" w:lineRule="auto"/>
              <w:jc w:val="both"/>
              <w:rPr>
                <w:sz w:val="22"/>
                <w:szCs w:val="22"/>
              </w:rPr>
            </w:pPr>
            <w:r>
              <w:rPr>
                <w:spacing w:val="-3"/>
              </w:rPr>
              <w:t>高</w:t>
            </w:r>
            <w:r>
              <w:rPr>
                <w:rFonts w:ascii="Arial" w:hAnsi="Arial" w:eastAsia="Arial" w:cs="Arial"/>
                <w:spacing w:val="-3"/>
              </w:rPr>
              <w:t>AR</w:t>
            </w:r>
            <w:r>
              <w:rPr>
                <w:spacing w:val="-3"/>
              </w:rPr>
              <w:t>结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构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(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如</w:t>
            </w:r>
            <w:r>
              <w:rPr>
                <w:rFonts w:ascii="Arial" w:hAnsi="Arial" w:eastAsia="Arial" w:cs="Arial"/>
                <w:spacing w:val="-3"/>
              </w:rPr>
              <w:t>FinFET</w:t>
            </w:r>
            <w:r>
              <w:rPr>
                <w:rFonts w:ascii="Arial" w:hAnsi="Arial" w:eastAsia="Arial" w:cs="Arial"/>
                <w:spacing w:val="-24"/>
              </w:rPr>
              <w:t xml:space="preserve"> </w:t>
            </w:r>
            <w:r>
              <w:rPr>
                <w:spacing w:val="-3"/>
              </w:rPr>
              <w:t>通道)。</w:t>
            </w:r>
            <w:r>
              <w:rPr>
                <w:rFonts w:ascii="Arial" w:hAnsi="Arial" w:eastAsia="Arial" w:cs="Arial"/>
                <w:spacing w:val="-3"/>
              </w:rPr>
              <w:t>Intel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使用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ALD</w:t>
            </w:r>
            <w:r>
              <w:rPr>
                <w:sz w:val="22"/>
                <w:szCs w:val="22"/>
                <w:spacing w:val="-7"/>
              </w:rPr>
              <w:t>沉积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Co</w:t>
            </w:r>
            <w:r>
              <w:rPr>
                <w:sz w:val="22"/>
                <w:szCs w:val="22"/>
                <w:spacing w:val="-7"/>
              </w:rPr>
              <w:t>帽层，提高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EM</w:t>
            </w:r>
            <w:r>
              <w:rPr>
                <w:sz w:val="22"/>
                <w:szCs w:val="22"/>
                <w:spacing w:val="-7"/>
              </w:rPr>
              <w:t>抵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22"/>
              </w:rPr>
              <w:t>抗30%。</w:t>
            </w:r>
          </w:p>
        </w:tc>
        <w:tc>
          <w:tcPr>
            <w:tcW w:w="3007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5" w:hRule="atLeast"/>
        </w:trPr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"/>
              <w:spacing w:before="299" w:line="224" w:lineRule="auto"/>
              <w:rPr/>
            </w:pPr>
            <w:r>
              <w:rPr>
                <w:b/>
                <w:bCs/>
                <w:spacing w:val="2"/>
              </w:rPr>
              <w:t>电子束</w:t>
            </w:r>
          </w:p>
        </w:tc>
        <w:tc>
          <w:tcPr>
            <w:tcW w:w="15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8"/>
              <w:spacing w:before="301" w:line="223" w:lineRule="auto"/>
              <w:rPr/>
            </w:pPr>
            <w:r>
              <w:rPr>
                <w:rFonts w:ascii="SimSun" w:hAnsi="SimSun" w:eastAsia="SimSun" w:cs="SimSun"/>
              </w:rPr>
              <w:t>AI</w:t>
            </w:r>
            <w:r>
              <w:rPr>
                <w:rFonts w:ascii="SimSun" w:hAnsi="SimSun" w:eastAsia="SimSun" w:cs="SimSun"/>
                <w:spacing w:val="1"/>
              </w:rPr>
              <w:t>、</w:t>
            </w:r>
            <w:r>
              <w:rPr>
                <w:rFonts w:ascii="SimSun" w:hAnsi="SimSun" w:eastAsia="SimSun" w:cs="SimSun"/>
              </w:rPr>
              <w:t>Ti</w:t>
            </w:r>
            <w:r>
              <w:rPr>
                <w:rFonts w:ascii="SimSun" w:hAnsi="SimSun" w:eastAsia="SimSun" w:cs="SimSun"/>
                <w:spacing w:val="1"/>
              </w:rPr>
              <w:t>、</w:t>
            </w:r>
            <w:r>
              <w:rPr>
                <w:spacing w:val="1"/>
              </w:rPr>
              <w:t>高熔</w:t>
            </w:r>
          </w:p>
        </w:tc>
        <w:tc>
          <w:tcPr>
            <w:tcW w:w="8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299" w:line="222" w:lineRule="auto"/>
              <w:rPr/>
            </w:pPr>
            <w:r>
              <w:rPr>
                <w:spacing w:val="11"/>
              </w:rPr>
              <w:t>实验室</w:t>
            </w:r>
          </w:p>
        </w:tc>
        <w:tc>
          <w:tcPr>
            <w:tcW w:w="279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"/>
              <w:spacing w:before="290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高纯度蒸发、无污染；电子束加热</w:t>
            </w:r>
          </w:p>
        </w:tc>
        <w:tc>
          <w:tcPr>
            <w:tcW w:w="3007" w:type="dxa"/>
            <w:vAlign w:val="top"/>
            <w:tcBorders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5" w:line="213" w:lineRule="auto"/>
              <w:rPr/>
            </w:pPr>
            <w:r>
              <w:rPr>
                <w:spacing w:val="10"/>
              </w:rPr>
              <w:t>线视距限制覆盖不均；生产中</w:t>
            </w:r>
          </w:p>
        </w:tc>
      </w:tr>
      <w:tr>
        <w:trPr>
          <w:trHeight w:val="346" w:hRule="atLeast"/>
        </w:trPr>
        <w:tc>
          <w:tcPr>
            <w:tcW w:w="932" w:type="dxa"/>
            <w:vAlign w:val="top"/>
          </w:tcPr>
          <w:p>
            <w:pPr>
              <w:pStyle w:val="TableText"/>
              <w:ind w:left="3"/>
              <w:spacing w:before="7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蒸发沉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148"/>
              <w:spacing w:before="66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点金属如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W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ind w:left="140"/>
              <w:spacing w:before="84" w:line="221" w:lineRule="auto"/>
              <w:rPr/>
            </w:pPr>
            <w:r>
              <w:rPr/>
              <w:t>薄膜、</w:t>
            </w:r>
          </w:p>
        </w:tc>
        <w:tc>
          <w:tcPr>
            <w:tcW w:w="2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</w:tcPr>
          <w:p>
            <w:pPr>
              <w:pStyle w:val="TableText"/>
              <w:ind w:left="27"/>
              <w:spacing w:before="6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允许沉积高熔点材料(如</w:t>
            </w:r>
          </w:p>
        </w:tc>
        <w:tc>
          <w:tcPr>
            <w:tcW w:w="3007" w:type="dxa"/>
            <w:vAlign w:val="top"/>
          </w:tcPr>
          <w:p>
            <w:pPr>
              <w:pStyle w:val="TableText"/>
              <w:ind w:left="47"/>
              <w:spacing w:before="75" w:line="213" w:lineRule="auto"/>
              <w:rPr/>
            </w:pPr>
            <w:r>
              <w:rPr>
                <w:spacing w:val="8"/>
              </w:rPr>
              <w:t>少用，因不如溅射</w:t>
            </w:r>
            <w:r>
              <w:rPr>
                <w:rFonts w:ascii="SimSun" w:hAnsi="SimSun" w:eastAsia="SimSun" w:cs="SimSun"/>
              </w:rPr>
              <w:t>PVD</w:t>
            </w:r>
            <w:r>
              <w:rPr>
                <w:rFonts w:ascii="SimSun" w:hAnsi="SimSun" w:eastAsia="SimSun" w:cs="SimSun"/>
                <w:spacing w:val="50"/>
              </w:rPr>
              <w:t xml:space="preserve"> </w:t>
            </w:r>
            <w:r>
              <w:rPr>
                <w:spacing w:val="8"/>
              </w:rPr>
              <w:t>高效。</w:t>
            </w:r>
          </w:p>
        </w:tc>
      </w:tr>
      <w:tr>
        <w:trPr>
          <w:trHeight w:val="378" w:hRule="atLeast"/>
        </w:trPr>
        <w:tc>
          <w:tcPr>
            <w:tcW w:w="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"/>
              <w:spacing w:before="98" w:line="212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-4"/>
              </w:rPr>
              <w:t>积</w:t>
            </w:r>
            <w:r>
              <w:rPr>
                <w:spacing w:val="-43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4"/>
              </w:rPr>
              <w:t>(EBE)</w:t>
            </w:r>
          </w:p>
        </w:tc>
        <w:tc>
          <w:tcPr>
            <w:tcW w:w="15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4" w:type="dxa"/>
            <w:vAlign w:val="top"/>
          </w:tcPr>
          <w:p>
            <w:pPr>
              <w:pStyle w:val="TableText"/>
              <w:ind w:left="140"/>
              <w:spacing w:before="98" w:line="221" w:lineRule="auto"/>
              <w:rPr/>
            </w:pPr>
            <w:r>
              <w:rPr>
                <w:spacing w:val="8"/>
              </w:rPr>
              <w:t>光学涂</w:t>
            </w:r>
          </w:p>
        </w:tc>
        <w:tc>
          <w:tcPr>
            <w:tcW w:w="2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</w:tcPr>
          <w:p>
            <w:pPr>
              <w:pStyle w:val="TableText"/>
              <w:ind w:left="27"/>
              <w:spacing w:before="56" w:line="212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7"/>
              </w:rPr>
              <w:t>W&gt;3000℃)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7"/>
              </w:rPr>
              <w:t>。</w:t>
            </w:r>
            <w:r>
              <w:rPr>
                <w:rFonts w:ascii="SimSun" w:hAnsi="SimSun" w:eastAsia="SimSun" w:cs="SimSun"/>
                <w:sz w:val="22"/>
                <w:szCs w:val="22"/>
                <w:spacing w:val="81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在研究中用于原型</w:t>
            </w:r>
          </w:p>
        </w:tc>
        <w:tc>
          <w:tcPr>
            <w:tcW w:w="3007" w:type="dxa"/>
            <w:vAlign w:val="top"/>
          </w:tcPr>
          <w:p>
            <w:pPr>
              <w:pStyle w:val="TableText"/>
              <w:ind w:left="47"/>
              <w:spacing w:before="55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在先进节点边缘化，转向集成</w:t>
            </w:r>
          </w:p>
        </w:tc>
      </w:tr>
      <w:tr>
        <w:trPr>
          <w:trHeight w:val="392" w:hRule="atLeast"/>
        </w:trPr>
        <w:tc>
          <w:tcPr>
            <w:tcW w:w="93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7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0"/>
              <w:spacing w:before="80" w:line="221" w:lineRule="auto"/>
              <w:rPr/>
            </w:pPr>
            <w:r>
              <w:rPr/>
              <w:t>层</w:t>
            </w:r>
          </w:p>
        </w:tc>
        <w:tc>
          <w:tcPr>
            <w:tcW w:w="279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"/>
              <w:spacing w:before="95" w:line="225" w:lineRule="auto"/>
              <w:rPr/>
            </w:pPr>
            <w:r>
              <w:rPr/>
              <w:t>互连。</w:t>
            </w:r>
          </w:p>
        </w:tc>
        <w:tc>
          <w:tcPr>
            <w:tcW w:w="3007" w:type="dxa"/>
            <w:vAlign w:val="top"/>
            <w:tcBorders>
              <w:bottom w:val="single" w:color="000000" w:sz="2" w:space="0"/>
            </w:tcBorders>
          </w:tcPr>
          <w:p>
            <w:pPr>
              <w:ind w:left="47"/>
              <w:spacing w:before="137" w:line="1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spacing w:val="-4"/>
              </w:rPr>
              <w:t>PVD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。</w:t>
            </w:r>
          </w:p>
        </w:tc>
      </w:tr>
      <w:tr>
        <w:trPr>
          <w:trHeight w:val="573" w:hRule="atLeast"/>
        </w:trPr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2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分子束</w:t>
            </w:r>
          </w:p>
        </w:tc>
        <w:tc>
          <w:tcPr>
            <w:tcW w:w="1587" w:type="dxa"/>
            <w:vAlign w:val="top"/>
            <w:tcBorders>
              <w:top w:val="single" w:color="000000" w:sz="2" w:space="0"/>
            </w:tcBorders>
          </w:tcPr>
          <w:p>
            <w:pPr>
              <w:ind w:left="148"/>
              <w:spacing w:before="307" w:line="190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9"/>
              </w:rPr>
              <w:t>GaAs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9"/>
              </w:rPr>
              <w:t>、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9"/>
              </w:rPr>
              <w:t>InP</w:t>
            </w:r>
          </w:p>
        </w:tc>
        <w:tc>
          <w:tcPr>
            <w:tcW w:w="8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278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外延半</w:t>
            </w:r>
          </w:p>
        </w:tc>
        <w:tc>
          <w:tcPr>
            <w:tcW w:w="279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  <w:tcBorders>
              <w:top w:val="single" w:color="000000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5" w:line="213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超高真空下原子级控制；用于</w:t>
            </w:r>
            <w:r>
              <w:rPr>
                <w:rFonts w:ascii="SimSun" w:hAnsi="SimSun" w:eastAsia="SimSun" w:cs="SimSun"/>
              </w:rPr>
              <w:t>III</w:t>
            </w:r>
            <w:r>
              <w:rPr>
                <w:rFonts w:ascii="SimSun" w:hAnsi="SimSun" w:eastAsia="SimSun" w:cs="SimSun"/>
                <w:spacing w:val="4"/>
              </w:rPr>
              <w:t>-V</w:t>
            </w:r>
          </w:p>
        </w:tc>
        <w:tc>
          <w:tcPr>
            <w:tcW w:w="3007" w:type="dxa"/>
            <w:vAlign w:val="top"/>
            <w:tcBorders>
              <w:top w:val="single" w:color="000000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65" w:line="223" w:lineRule="auto"/>
              <w:rPr/>
            </w:pPr>
            <w:r>
              <w:rPr>
                <w:spacing w:val="15"/>
              </w:rPr>
              <w:t>低速率(&lt;1</w:t>
            </w:r>
            <w:r>
              <w:rPr>
                <w:rFonts w:ascii="SimSun" w:hAnsi="SimSun" w:eastAsia="SimSun" w:cs="SimSun"/>
              </w:rPr>
              <w:t>nm</w:t>
            </w:r>
            <w:r>
              <w:rPr>
                <w:rFonts w:ascii="SimSun" w:hAnsi="SimSun" w:eastAsia="SimSun" w:cs="SimSun"/>
                <w:spacing w:val="15"/>
              </w:rPr>
              <w:t>/</w:t>
            </w:r>
            <w:r>
              <w:rPr>
                <w:rFonts w:ascii="SimSun" w:hAnsi="SimSun" w:eastAsia="SimSun" w:cs="SimSun"/>
              </w:rPr>
              <w:t>min</w:t>
            </w:r>
            <w:r>
              <w:rPr>
                <w:rFonts w:ascii="SimSun" w:hAnsi="SimSun" w:eastAsia="SimSun" w:cs="SimSun"/>
                <w:spacing w:val="15"/>
              </w:rPr>
              <w:t>)、</w:t>
            </w:r>
            <w:r>
              <w:rPr>
                <w:rFonts w:ascii="SimSun" w:hAnsi="SimSun" w:eastAsia="SimSun" w:cs="SimSun"/>
                <w:spacing w:val="66"/>
              </w:rPr>
              <w:t xml:space="preserve"> </w:t>
            </w:r>
            <w:r>
              <w:rPr>
                <w:spacing w:val="15"/>
              </w:rPr>
              <w:t>高真空</w:t>
            </w:r>
          </w:p>
        </w:tc>
      </w:tr>
      <w:tr>
        <w:trPr>
          <w:trHeight w:val="368" w:hRule="atLeast"/>
        </w:trPr>
        <w:tc>
          <w:tcPr>
            <w:tcW w:w="932" w:type="dxa"/>
            <w:vAlign w:val="top"/>
          </w:tcPr>
          <w:p>
            <w:pPr>
              <w:pStyle w:val="TableText"/>
              <w:ind w:left="3"/>
              <w:spacing w:before="83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外延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278"/>
              <w:spacing w:before="82" w:line="222" w:lineRule="auto"/>
              <w:rPr/>
            </w:pPr>
            <w:r>
              <w:rPr>
                <w:spacing w:val="6"/>
              </w:rPr>
              <w:t>(化合物半导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ind w:left="140"/>
              <w:spacing w:before="102" w:line="222" w:lineRule="auto"/>
              <w:rPr/>
            </w:pPr>
            <w:r>
              <w:rPr>
                <w:spacing w:val="13"/>
              </w:rPr>
              <w:t>导体</w:t>
            </w:r>
          </w:p>
        </w:tc>
        <w:tc>
          <w:tcPr>
            <w:tcW w:w="2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</w:tcPr>
          <w:p>
            <w:pPr>
              <w:pStyle w:val="TableText"/>
              <w:ind w:left="27"/>
              <w:spacing w:before="71" w:line="213" w:lineRule="auto"/>
              <w:rPr/>
            </w:pPr>
            <w:r>
              <w:rPr>
                <w:spacing w:val="9"/>
              </w:rPr>
              <w:t>化合物外延，提供高纯度和掺杂精</w:t>
            </w:r>
          </w:p>
        </w:tc>
        <w:tc>
          <w:tcPr>
            <w:tcW w:w="3007" w:type="dxa"/>
            <w:vAlign w:val="top"/>
          </w:tcPr>
          <w:p>
            <w:pPr>
              <w:pStyle w:val="TableText"/>
              <w:ind w:left="47"/>
              <w:spacing w:before="58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需求(10^{-11}</w:t>
            </w:r>
            <w:r>
              <w:rPr>
                <w:rFonts w:ascii="Arial" w:hAnsi="Arial" w:eastAsia="Arial" w:cs="Arial"/>
                <w:sz w:val="22"/>
                <w:szCs w:val="22"/>
              </w:rPr>
              <w:t>Torr);</w:t>
            </w:r>
            <w:r>
              <w:rPr>
                <w:rFonts w:ascii="Arial" w:hAnsi="Arial" w:eastAsia="Arial" w:cs="Arial"/>
                <w:sz w:val="22"/>
                <w:szCs w:val="22"/>
                <w:spacing w:val="21"/>
              </w:rPr>
              <w:t xml:space="preserve">  </w:t>
            </w:r>
            <w:r>
              <w:rPr>
                <w:sz w:val="22"/>
                <w:szCs w:val="22"/>
              </w:rPr>
              <w:t>不适合</w:t>
            </w:r>
          </w:p>
        </w:tc>
      </w:tr>
      <w:tr>
        <w:trPr>
          <w:trHeight w:val="359" w:hRule="atLeast"/>
        </w:trPr>
        <w:tc>
          <w:tcPr>
            <w:tcW w:w="932" w:type="dxa"/>
            <w:vAlign w:val="top"/>
          </w:tcPr>
          <w:p>
            <w:pPr>
              <w:spacing w:before="86" w:line="19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2"/>
              </w:rPr>
              <w:t>(MBE)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148"/>
              <w:spacing w:before="76" w:line="224" w:lineRule="auto"/>
              <w:rPr/>
            </w:pPr>
            <w:r>
              <w:rPr>
                <w:spacing w:val="11"/>
              </w:rPr>
              <w:t>体)、少量金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ind w:left="140"/>
              <w:spacing w:before="72" w:line="221" w:lineRule="auto"/>
              <w:rPr/>
            </w:pPr>
            <w:r>
              <w:rPr>
                <w:spacing w:val="11"/>
              </w:rPr>
              <w:t>层、非</w:t>
            </w:r>
          </w:p>
        </w:tc>
        <w:tc>
          <w:tcPr>
            <w:tcW w:w="2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</w:tcPr>
          <w:p>
            <w:pPr>
              <w:pStyle w:val="TableText"/>
              <w:ind w:left="27"/>
              <w:spacing w:before="72" w:line="222" w:lineRule="auto"/>
              <w:rPr/>
            </w:pPr>
            <w:r>
              <w:rPr>
                <w:spacing w:val="10"/>
              </w:rPr>
              <w:t>度。在光电器件中偶尔沉积金属接</w:t>
            </w:r>
          </w:p>
        </w:tc>
        <w:tc>
          <w:tcPr>
            <w:tcW w:w="3007" w:type="dxa"/>
            <w:vAlign w:val="top"/>
          </w:tcPr>
          <w:p>
            <w:pPr>
              <w:pStyle w:val="TableText"/>
              <w:ind w:left="47"/>
              <w:spacing w:before="63" w:line="213" w:lineRule="auto"/>
              <w:rPr/>
            </w:pPr>
            <w:r>
              <w:rPr>
                <w:spacing w:val="10"/>
              </w:rPr>
              <w:t>金属互连，因非外延生长且易</w:t>
            </w:r>
          </w:p>
        </w:tc>
      </w:tr>
      <w:tr>
        <w:trPr>
          <w:trHeight w:val="657" w:hRule="atLeast"/>
        </w:trPr>
        <w:tc>
          <w:tcPr>
            <w:tcW w:w="9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7" w:type="dxa"/>
            <w:vAlign w:val="top"/>
          </w:tcPr>
          <w:p>
            <w:pPr>
              <w:pStyle w:val="TableText"/>
              <w:ind w:left="150"/>
              <w:spacing w:before="82" w:line="222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  <w:spacing w:val="3"/>
              </w:rPr>
              <w:t>属如</w:t>
            </w:r>
            <w:r>
              <w:rPr>
                <w:rFonts w:ascii="Arial" w:hAnsi="Arial" w:eastAsia="Arial" w:cs="Arial"/>
                <w:b/>
                <w:bCs/>
              </w:rPr>
              <w:t>AI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ind w:left="140" w:right="95"/>
              <w:spacing w:before="88" w:line="258" w:lineRule="auto"/>
              <w:rPr/>
            </w:pPr>
            <w:r>
              <w:rPr>
                <w:spacing w:val="9"/>
              </w:rPr>
              <w:t>互连金</w:t>
            </w:r>
            <w:r>
              <w:rPr/>
              <w:t xml:space="preserve"> </w:t>
            </w:r>
            <w:r>
              <w:rPr/>
              <w:t>属</w:t>
            </w:r>
          </w:p>
        </w:tc>
        <w:tc>
          <w:tcPr>
            <w:tcW w:w="2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</w:tcPr>
          <w:p>
            <w:pPr>
              <w:pStyle w:val="TableText"/>
              <w:ind w:left="18"/>
              <w:spacing w:before="88" w:line="225" w:lineRule="auto"/>
              <w:rPr/>
            </w:pPr>
            <w:r>
              <w:rPr>
                <w:spacing w:val="-3"/>
              </w:rPr>
              <w:t>触。</w:t>
            </w:r>
          </w:p>
        </w:tc>
        <w:tc>
          <w:tcPr>
            <w:tcW w:w="3007" w:type="dxa"/>
            <w:vAlign w:val="top"/>
          </w:tcPr>
          <w:p>
            <w:pPr>
              <w:pStyle w:val="TableText"/>
              <w:ind w:left="47" w:right="427"/>
              <w:spacing w:before="83" w:line="260" w:lineRule="auto"/>
              <w:rPr/>
            </w:pPr>
            <w:r>
              <w:rPr>
                <w:spacing w:val="11"/>
              </w:rPr>
              <w:t>污染。在逻辑芯片生产中罕</w:t>
            </w:r>
            <w:r>
              <w:rPr/>
              <w:t xml:space="preserve"> </w:t>
            </w:r>
            <w:r>
              <w:rPr/>
              <w:t>见。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1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具体金属沉积与设备匹配</w:t>
      </w:r>
    </w:p>
    <w:p>
      <w:pPr>
        <w:spacing w:line="222" w:lineRule="auto"/>
        <w:sectPr>
          <w:pgSz w:w="12240" w:h="15840"/>
          <w:pgMar w:top="1144" w:right="1159" w:bottom="0" w:left="989" w:header="0" w:footer="0" w:gutter="0"/>
        </w:sectPr>
        <w:rPr>
          <w:sz w:val="22"/>
          <w:szCs w:val="22"/>
        </w:rPr>
      </w:pPr>
    </w:p>
    <w:p>
      <w:pPr>
        <w:pStyle w:val="BodyText"/>
        <w:ind w:left="349"/>
        <w:spacing w:before="48" w:line="213" w:lineRule="auto"/>
        <w:rPr/>
      </w:pPr>
      <w:r>
        <w:rPr>
          <w:spacing w:val="-2"/>
        </w:rPr>
        <w:t>·</w:t>
      </w:r>
      <w:r>
        <w:rPr>
          <w:spacing w:val="-80"/>
        </w:rPr>
        <w:t xml:space="preserve"> </w:t>
      </w:r>
      <w:r>
        <w:rPr>
          <w:spacing w:val="-2"/>
        </w:rPr>
        <w:t>铜</w:t>
      </w:r>
      <w:r>
        <w:rPr>
          <w:rFonts w:ascii="SimSun" w:hAnsi="SimSun" w:eastAsia="SimSun" w:cs="SimSun"/>
          <w:spacing w:val="-2"/>
        </w:rPr>
        <w:t>(Cu):</w:t>
      </w:r>
      <w:r>
        <w:rPr>
          <w:rFonts w:ascii="SimSun" w:hAnsi="SimSun" w:eastAsia="SimSun" w:cs="SimSun"/>
          <w:spacing w:val="92"/>
        </w:rPr>
        <w:t xml:space="preserve"> </w:t>
      </w:r>
      <w:r>
        <w:rPr>
          <w:spacing w:val="-2"/>
        </w:rPr>
        <w:t>主要通过</w:t>
      </w:r>
      <w:r>
        <w:rPr>
          <w:rFonts w:ascii="SimSun" w:hAnsi="SimSun" w:eastAsia="SimSun" w:cs="SimSun"/>
          <w:spacing w:val="-2"/>
        </w:rPr>
        <w:t>PVD </w:t>
      </w:r>
      <w:r>
        <w:rPr>
          <w:spacing w:val="-2"/>
        </w:rPr>
        <w:t>沉积种子层，后跟电镀填</w:t>
      </w:r>
      <w:r>
        <w:rPr>
          <w:spacing w:val="-3"/>
        </w:rPr>
        <w:t>充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3"/>
        </w:rPr>
        <w:t>(ECD,  </w:t>
      </w:r>
      <w:r>
        <w:rPr>
          <w:spacing w:val="-3"/>
        </w:rPr>
        <w:t>非列出设备)。在</w:t>
      </w:r>
      <w:r>
        <w:rPr>
          <w:rFonts w:ascii="SimSun" w:hAnsi="SimSun" w:eastAsia="SimSun" w:cs="SimSun"/>
          <w:spacing w:val="-3"/>
        </w:rPr>
        <w:t>TSMC  </w:t>
      </w:r>
      <w:r>
        <w:rPr>
          <w:spacing w:val="-3"/>
        </w:rPr>
        <w:t>和</w:t>
      </w:r>
    </w:p>
    <w:p>
      <w:pPr>
        <w:pStyle w:val="BodyText"/>
        <w:ind w:left="500"/>
        <w:spacing w:before="131" w:line="287" w:lineRule="auto"/>
        <w:rPr/>
      </w:pPr>
      <w:r>
        <w:rPr>
          <w:rFonts w:ascii="SimSun" w:hAnsi="SimSun" w:eastAsia="SimSun" w:cs="SimSun"/>
        </w:rPr>
        <w:t>Samsung</w:t>
      </w:r>
      <w:r>
        <w:rPr>
          <w:rFonts w:ascii="SimSun" w:hAnsi="SimSun" w:eastAsia="SimSun" w:cs="SimSun"/>
          <w:spacing w:val="104"/>
        </w:rPr>
        <w:t xml:space="preserve"> </w:t>
      </w:r>
      <w:r>
        <w:rPr>
          <w:spacing w:val="5"/>
        </w:rPr>
        <w:t>先进节点，</w:t>
      </w:r>
      <w:r>
        <w:rPr>
          <w:rFonts w:ascii="SimSun" w:hAnsi="SimSun" w:eastAsia="SimSun" w:cs="SimSun"/>
        </w:rPr>
        <w:t>PVD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</w:rPr>
        <w:t>TaN</w:t>
      </w:r>
      <w:r>
        <w:rPr>
          <w:spacing w:val="5"/>
        </w:rPr>
        <w:t>衬里结合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5"/>
        </w:rPr>
        <w:t xml:space="preserve">   </w:t>
      </w:r>
      <w:r>
        <w:rPr>
          <w:rFonts w:ascii="SimSun" w:hAnsi="SimSun" w:eastAsia="SimSun" w:cs="SimSun"/>
        </w:rPr>
        <w:t>Ru</w:t>
      </w:r>
      <w:r>
        <w:rPr>
          <w:rFonts w:ascii="SimSun" w:hAnsi="SimSun" w:eastAsia="SimSun" w:cs="SimSun"/>
          <w:spacing w:val="5"/>
        </w:rPr>
        <w:t>-</w:t>
      </w:r>
      <w:r>
        <w:rPr>
          <w:rFonts w:ascii="SimSun" w:hAnsi="SimSun" w:eastAsia="SimSun" w:cs="SimSun"/>
        </w:rPr>
        <w:t>Co</w:t>
      </w:r>
      <w:r>
        <w:rPr>
          <w:spacing w:val="5"/>
        </w:rPr>
        <w:t>双层改善粘附和填充，减少空隙87%。</w:t>
      </w:r>
      <w:r>
        <w:rPr/>
        <w:t xml:space="preserve"> </w:t>
      </w:r>
      <w:r>
        <w:rPr>
          <w:spacing w:val="4"/>
        </w:rPr>
        <w:t>选择</w:t>
      </w:r>
      <w:r>
        <w:rPr>
          <w:rFonts w:ascii="Arial" w:hAnsi="Arial" w:eastAsia="Arial" w:cs="Arial"/>
        </w:rPr>
        <w:t>PVD</w:t>
      </w:r>
      <w:r>
        <w:rPr>
          <w:rFonts w:ascii="Arial" w:hAnsi="Arial" w:eastAsia="Arial" w:cs="Arial"/>
          <w:spacing w:val="4"/>
        </w:rPr>
        <w:t>/</w:t>
      </w:r>
      <w:r>
        <w:rPr>
          <w:rFonts w:ascii="Arial" w:hAnsi="Arial" w:eastAsia="Arial" w:cs="Arial"/>
        </w:rPr>
        <w:t>CVD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spacing w:val="4"/>
        </w:rPr>
        <w:t>因</w:t>
      </w:r>
      <w:r>
        <w:rPr>
          <w:rFonts w:ascii="Arial" w:hAnsi="Arial" w:eastAsia="Arial" w:cs="Arial"/>
        </w:rPr>
        <w:t>Cu</w:t>
      </w:r>
      <w:r>
        <w:rPr>
          <w:spacing w:val="4"/>
        </w:rPr>
        <w:t>的低电阻(1.68μ</w:t>
      </w:r>
      <w:r>
        <w:rPr>
          <w:rFonts w:ascii="Arial" w:hAnsi="Arial" w:eastAsia="Arial" w:cs="Arial"/>
          <w:spacing w:val="4"/>
        </w:rPr>
        <w:t>Q·</w:t>
      </w:r>
      <w:r>
        <w:rPr>
          <w:rFonts w:ascii="Arial" w:hAnsi="Arial" w:eastAsia="Arial" w:cs="Arial"/>
        </w:rPr>
        <w:t>cm</w:t>
      </w:r>
      <w:r>
        <w:rPr>
          <w:rFonts w:ascii="Arial" w:hAnsi="Arial" w:eastAsia="Arial" w:cs="Arial"/>
          <w:spacing w:val="4"/>
        </w:rPr>
        <w:t>)</w:t>
      </w:r>
      <w:r>
        <w:rPr>
          <w:rFonts w:ascii="Arial" w:hAnsi="Arial" w:eastAsia="Arial" w:cs="Arial"/>
          <w:spacing w:val="32"/>
          <w:w w:val="101"/>
        </w:rPr>
        <w:t xml:space="preserve">  </w:t>
      </w:r>
      <w:r>
        <w:rPr>
          <w:spacing w:val="4"/>
        </w:rPr>
        <w:t>和可扩展性，但&lt;10</w:t>
      </w:r>
      <w:r>
        <w:rPr>
          <w:rFonts w:ascii="Arial" w:hAnsi="Arial" w:eastAsia="Arial" w:cs="Arial"/>
        </w:rPr>
        <w:t>nm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4"/>
        </w:rPr>
        <w:t>时转向</w:t>
      </w:r>
      <w:r>
        <w:rPr>
          <w:rFonts w:ascii="Arial" w:hAnsi="Arial" w:eastAsia="Arial" w:cs="Arial"/>
        </w:rPr>
        <w:t>ALD</w:t>
      </w:r>
      <w:r>
        <w:rPr>
          <w:spacing w:val="4"/>
        </w:rPr>
        <w:t>以最小化</w:t>
      </w:r>
      <w:r>
        <w:rPr/>
        <w:t xml:space="preserve">  </w:t>
      </w:r>
      <w:r>
        <w:rPr>
          <w:spacing w:val="-2"/>
        </w:rPr>
        <w:t>阻挡层厚度。</w:t>
      </w:r>
    </w:p>
    <w:p>
      <w:pPr>
        <w:pStyle w:val="BodyText"/>
        <w:ind w:left="499" w:right="99" w:hanging="150"/>
        <w:spacing w:before="283" w:line="260" w:lineRule="auto"/>
        <w:rPr/>
      </w:pPr>
      <w:r>
        <w:rPr/>
        <w:t>·钨</w:t>
      </w:r>
      <w:r>
        <w:rPr>
          <w:rFonts w:ascii="SimSun" w:hAnsi="SimSun" w:eastAsia="SimSun" w:cs="SimSun"/>
        </w:rPr>
        <w:t>(W):CVD   </w:t>
      </w:r>
      <w:r>
        <w:rPr/>
        <w:t>主导，用于接触和过孔填充(如</w:t>
      </w:r>
      <w:r>
        <w:rPr>
          <w:rFonts w:ascii="SimSun" w:hAnsi="SimSun" w:eastAsia="SimSun" w:cs="SimSun"/>
        </w:rPr>
        <w:t>SK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rFonts w:ascii="SimSun" w:hAnsi="SimSun" w:eastAsia="SimSun" w:cs="SimSun"/>
        </w:rPr>
        <w:t>Hynix</w:t>
      </w:r>
      <w:r>
        <w:rPr/>
        <w:t>的</w:t>
      </w:r>
      <w:r>
        <w:rPr>
          <w:rFonts w:ascii="SimSun" w:hAnsi="SimSun" w:eastAsia="SimSun" w:cs="SimSun"/>
        </w:rPr>
        <w:t>DRAM)。  </w:t>
      </w:r>
      <w:r>
        <w:rPr/>
        <w:t>理由：优异间隙填充，</w:t>
      </w:r>
      <w:r>
        <w:rPr/>
        <w:t xml:space="preserve"> </w:t>
      </w:r>
      <w:r>
        <w:rPr/>
        <w:t>防止硅扩散。</w:t>
      </w:r>
      <w:r>
        <w:rPr>
          <w:rFonts w:ascii="SimSun" w:hAnsi="SimSun" w:eastAsia="SimSun" w:cs="SimSun"/>
        </w:rPr>
        <w:t>ALD </w:t>
      </w:r>
      <w:r>
        <w:rPr/>
        <w:t>用于超薄</w:t>
      </w:r>
      <w:r>
        <w:rPr>
          <w:rFonts w:ascii="SimSun" w:hAnsi="SimSun" w:eastAsia="SimSun" w:cs="SimSun"/>
        </w:rPr>
        <w:t>W </w:t>
      </w:r>
      <w:r>
        <w:rPr/>
        <w:t>层，在3</w:t>
      </w:r>
      <w:r>
        <w:rPr>
          <w:rFonts w:ascii="SimSun" w:hAnsi="SimSun" w:eastAsia="SimSun" w:cs="SimSun"/>
        </w:rPr>
        <w:t>D</w:t>
      </w:r>
      <w:r>
        <w:rPr>
          <w:rFonts w:ascii="SimSun" w:hAnsi="SimSun" w:eastAsia="SimSun" w:cs="SimSun"/>
          <w:spacing w:val="52"/>
        </w:rPr>
        <w:t xml:space="preserve">  </w:t>
      </w:r>
      <w:r>
        <w:rPr>
          <w:rFonts w:ascii="SimSun" w:hAnsi="SimSun" w:eastAsia="SimSun" w:cs="SimSun"/>
        </w:rPr>
        <w:t>NAND</w:t>
      </w:r>
      <w:r>
        <w:rPr/>
        <w:t>中降低电阻。</w:t>
      </w:r>
    </w:p>
    <w:p>
      <w:pPr>
        <w:pStyle w:val="BodyText"/>
        <w:ind w:left="499" w:right="26" w:hanging="150"/>
        <w:spacing w:before="278" w:line="285" w:lineRule="auto"/>
        <w:tabs>
          <w:tab w:val="left" w:pos="659"/>
        </w:tabs>
        <w:rPr/>
      </w:pPr>
      <w:r>
        <w:rPr>
          <w:spacing w:val="-4"/>
        </w:rPr>
        <w:t>·</w:t>
      </w:r>
      <w:r>
        <w:rPr>
          <w:spacing w:val="-90"/>
        </w:rPr>
        <w:t xml:space="preserve"> </w:t>
      </w:r>
      <w:r>
        <w:rPr>
          <w:spacing w:val="-4"/>
        </w:rPr>
        <w:t>钴</w:t>
      </w:r>
      <w:r>
        <w:rPr>
          <w:rFonts w:ascii="SimSun" w:hAnsi="SimSun" w:eastAsia="SimSun" w:cs="SimSun"/>
          <w:spacing w:val="-4"/>
        </w:rPr>
        <w:t>(Co) </w:t>
      </w:r>
      <w:r>
        <w:rPr>
          <w:spacing w:val="-4"/>
        </w:rPr>
        <w:t>和</w:t>
      </w:r>
      <w:r>
        <w:rPr>
          <w:spacing w:val="-4"/>
        </w:rPr>
        <w:t xml:space="preserve"> </w:t>
      </w:r>
      <w:r>
        <w:rPr>
          <w:spacing w:val="-4"/>
        </w:rPr>
        <w:t>钌</w:t>
      </w:r>
      <w:r>
        <w:rPr>
          <w:rFonts w:ascii="SimSun" w:hAnsi="SimSun" w:eastAsia="SimSun" w:cs="SimSun"/>
          <w:spacing w:val="-4"/>
        </w:rPr>
        <w:t>(Ru):ALD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spacing w:val="-4"/>
        </w:rPr>
        <w:t>和</w:t>
      </w:r>
      <w:r>
        <w:rPr>
          <w:rFonts w:ascii="SimSun" w:hAnsi="SimSun" w:eastAsia="SimSun" w:cs="SimSun"/>
          <w:spacing w:val="-4"/>
        </w:rPr>
        <w:t>CVD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spacing w:val="-4"/>
        </w:rPr>
        <w:t>用于帽层和替代互连。在</w:t>
      </w:r>
      <w:r>
        <w:rPr>
          <w:rFonts w:ascii="SimSun" w:hAnsi="SimSun" w:eastAsia="SimSun" w:cs="SimSun"/>
          <w:spacing w:val="-4"/>
        </w:rPr>
        <w:t>Intel/Samsung,ALD    Ru</w:t>
      </w:r>
      <w:r>
        <w:rPr>
          <w:spacing w:val="-4"/>
        </w:rPr>
        <w:t>提</w:t>
      </w:r>
      <w:r>
        <w:rPr>
          <w:spacing w:val="-5"/>
        </w:rPr>
        <w:t>供低</w:t>
      </w:r>
      <w:r>
        <w:rPr/>
        <w:t xml:space="preserve">  </w:t>
      </w:r>
      <w:r>
        <w:rPr>
          <w:rFonts w:ascii="SimSun" w:hAnsi="SimSun" w:eastAsia="SimSun" w:cs="SimSun"/>
          <w:spacing w:val="-1"/>
        </w:rPr>
        <w:t>FOM(3.81×10^{-16}Q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rFonts w:ascii="SimSun" w:hAnsi="SimSun" w:eastAsia="SimSun" w:cs="SimSun"/>
          <w:spacing w:val="-1"/>
        </w:rPr>
        <w:t>·m²),</w:t>
      </w:r>
      <w:r>
        <w:rPr>
          <w:rFonts w:ascii="SimSun" w:hAnsi="SimSun" w:eastAsia="SimSun" w:cs="SimSun"/>
          <w:spacing w:val="47"/>
        </w:rPr>
        <w:t xml:space="preserve">  </w:t>
      </w:r>
      <w:r>
        <w:rPr>
          <w:spacing w:val="-1"/>
        </w:rPr>
        <w:t>优于</w:t>
      </w:r>
      <w:r>
        <w:rPr>
          <w:rFonts w:ascii="SimSun" w:hAnsi="SimSun" w:eastAsia="SimSun" w:cs="SimSun"/>
          <w:spacing w:val="-1"/>
        </w:rPr>
        <w:t>Cu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"/>
        </w:rPr>
        <w:t>的6.70×10^{-16},减少表面散射。选择因高内聚能</w:t>
      </w:r>
      <w:r>
        <w:rPr/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-3"/>
        </w:rPr>
        <w:t>(&gt;Cu),  </w:t>
      </w:r>
      <w:r>
        <w:rPr>
          <w:spacing w:val="-3"/>
        </w:rPr>
        <w:t>提升</w:t>
      </w:r>
      <w:r>
        <w:rPr>
          <w:rFonts w:ascii="SimSun" w:hAnsi="SimSun" w:eastAsia="SimSun" w:cs="SimSun"/>
          <w:spacing w:val="-3"/>
        </w:rPr>
        <w:t>EM </w:t>
      </w:r>
      <w:r>
        <w:rPr>
          <w:spacing w:val="-3"/>
        </w:rPr>
        <w:t>寿命；</w:t>
      </w:r>
      <w:r>
        <w:rPr>
          <w:rFonts w:ascii="SimSun" w:hAnsi="SimSun" w:eastAsia="SimSun" w:cs="SimSun"/>
          <w:spacing w:val="-3"/>
        </w:rPr>
        <w:t>PVD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-3"/>
        </w:rPr>
        <w:t>用</w:t>
      </w:r>
      <w:r>
        <w:rPr>
          <w:spacing w:val="-4"/>
        </w:rPr>
        <w:t>于初始衬里。</w:t>
      </w:r>
    </w:p>
    <w:p>
      <w:pPr>
        <w:pStyle w:val="BodyText"/>
        <w:ind w:left="499" w:right="360" w:hanging="150"/>
        <w:spacing w:before="247" w:line="274" w:lineRule="auto"/>
        <w:rPr/>
      </w:pPr>
      <w:r>
        <w:rPr>
          <w:spacing w:val="-1"/>
        </w:rPr>
        <w:t>·钼</w:t>
      </w:r>
      <w:r>
        <w:rPr>
          <w:rFonts w:ascii="Times New Roman" w:hAnsi="Times New Roman" w:eastAsia="Times New Roman" w:cs="Times New Roman"/>
          <w:spacing w:val="-1"/>
        </w:rPr>
        <w:t>(Mo):    </w:t>
      </w:r>
      <w:r>
        <w:rPr>
          <w:spacing w:val="-1"/>
        </w:rPr>
        <w:t>新兴金属，通过</w:t>
      </w:r>
      <w:r>
        <w:rPr>
          <w:rFonts w:ascii="Times New Roman" w:hAnsi="Times New Roman" w:eastAsia="Times New Roman" w:cs="Times New Roman"/>
          <w:spacing w:val="-1"/>
        </w:rPr>
        <w:t>CVD</w:t>
      </w:r>
      <w:r>
        <w:rPr>
          <w:spacing w:val="-1"/>
        </w:rPr>
        <w:t>或</w:t>
      </w:r>
      <w:r>
        <w:rPr>
          <w:rFonts w:ascii="Times New Roman" w:hAnsi="Times New Roman" w:eastAsia="Times New Roman" w:cs="Times New Roman"/>
          <w:spacing w:val="-1"/>
        </w:rPr>
        <w:t>ALD</w:t>
      </w:r>
      <w:r>
        <w:rPr>
          <w:spacing w:val="-1"/>
        </w:rPr>
        <w:t>沉积，用于</w:t>
      </w:r>
      <w:r>
        <w:rPr>
          <w:rFonts w:ascii="Times New Roman" w:hAnsi="Times New Roman" w:eastAsia="Times New Roman" w:cs="Times New Roman"/>
          <w:spacing w:val="-1"/>
        </w:rPr>
        <w:t>DRAM</w:t>
      </w:r>
      <w:r>
        <w:rPr>
          <w:spacing w:val="-1"/>
        </w:rPr>
        <w:t>字线替代</w:t>
      </w:r>
      <w:r>
        <w:rPr>
          <w:rFonts w:ascii="Times New Roman" w:hAnsi="Times New Roman" w:eastAsia="Times New Roman" w:cs="Times New Roman"/>
          <w:spacing w:val="-1"/>
        </w:rPr>
        <w:t>W</w:t>
      </w:r>
      <w:r>
        <w:rPr>
          <w:rFonts w:ascii="SimSun" w:hAnsi="SimSun" w:eastAsia="SimSun" w:cs="SimSun"/>
          <w:spacing w:val="-1"/>
        </w:rPr>
        <w:t>。</w:t>
      </w:r>
      <w:r>
        <w:rPr>
          <w:spacing w:val="-1"/>
        </w:rPr>
        <w:t>理由：纳米级低电</w:t>
      </w:r>
      <w:r>
        <w:rPr/>
        <w:t xml:space="preserve"> </w:t>
      </w:r>
      <w:r>
        <w:rPr>
          <w:spacing w:val="-2"/>
        </w:rPr>
        <w:t>阻，无需厚阻挡层，成本低。</w:t>
      </w:r>
    </w:p>
    <w:p>
      <w:pPr>
        <w:pStyle w:val="BodyText"/>
        <w:ind w:left="349"/>
        <w:spacing w:before="293" w:line="213" w:lineRule="auto"/>
        <w:rPr/>
      </w:pPr>
      <w:r>
        <w:rPr>
          <w:spacing w:val="-2"/>
        </w:rPr>
        <w:t>·</w:t>
      </w:r>
      <w:r>
        <w:rPr>
          <w:spacing w:val="-100"/>
        </w:rPr>
        <w:t xml:space="preserve"> </w:t>
      </w:r>
      <w:r>
        <w:rPr>
          <w:spacing w:val="-2"/>
        </w:rPr>
        <w:t>其他：</w:t>
      </w:r>
      <w:r>
        <w:rPr>
          <w:rFonts w:ascii="Arial" w:hAnsi="Arial" w:eastAsia="Arial" w:cs="Arial"/>
          <w:spacing w:val="-2"/>
        </w:rPr>
        <w:t>Al</w:t>
      </w:r>
      <w:r>
        <w:rPr>
          <w:spacing w:val="-2"/>
        </w:rPr>
        <w:t>主要</w:t>
      </w:r>
      <w:r>
        <w:rPr>
          <w:rFonts w:ascii="Arial" w:hAnsi="Arial" w:eastAsia="Arial" w:cs="Arial"/>
          <w:spacing w:val="-2"/>
        </w:rPr>
        <w:t>PVD/EBE,  </w:t>
      </w:r>
      <w:r>
        <w:rPr>
          <w:spacing w:val="-2"/>
        </w:rPr>
        <w:t>用于早期节点；</w:t>
      </w:r>
      <w:r>
        <w:rPr>
          <w:rFonts w:ascii="Arial" w:hAnsi="Arial" w:eastAsia="Arial" w:cs="Arial"/>
          <w:spacing w:val="-2"/>
        </w:rPr>
        <w:t>Ti/Ta</w:t>
      </w:r>
      <w:r>
        <w:rPr>
          <w:rFonts w:ascii="Arial" w:hAnsi="Arial" w:eastAsia="Arial" w:cs="Arial"/>
          <w:spacing w:val="-3"/>
        </w:rPr>
        <w:t>N</w:t>
      </w:r>
      <w:r>
        <w:rPr>
          <w:spacing w:val="-3"/>
        </w:rPr>
        <w:t>通过</w:t>
      </w:r>
      <w:r>
        <w:rPr>
          <w:rFonts w:ascii="Arial" w:hAnsi="Arial" w:eastAsia="Arial" w:cs="Arial"/>
          <w:spacing w:val="-3"/>
        </w:rPr>
        <w:t>PVD</w:t>
      </w:r>
      <w:r>
        <w:rPr>
          <w:spacing w:val="-3"/>
        </w:rPr>
        <w:t>作为阻挡。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/>
      </w:pPr>
      <w:r>
        <w:rPr>
          <w:b/>
          <w:bCs/>
          <w:spacing w:val="-4"/>
        </w:rPr>
        <w:t>选择这些设备的理由分析</w:t>
      </w:r>
    </w:p>
    <w:p>
      <w:pPr>
        <w:pStyle w:val="BodyText"/>
        <w:spacing w:before="244" w:line="221" w:lineRule="auto"/>
        <w:rPr/>
      </w:pPr>
      <w:r>
        <w:rPr>
          <w:spacing w:val="-3"/>
        </w:rPr>
        <w:t>设备选择基于物理/化学属性和工艺需求：</w:t>
      </w:r>
    </w:p>
    <w:p>
      <w:pPr>
        <w:pStyle w:val="BodyText"/>
        <w:ind w:left="808" w:right="67" w:hanging="459"/>
        <w:spacing w:before="232" w:line="272" w:lineRule="auto"/>
        <w:rPr/>
      </w:pPr>
      <w:r>
        <w:rPr>
          <w:rFonts w:ascii="SimSun" w:hAnsi="SimSun" w:eastAsia="SimSun" w:cs="SimSun"/>
          <w:spacing w:val="1"/>
        </w:rPr>
        <w:t>1.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1"/>
        </w:rPr>
        <w:t>性能优化：先进节点强调低</w:t>
      </w:r>
      <w:r>
        <w:rPr>
          <w:rFonts w:ascii="SimSun" w:hAnsi="SimSun" w:eastAsia="SimSun" w:cs="SimSun"/>
        </w:rPr>
        <w:t>RC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1"/>
        </w:rPr>
        <w:t>延迟。</w:t>
      </w:r>
      <w:r>
        <w:rPr>
          <w:rFonts w:ascii="SimSun" w:hAnsi="SimSun" w:eastAsia="SimSun" w:cs="SimSun"/>
        </w:rPr>
        <w:t>ALD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的共形性在高</w:t>
      </w:r>
      <w:r>
        <w:rPr>
          <w:rFonts w:ascii="SimSun" w:hAnsi="SimSun" w:eastAsia="SimSun" w:cs="SimSun"/>
        </w:rPr>
        <w:t>AR</w:t>
      </w:r>
      <w:r>
        <w:rPr>
          <w:rFonts w:ascii="SimSun" w:hAnsi="SimSun" w:eastAsia="SimSun" w:cs="SimSun"/>
          <w:spacing w:val="1"/>
        </w:rPr>
        <w:t>(&gt;10:1)  </w:t>
      </w:r>
      <w:r>
        <w:rPr>
          <w:spacing w:val="1"/>
        </w:rPr>
        <w:t>结构中</w:t>
      </w:r>
      <w:r>
        <w:rPr/>
        <w:t>关键，如</w:t>
      </w:r>
      <w:r>
        <w:rPr>
          <w:rFonts w:ascii="SimSun" w:hAnsi="SimSun" w:eastAsia="SimSun" w:cs="SimSun"/>
        </w:rPr>
        <w:t>CFET </w:t>
      </w:r>
      <w:r>
        <w:rPr>
          <w:spacing w:val="7"/>
        </w:rPr>
        <w:t>(互补场效应晶体管)中</w:t>
      </w:r>
      <w:r>
        <w:rPr>
          <w:rFonts w:ascii="SimSun" w:hAnsi="SimSun" w:eastAsia="SimSun" w:cs="SimSun"/>
        </w:rPr>
        <w:t>Ru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7"/>
        </w:rPr>
        <w:t>沉积，减少电阻14%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</w:rPr>
        <w:t>Lam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</w:rPr>
        <w:t>Research</w:t>
      </w:r>
      <w:r>
        <w:rPr>
          <w:spacing w:val="7"/>
        </w:rPr>
        <w:t>数据</w:t>
      </w:r>
      <w:r>
        <w:rPr>
          <w:spacing w:val="6"/>
        </w:rPr>
        <w:t>)。</w:t>
      </w:r>
    </w:p>
    <w:p>
      <w:pPr>
        <w:pStyle w:val="BodyText"/>
        <w:ind w:left="659" w:right="840" w:hanging="310"/>
        <w:spacing w:before="247" w:line="287" w:lineRule="auto"/>
        <w:rPr/>
      </w:pPr>
      <w:r>
        <w:rPr>
          <w:rFonts w:ascii="SimSun" w:hAnsi="SimSun" w:eastAsia="SimSun" w:cs="SimSun"/>
        </w:rPr>
        <w:t>2.</w:t>
      </w:r>
      <w:r>
        <w:rPr>
          <w:rFonts w:ascii="SimSun" w:hAnsi="SimSun" w:eastAsia="SimSun" w:cs="SimSun"/>
          <w:spacing w:val="-37"/>
        </w:rPr>
        <w:t xml:space="preserve"> </w:t>
      </w:r>
      <w:r>
        <w:rPr/>
        <w:t>可靠性：</w:t>
      </w:r>
      <w:r>
        <w:rPr>
          <w:rFonts w:ascii="SimSun" w:hAnsi="SimSun" w:eastAsia="SimSun" w:cs="SimSun"/>
        </w:rPr>
        <w:t>Co/Ru </w:t>
      </w:r>
      <w:r>
        <w:rPr/>
        <w:t>的高内聚能抵抗</w:t>
      </w:r>
      <w:r>
        <w:rPr>
          <w:rFonts w:ascii="SimSun" w:hAnsi="SimSun" w:eastAsia="SimSun" w:cs="SimSun"/>
        </w:rPr>
        <w:t>EM(Black  </w:t>
      </w:r>
      <w:r>
        <w:rPr/>
        <w:t>模型：</w:t>
      </w:r>
      <w:r>
        <w:rPr>
          <w:rFonts w:ascii="SimSun" w:hAnsi="SimSun" w:eastAsia="SimSun" w:cs="SimSun"/>
        </w:rPr>
        <w:t>MT</w:t>
      </w:r>
      <w:r>
        <w:rPr>
          <w:rFonts w:ascii="SimSun" w:hAnsi="SimSun" w:eastAsia="SimSun" w:cs="SimSun"/>
          <w:spacing w:val="-1"/>
        </w:rPr>
        <w:t>TFα1/J^n   exp(E_a/kT))。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</w:rPr>
        <w:t>PVD</w:t>
      </w:r>
      <w:r>
        <w:rPr>
          <w:rFonts w:ascii="Arial" w:hAnsi="Arial" w:eastAsia="Arial" w:cs="Arial"/>
          <w:spacing w:val="14"/>
        </w:rPr>
        <w:t>/</w:t>
      </w:r>
      <w:r>
        <w:rPr>
          <w:rFonts w:ascii="Arial" w:hAnsi="Arial" w:eastAsia="Arial" w:cs="Arial"/>
        </w:rPr>
        <w:t>CVD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spacing w:val="14"/>
        </w:rPr>
        <w:t>确保纯度&gt;99.99%,避免污染。</w:t>
      </w:r>
    </w:p>
    <w:p>
      <w:pPr>
        <w:pStyle w:val="BodyText"/>
        <w:ind w:left="659" w:right="395" w:hanging="310"/>
        <w:spacing w:before="220" w:line="270" w:lineRule="auto"/>
        <w:rPr/>
      </w:pPr>
      <w:r>
        <w:rPr>
          <w:rFonts w:ascii="SimSun" w:hAnsi="SimSun" w:eastAsia="SimSun" w:cs="SimSun"/>
        </w:rPr>
        <w:t>3.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兼容性与成本：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67"/>
        </w:rPr>
        <w:t xml:space="preserve"> </w:t>
      </w:r>
      <w:r>
        <w:rPr/>
        <w:t>兼容现有</w:t>
      </w:r>
      <w:r>
        <w:rPr>
          <w:rFonts w:ascii="SimSun" w:hAnsi="SimSun" w:eastAsia="SimSun" w:cs="SimSun"/>
        </w:rPr>
        <w:t>Damascene  </w:t>
      </w:r>
      <w:r>
        <w:rPr/>
        <w:t>流程；</w:t>
      </w:r>
      <w:r>
        <w:rPr>
          <w:rFonts w:ascii="SimSun" w:hAnsi="SimSun" w:eastAsia="SimSun" w:cs="SimSun"/>
          <w:spacing w:val="-1"/>
        </w:rPr>
        <w:t>ALD </w:t>
      </w:r>
      <w:r>
        <w:rPr>
          <w:spacing w:val="-1"/>
        </w:rPr>
        <w:t>虽慢，但精密控制减少缺陷。在</w:t>
      </w:r>
      <w:r>
        <w:rPr/>
        <w:t xml:space="preserve"> </w:t>
      </w:r>
      <w:r>
        <w:rPr>
          <w:rFonts w:ascii="Arial" w:hAnsi="Arial" w:eastAsia="Arial" w:cs="Arial"/>
        </w:rPr>
        <w:t>TSMC</w:t>
      </w:r>
      <w:r>
        <w:rPr>
          <w:rFonts w:ascii="Arial" w:hAnsi="Arial" w:eastAsia="Arial" w:cs="Arial"/>
          <w:spacing w:val="24"/>
        </w:rPr>
        <w:t xml:space="preserve">  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pacing w:val="8"/>
        </w:rPr>
        <w:t>2,</w:t>
      </w:r>
      <w:r>
        <w:rPr>
          <w:spacing w:val="8"/>
        </w:rPr>
        <w:t>混合</w:t>
      </w:r>
      <w:r>
        <w:rPr>
          <w:rFonts w:ascii="Arial" w:hAnsi="Arial" w:eastAsia="Arial" w:cs="Arial"/>
        </w:rPr>
        <w:t>PVD</w:t>
      </w:r>
      <w:r>
        <w:rPr>
          <w:rFonts w:ascii="Arial" w:hAnsi="Arial" w:eastAsia="Arial" w:cs="Arial"/>
          <w:spacing w:val="8"/>
        </w:rPr>
        <w:t>-</w:t>
      </w:r>
      <w:r>
        <w:rPr>
          <w:rFonts w:ascii="Arial" w:hAnsi="Arial" w:eastAsia="Arial" w:cs="Arial"/>
        </w:rPr>
        <w:t>ALD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8"/>
        </w:rPr>
        <w:t>降低功耗25%。</w:t>
      </w:r>
    </w:p>
    <w:p>
      <w:pPr>
        <w:pStyle w:val="BodyText"/>
        <w:ind w:left="659" w:right="88" w:hanging="310"/>
        <w:spacing w:before="249" w:line="273" w:lineRule="auto"/>
        <w:rPr/>
      </w:pPr>
      <w:r>
        <w:rPr>
          <w:rFonts w:ascii="SimSun" w:hAnsi="SimSun" w:eastAsia="SimSun" w:cs="SimSun"/>
          <w:spacing w:val="-1"/>
        </w:rPr>
        <w:t>4.EBE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spacing w:val="-1"/>
        </w:rPr>
        <w:t>和</w:t>
      </w:r>
      <w:r>
        <w:rPr>
          <w:rFonts w:ascii="SimSun" w:hAnsi="SimSun" w:eastAsia="SimSun" w:cs="SimSun"/>
          <w:spacing w:val="-1"/>
        </w:rPr>
        <w:t>MBE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-1"/>
        </w:rPr>
        <w:t>的边缘化：</w:t>
      </w:r>
      <w:r>
        <w:rPr>
          <w:rFonts w:ascii="SimSun" w:hAnsi="SimSun" w:eastAsia="SimSun" w:cs="SimSun"/>
          <w:spacing w:val="-1"/>
        </w:rPr>
        <w:t>EBE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适合高熔点但覆盖差；</w:t>
      </w:r>
      <w:r>
        <w:rPr>
          <w:rFonts w:ascii="SimSun" w:hAnsi="SimSun" w:eastAsia="SimSun" w:cs="SimSun"/>
          <w:spacing w:val="-1"/>
        </w:rPr>
        <w:t>MBE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-1"/>
        </w:rPr>
        <w:t>太慢且专为外延，不适互连。调研</w:t>
      </w:r>
      <w:r>
        <w:rPr/>
        <w:t xml:space="preserve"> </w:t>
      </w:r>
      <w:r>
        <w:rPr>
          <w:spacing w:val="7"/>
        </w:rPr>
        <w:t>显示，生产中&gt;90%金属沉积依赖</w:t>
      </w:r>
      <w:r>
        <w:rPr>
          <w:rFonts w:ascii="Times New Roman" w:hAnsi="Times New Roman" w:eastAsia="Times New Roman" w:cs="Times New Roman"/>
        </w:rPr>
        <w:t>PVD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rFonts w:ascii="Times New Roman" w:hAnsi="Times New Roman" w:eastAsia="Times New Roman" w:cs="Times New Roman"/>
        </w:rPr>
        <w:t>CVD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rFonts w:ascii="Times New Roman" w:hAnsi="Times New Roman" w:eastAsia="Times New Roman" w:cs="Times New Roman"/>
        </w:rPr>
        <w:t>ALD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</w:rPr>
        <w:t>Applied</w:t>
      </w:r>
      <w:r>
        <w:rPr>
          <w:rFonts w:ascii="Times New Roman" w:hAnsi="Times New Roman" w:eastAsia="Times New Roman" w:cs="Times New Roman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</w:rPr>
        <w:t>Materials</w:t>
      </w:r>
      <w:r>
        <w:rPr>
          <w:spacing w:val="6"/>
        </w:rPr>
        <w:t>报告)。</w:t>
      </w:r>
    </w:p>
    <w:p>
      <w:pPr>
        <w:pStyle w:val="BodyText"/>
        <w:ind w:left="659" w:right="114" w:hanging="310"/>
        <w:spacing w:before="265" w:line="262" w:lineRule="auto"/>
        <w:rPr/>
      </w:pPr>
      <w:r>
        <w:rPr>
          <w:rFonts w:ascii="Times New Roman" w:hAnsi="Times New Roman" w:eastAsia="Times New Roman" w:cs="Times New Roman"/>
          <w:spacing w:val="2"/>
        </w:rPr>
        <w:t>5.  </w:t>
      </w:r>
      <w:r>
        <w:rPr>
          <w:spacing w:val="2"/>
        </w:rPr>
        <w:t>趋势：转向选择性沉积(如</w:t>
      </w:r>
      <w:r>
        <w:rPr>
          <w:rFonts w:ascii="Times New Roman" w:hAnsi="Times New Roman" w:eastAsia="Times New Roman" w:cs="Times New Roman"/>
        </w:rPr>
        <w:t>SAM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辅助</w:t>
      </w:r>
      <w:r>
        <w:rPr>
          <w:rFonts w:ascii="Times New Roman" w:hAnsi="Times New Roman" w:eastAsia="Times New Roman" w:cs="Times New Roman"/>
        </w:rPr>
        <w:t>ALD</w:t>
      </w:r>
      <w:r>
        <w:rPr>
          <w:rFonts w:ascii="Times New Roman" w:hAnsi="Times New Roman" w:eastAsia="Times New Roman" w:cs="Times New Roman"/>
          <w:spacing w:val="2"/>
        </w:rPr>
        <w:t>)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 </w:t>
      </w:r>
      <w:r>
        <w:rPr>
          <w:spacing w:val="2"/>
        </w:rPr>
        <w:t>以实现无阻挡</w:t>
      </w:r>
      <w:r>
        <w:rPr>
          <w:rFonts w:ascii="Times New Roman" w:hAnsi="Times New Roman" w:eastAsia="Times New Roman" w:cs="Times New Roman"/>
        </w:rPr>
        <w:t>Ru</w:t>
      </w:r>
      <w:r>
        <w:rPr>
          <w:spacing w:val="2"/>
        </w:rPr>
        <w:t>互连，集成空气间隙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(k=1.0)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7"/>
        </w:rPr>
        <w:t>降低电容。学术文献强调2</w:t>
      </w:r>
      <w:r>
        <w:rPr>
          <w:rFonts w:ascii="Times New Roman" w:hAnsi="Times New Roman" w:eastAsia="Times New Roman" w:cs="Times New Roman"/>
          <w:spacing w:val="7"/>
        </w:rPr>
        <w:t>D</w:t>
      </w:r>
      <w:r>
        <w:rPr>
          <w:spacing w:val="7"/>
        </w:rPr>
        <w:t>材料(如石墨烯)与</w:t>
      </w:r>
      <w:r>
        <w:rPr>
          <w:rFonts w:ascii="Times New Roman" w:hAnsi="Times New Roman" w:eastAsia="Times New Roman" w:cs="Times New Roman"/>
        </w:rPr>
        <w:t>ALD</w:t>
      </w:r>
      <w:r>
        <w:rPr>
          <w:spacing w:val="7"/>
        </w:rPr>
        <w:t>结合，进一步优化。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/>
      </w:pPr>
      <w:r>
        <w:rPr>
          <w:b/>
          <w:bCs/>
          <w:spacing w:val="-5"/>
        </w:rPr>
        <w:t>先进厂商案例</w:t>
      </w:r>
    </w:p>
    <w:p>
      <w:pPr>
        <w:spacing w:line="222" w:lineRule="auto"/>
        <w:sectPr>
          <w:pgSz w:w="12240" w:h="15840"/>
          <w:pgMar w:top="1218" w:right="1129" w:bottom="0" w:left="980" w:header="0" w:footer="0" w:gutter="0"/>
        </w:sectPr>
        <w:rPr/>
      </w:pPr>
    </w:p>
    <w:p>
      <w:pPr>
        <w:pStyle w:val="BodyText"/>
        <w:ind w:left="353"/>
        <w:spacing w:before="48" w:line="213" w:lineRule="auto"/>
        <w:rPr/>
      </w:pPr>
      <w:r>
        <w:rPr>
          <w:rFonts w:ascii="SimSun" w:hAnsi="SimSun" w:eastAsia="SimSun" w:cs="SimSun"/>
          <w:b/>
          <w:bCs/>
          <w:spacing w:val="-2"/>
        </w:rPr>
        <w:t>·TSMC:</w:t>
      </w:r>
      <w:r>
        <w:rPr>
          <w:rFonts w:ascii="SimSun" w:hAnsi="SimSun" w:eastAsia="SimSun" w:cs="SimSun"/>
          <w:spacing w:val="47"/>
        </w:rPr>
        <w:t xml:space="preserve">  </w:t>
      </w:r>
      <w:r>
        <w:rPr>
          <w:rFonts w:ascii="SimSun" w:hAnsi="SimSun" w:eastAsia="SimSun" w:cs="SimSun"/>
          <w:spacing w:val="-2"/>
        </w:rPr>
        <w:t>N3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节点使用</w:t>
      </w:r>
      <w:r>
        <w:rPr>
          <w:rFonts w:ascii="SimSun" w:hAnsi="SimSun" w:eastAsia="SimSun" w:cs="SimSun"/>
          <w:spacing w:val="-2"/>
        </w:rPr>
        <w:t>PVD  TaN</w:t>
      </w:r>
      <w:r>
        <w:rPr>
          <w:spacing w:val="-2"/>
        </w:rPr>
        <w:t>衬里+</w:t>
      </w:r>
      <w:r>
        <w:rPr>
          <w:rFonts w:ascii="SimSun" w:hAnsi="SimSun" w:eastAsia="SimSun" w:cs="SimSun"/>
          <w:spacing w:val="-2"/>
        </w:rPr>
        <w:t>ALD  Ru</w:t>
      </w:r>
      <w:r>
        <w:rPr>
          <w:spacing w:val="-2"/>
        </w:rPr>
        <w:t>增强层，用于</w:t>
      </w:r>
      <w:r>
        <w:rPr>
          <w:rFonts w:ascii="SimSun" w:hAnsi="SimSun" w:eastAsia="SimSun" w:cs="SimSun"/>
          <w:spacing w:val="-2"/>
        </w:rPr>
        <w:t>Cu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2"/>
        </w:rPr>
        <w:t>互连；</w:t>
      </w:r>
      <w:r>
        <w:rPr>
          <w:rFonts w:ascii="SimSun" w:hAnsi="SimSun" w:eastAsia="SimSun" w:cs="SimSun"/>
          <w:spacing w:val="-2"/>
        </w:rPr>
        <w:t>CVD   W</w:t>
      </w:r>
      <w:r>
        <w:rPr>
          <w:spacing w:val="-2"/>
        </w:rPr>
        <w:t>接触。</w:t>
      </w:r>
    </w:p>
    <w:p>
      <w:pPr>
        <w:pStyle w:val="BodyText"/>
        <w:ind w:left="350"/>
        <w:spacing w:before="263" w:line="213" w:lineRule="auto"/>
        <w:rPr/>
      </w:pPr>
      <w:r>
        <w:rPr>
          <w:spacing w:val="-7"/>
        </w:rPr>
        <w:t>·</w:t>
      </w:r>
      <w:r>
        <w:rPr>
          <w:rFonts w:ascii="Arial" w:hAnsi="Arial" w:eastAsia="Arial" w:cs="Arial"/>
          <w:b/>
          <w:bCs/>
          <w:spacing w:val="-7"/>
        </w:rPr>
        <w:t>Intel:   </w:t>
      </w:r>
      <w:r>
        <w:rPr>
          <w:rFonts w:ascii="Arial" w:hAnsi="Arial" w:eastAsia="Arial" w:cs="Arial"/>
          <w:spacing w:val="-7"/>
        </w:rPr>
        <w:t>18A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-7"/>
        </w:rPr>
        <w:t>转向</w:t>
      </w:r>
      <w:r>
        <w:rPr>
          <w:rFonts w:ascii="Arial" w:hAnsi="Arial" w:eastAsia="Arial" w:cs="Arial"/>
          <w:spacing w:val="-7"/>
        </w:rPr>
        <w:t>ALD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7"/>
        </w:rPr>
        <w:t>Ru</w:t>
      </w:r>
      <w:r>
        <w:rPr>
          <w:spacing w:val="-7"/>
        </w:rPr>
        <w:t>互连，取代</w:t>
      </w:r>
      <w:r>
        <w:rPr>
          <w:rFonts w:ascii="Arial" w:hAnsi="Arial" w:eastAsia="Arial" w:cs="Arial"/>
          <w:spacing w:val="-7"/>
        </w:rPr>
        <w:t>Cu</w:t>
      </w:r>
      <w:r>
        <w:rPr>
          <w:spacing w:val="-7"/>
        </w:rPr>
        <w:t>以应对1</w:t>
      </w:r>
      <w:r>
        <w:rPr>
          <w:rFonts w:ascii="Arial" w:hAnsi="Arial" w:eastAsia="Arial" w:cs="Arial"/>
          <w:spacing w:val="-7"/>
        </w:rPr>
        <w:t>nm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spacing w:val="-7"/>
        </w:rPr>
        <w:t>挑战。</w:t>
      </w:r>
    </w:p>
    <w:p>
      <w:pPr>
        <w:pStyle w:val="BodyText"/>
        <w:ind w:left="350"/>
        <w:spacing w:before="175" w:line="328" w:lineRule="exact"/>
        <w:rPr/>
      </w:pPr>
      <w:r>
        <w:rPr>
          <w:rFonts w:ascii="Arial" w:hAnsi="Arial" w:eastAsia="Arial" w:cs="Arial"/>
          <w:b/>
          <w:bCs/>
          <w:spacing w:val="-2"/>
          <w:position w:val="2"/>
        </w:rPr>
        <w:t>·Samsung:   </w:t>
      </w:r>
      <w:r>
        <w:rPr>
          <w:rFonts w:ascii="Arial" w:hAnsi="Arial" w:eastAsia="Arial" w:cs="Arial"/>
          <w:spacing w:val="-2"/>
          <w:position w:val="2"/>
        </w:rPr>
        <w:t>3nm</w:t>
      </w:r>
      <w:r>
        <w:rPr>
          <w:rFonts w:ascii="Arial" w:hAnsi="Arial" w:eastAsia="Arial" w:cs="Arial"/>
          <w:spacing w:val="-13"/>
          <w:position w:val="2"/>
        </w:rPr>
        <w:t xml:space="preserve"> </w:t>
      </w:r>
      <w:r>
        <w:rPr>
          <w:spacing w:val="-2"/>
          <w:position w:val="2"/>
        </w:rPr>
        <w:t>采用</w:t>
      </w:r>
      <w:r>
        <w:rPr>
          <w:rFonts w:ascii="Arial" w:hAnsi="Arial" w:eastAsia="Arial" w:cs="Arial"/>
          <w:spacing w:val="-2"/>
          <w:position w:val="2"/>
        </w:rPr>
        <w:t>CVD  Cu</w:t>
      </w:r>
      <w:r>
        <w:rPr>
          <w:spacing w:val="-2"/>
          <w:position w:val="2"/>
        </w:rPr>
        <w:t>和</w:t>
      </w:r>
      <w:r>
        <w:rPr>
          <w:rFonts w:ascii="Arial" w:hAnsi="Arial" w:eastAsia="Arial" w:cs="Arial"/>
          <w:spacing w:val="-2"/>
          <w:position w:val="2"/>
        </w:rPr>
        <w:t>ALD</w:t>
      </w:r>
      <w:r>
        <w:rPr>
          <w:rFonts w:ascii="Arial" w:hAnsi="Arial" w:eastAsia="Arial" w:cs="Arial"/>
          <w:spacing w:val="41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Co</w:t>
      </w:r>
      <w:r>
        <w:rPr>
          <w:spacing w:val="-3"/>
          <w:position w:val="2"/>
        </w:rPr>
        <w:t>帽层，确保均匀薄膜。</w:t>
      </w:r>
    </w:p>
    <w:p>
      <w:pPr>
        <w:pStyle w:val="BodyText"/>
        <w:ind w:left="510"/>
        <w:spacing w:before="180" w:line="222" w:lineRule="auto"/>
        <w:rPr/>
      </w:pPr>
      <w:r>
        <w:rPr>
          <w:spacing w:val="-2"/>
        </w:rPr>
        <w:t>这些案例突显设备在平衡速度、精度和可靠性的作用。</w:t>
      </w:r>
    </w:p>
    <w:p>
      <w:pPr>
        <w:pStyle w:val="BodyText"/>
        <w:spacing w:before="299" w:line="348" w:lineRule="auto"/>
        <w:rPr/>
      </w:pPr>
      <w:r>
        <w:rPr/>
        <w:t>此调研基于多源数据，确保平衡视图。未来，量子计算可能提升</w:t>
      </w:r>
      <w:r>
        <w:rPr>
          <w:rFonts w:ascii="Times New Roman" w:hAnsi="Times New Roman" w:eastAsia="Times New Roman" w:cs="Times New Roman"/>
        </w:rPr>
        <w:t>MBE</w:t>
      </w:r>
      <w:r>
        <w:rPr/>
        <w:t>在异质</w:t>
      </w:r>
      <w:r>
        <w:rPr>
          <w:spacing w:val="-1"/>
        </w:rPr>
        <w:t>集成中的作用，但当</w:t>
      </w:r>
      <w:r>
        <w:rPr/>
        <w:t xml:space="preserve"> </w:t>
      </w:r>
      <w:r>
        <w:rPr>
          <w:spacing w:val="-2"/>
        </w:rPr>
        <w:t>前先进逻辑/存储芯片以</w:t>
      </w:r>
      <w:r>
        <w:rPr>
          <w:rFonts w:ascii="SimSun" w:hAnsi="SimSun" w:eastAsia="SimSun" w:cs="SimSun"/>
          <w:spacing w:val="-2"/>
        </w:rPr>
        <w:t>PVD/CVD/ALD   </w:t>
      </w:r>
      <w:r>
        <w:rPr>
          <w:spacing w:val="-2"/>
        </w:rPr>
        <w:t>为主。</w:t>
      </w:r>
    </w:p>
    <w:p>
      <w:pPr>
        <w:spacing w:before="181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</w:t>
      </w:r>
    </w:p>
    <w:p>
      <w:pPr>
        <w:ind w:left="350"/>
        <w:spacing w:before="287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·Applied    Materials:Meta</w:t>
      </w:r>
      <w:r>
        <w:rPr>
          <w:rFonts w:ascii="Arial" w:hAnsi="Arial" w:eastAsia="Arial" w:cs="Arial"/>
          <w:sz w:val="24"/>
          <w:szCs w:val="24"/>
          <w:spacing w:val="-2"/>
        </w:rPr>
        <w:t>ls    Deposition</w:t>
      </w:r>
    </w:p>
    <w:p>
      <w:pPr>
        <w:ind w:left="350"/>
        <w:spacing w:before="240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·Semi-Cera:Thin  Film</w:t>
      </w:r>
      <w:r>
        <w:rPr>
          <w:rFonts w:ascii="Arial" w:hAnsi="Arial" w:eastAsia="Arial" w:cs="Arial"/>
          <w:sz w:val="24"/>
          <w:szCs w:val="24"/>
          <w:spacing w:val="18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Growth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Process</w:t>
      </w:r>
      <w:r>
        <w:rPr>
          <w:rFonts w:ascii="Arial" w:hAnsi="Arial" w:eastAsia="Arial" w:cs="Arial"/>
          <w:sz w:val="24"/>
          <w:szCs w:val="24"/>
          <w:spacing w:val="10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and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Equipment</w:t>
      </w:r>
    </w:p>
    <w:p>
      <w:pPr>
        <w:ind w:left="350"/>
        <w:spacing w:before="282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·Wafer   World:Comparing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PVD,</w:t>
      </w:r>
      <w:r>
        <w:rPr>
          <w:rFonts w:ascii="Arial" w:hAnsi="Arial" w:eastAsia="Arial" w:cs="Arial"/>
          <w:sz w:val="24"/>
          <w:szCs w:val="24"/>
          <w:spacing w:val="-2"/>
        </w:rPr>
        <w:t>ALD,and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</w:rPr>
        <w:t>CVD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50"/>
        <w:spacing w:before="7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·Lam   Research:Deposition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Ess</w:t>
      </w:r>
      <w:r>
        <w:rPr>
          <w:rFonts w:ascii="Arial" w:hAnsi="Arial" w:eastAsia="Arial" w:cs="Arial"/>
          <w:sz w:val="24"/>
          <w:szCs w:val="24"/>
          <w:spacing w:val="-2"/>
        </w:rPr>
        <w:t>entials</w:t>
      </w:r>
    </w:p>
    <w:p>
      <w:pPr>
        <w:ind w:left="350"/>
        <w:spacing w:before="247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·Samsung    Semiconductor:Metal     Interconnect</w:t>
      </w:r>
    </w:p>
    <w:p>
      <w:pPr>
        <w:ind w:left="350"/>
        <w:spacing w:before="27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·SemiEngineering:Interconnects   Approach    Tipping    Point</w:t>
      </w:r>
    </w:p>
    <w:p>
      <w:pPr>
        <w:ind w:left="350"/>
        <w:spacing w:before="251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·SK</w:t>
      </w:r>
      <w:r>
        <w:rPr>
          <w:rFonts w:ascii="Arial" w:hAnsi="Arial" w:eastAsia="Arial" w:cs="Arial"/>
          <w:sz w:val="24"/>
          <w:szCs w:val="24"/>
          <w:spacing w:val="2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Hynix:Semiconduct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or</w:t>
      </w:r>
      <w:r>
        <w:rPr>
          <w:rFonts w:ascii="Arial" w:hAnsi="Arial" w:eastAsia="Arial" w:cs="Arial"/>
          <w:sz w:val="24"/>
          <w:szCs w:val="24"/>
          <w:spacing w:val="18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Front-End</w:t>
      </w:r>
      <w:r>
        <w:rPr>
          <w:rFonts w:ascii="Arial" w:hAnsi="Arial" w:eastAsia="Arial" w:cs="Arial"/>
          <w:sz w:val="24"/>
          <w:szCs w:val="24"/>
          <w:spacing w:val="1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Process</w:t>
      </w:r>
      <w:r>
        <w:rPr>
          <w:rFonts w:ascii="Arial" w:hAnsi="Arial" w:eastAsia="Arial" w:cs="Arial"/>
          <w:sz w:val="24"/>
          <w:szCs w:val="24"/>
          <w:spacing w:val="2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Episode  6</w:t>
      </w:r>
    </w:p>
    <w:p>
      <w:pPr>
        <w:ind w:left="350"/>
        <w:spacing w:before="209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·PMC:Materials</w:t>
      </w:r>
      <w:r>
        <w:rPr>
          <w:rFonts w:ascii="Arial" w:hAnsi="Arial" w:eastAsia="Arial" w:cs="Arial"/>
          <w:sz w:val="24"/>
          <w:szCs w:val="24"/>
          <w:spacing w:val="28"/>
          <w:w w:val="101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Quest</w:t>
      </w:r>
      <w:r>
        <w:rPr>
          <w:rFonts w:ascii="Arial" w:hAnsi="Arial" w:eastAsia="Arial" w:cs="Arial"/>
          <w:sz w:val="24"/>
          <w:szCs w:val="24"/>
          <w:spacing w:val="24"/>
          <w:w w:val="101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for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Advanced   Intercon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nect   Metallization</w:t>
      </w:r>
    </w:p>
    <w:sectPr>
      <w:pgSz w:w="12240" w:h="15840"/>
      <w:pgMar w:top="1208" w:right="1137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2026-03-15T23:57:10</vt:filetime>
  </property>
  <property fmtid="{D5CDD505-2E9C-101B-9397-08002B2CF9AE}" pid="4" name="UsrData">
    <vt:lpwstr>69b6d6d37fe946001fc13a39wl</vt:lpwstr>
  </property>
</Properties>
</file>