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关于破解市政污水收集处理“核拨制”低效困局的核心解决方案简报</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我国城镇水务基础设施建设已从“规模扩张”全面迈入“提质增效”的新阶段。然而，在市政污水收集与处理领域，长期沿用并固化的传统“核拨制”（即政府按既定预算或合同保底定额直接向水务运营单位拨付资金）及其衍生的粗放管理模式，已成为制约行业效能提升的根本性体制瓶颈。这种模式在地方财政收支紧平衡的宏观背景下，不仅导致了巨额财政资金的低效配置与沉淀，更使得水环境治理的真实成效大打折扣。面对上述严峻挑战，政府水务管理部门亟需打破路径依赖，实施一场触及体制灵魂的深刻变革。</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立足于政府决策参谋的视角，直击传统管理模式导致的多头管理、效率低下、财政资金浪费等核心痛点，提出以“厂网一体化”为物理与空间基础、以“特许经营与按效付费”为商业与运行内核的综合性重构方案。报告旨在为决策层提供一套系统性、可落地、易操作且能迅速扭转被动局面的现代化水务治理操作指南，推动政府管理职能从传统的“项目包工头”向现代的“市场监管者与规则制定者”发生根本性跨越。</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现行主要问题：传统“核拨制”与“厂网分离”的系统性失效</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在全面深入推行城镇污水处理提质增效三年行动方案的政策倒逼下，传统水务管理模式的深层次弊端已充分暴露。这种失效并非单一技术环节的失误，而是整个管理体制与激励机制的系统性错配。</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财政支出刚性与真实治污绩效的严重脱节</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传统的核拨制或早期粗放型建设-运营-移交（BOT）合同中，政府的财政支出责任往往未能得到基于市场规律的有效把控，资金拨付与实际环境治理效益呈现出割裂状态。具体而言，多地在历史时期签订的特许经营协议中，往往约定了不合理的保底条款。实际操作中，部分项目按照“设计水量的100%”或一个极高的“固定基本水量”来计算并支付每月的污水处理费</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。这种基于虚拟水量而非实际处理水量的计费模式，将城市管网收集能力不足、运营负荷低下的风险全部单方面转嫁给了政府财政，大幅增加了地方财政的资金支付风险与刚性负担</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严重的是，由于在项目前期缺乏对实际单位运营成本的科学精算与动态博弈，合同约定的污水处理费单价往往畸高。例如，在某市级污水处理厂的绩效评价审计中发现，其约定的结算单价高达2.2元/立方米，远远高于其实际真实的单位运营成本，而相关的调价机制不明晰、核算与论证流程未细化，导致政府在长达数十年的运营期内持续承担着不合理的溢价，造成了巨大的财政资金浪费</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。这种“旱涝保收”的机制从根本上剥夺了企业降低成本、提升效率的内在动力。</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“厂网分离”体制导致的系统效能低下与推诿扯皮</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去数十年的城市基础设施建设，往往将污水收集管网与污水处理厂割裂开来，实行多头、分散的管理。这种“厂网分离”的体制直接在物理空间和行政权责上划下了鸿沟。管网的建设与日常运维可能归属于城管局或市政工程处，而污水处理厂的运营则交由水务集团或社会资本方。这种割裂直接导致了严重的推诿扯皮现象：管网运维方不关心末端进水浓度，只追求管道不堵塞；处理厂则不关心前端管网漏损，只负责对流入厂区的水进行处理。</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在宏观结果上，正如水利部原部长鄂竟平所指出的，我国当前污水收集率普遍不高，雨污混接错接、管道渗漏等隐蔽性问题普遍存在</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大量地下水、河水、甚至施工降水倒灌进入污水管网，不仅严重挤占了管网的有效收集空间，导致污水在旱季溢流、雨季顶托，更使得进入污水处理厂的进水浓度大幅降低（如生化需氧量BOD浓度长期低于100mg/L）。处理厂实质上在耗费大量电力和药剂“处理清水”，这不仅造成了全社会层面的巨大投资浪费，更无法有效削减环境水体中的污染物总量，致使黑臭水体反复发作</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绩效目标设定不科学与全过程监管的严重缺失</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行机制中，相关业务管理制度不完善，监管部门往往未能按照合同内容实施严格的监督执行，使得纸面上的约束沦为空谈。根据实地核查与行业普遍现象，许多项目的主管单位甚至连基础的财务与业务管理制度都存在缺失，未能对污水处理厂相关工作提供标准化的制度指导与保障</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方面，绩效目标设定过于简单甚至不合理。部分项目的年度目标仅仅设置为实现某个固定数量的“月基本水量”，而未能体现提质增效的总体目标，如污染物削减量、管网收集率、污泥无害化处置率等关键指标，缺乏清晰、明确的绩效指引和目标约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另一方面，政府监管手段极度落后，往往过度依赖于运营企业单方面提供的运营记录或低频次的人工抽检。在部分案例中，企业未能按期提交上一月份的运营记录、进出水水质检测报告及设备定期检修报告，而政府主管部门也未能主动追讨与核查，导致全过程数据失真，形成了巨大的监管盲区</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技术创新停滞与降本增效内在驱动力的丧失</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拨制及传统的保底利润模式从根本上扼杀了企业的创新活力。由于成本上升或设施老化带来的风险最终大多由政府隐性兜底，或者企业可以通过固定的高额水价获得超额利润，运营企业毫无动力去引入先进的技术手段或进行工艺优化。目前，我国城市地下管道规模巨大且年久失修普遍存在，满负荷管道检测、小口径管道快速清淤、管道外土体松散及脱空隐蔽病害诊治等技术难题亟待破解</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。然而，在缺乏市场竞争与绩效压力的环境下，科技创新能力不足、高级专门人才匮乏的问题日益凸显，行业陷入了低水平重复建设与粗放运维的泥沼</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二、 核心解决方案：推行“厂网一体化”与“特许经营+按效付费”模式</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彻底扭转上述被动局面，打破多头管理的僵局，政府必须通过机制创新，引入社会资本和专业运营力量，将市政污水系统全面推向市场化。核心破局之道在于推行**“厂网一体化”统筹管理模式**，并将其与严密的**“特许经营及按效付费”机制**深度融合。</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新模式的具体内涵与运行架构</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突破边界的“厂网一体化”统筹管理</w:t>
      </w:r>
      <w:r w:rsidDel="00000000" w:rsidR="00000000" w:rsidRPr="00000000">
        <w:rPr>
          <w:rFonts w:ascii="Google Sans" w:cs="Google Sans" w:eastAsia="Google Sans" w:hAnsi="Google Sans"/>
          <w:color w:val="1f1f1f"/>
          <w:rtl w:val="0"/>
        </w:rPr>
        <w:t xml:space="preserve"> “厂网一体化”是指打破传统的物理与管理边界，将城市建成区（或特定流域、工业园区）内的所有污水处理厂、排水泵站、各级污水收集干支管网，乃至部分尾水排放与再生水利用设施，作为一个不可分割的系统整体，打包授予单一的特许经营者（或由专业核心企业牵头的联合体）进行投融资、建设、运营和维护的一体化运作</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模式下，特许经营者必须对该区域水环境系统的最终产出结果负总责。这种模式从根本上消除了厂网之间的权责推诿空间。由于运营者的最终收益直接与其处理的污染物总量和水质挂钩，这就倒逼企业必须主动将管理触角向上游管网延伸，积极排查修复管网的跑冒滴漏，实施错接混接改造，因为只有提高进水浓度和真实污水收集率，才能确保其经济收益的最大化</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。湖南省等地区已明确提出，到2026年底，全省城市生活污水处理厂网一体化及按效付费机制基本建立，到2027年城市生活污水集中收集率达到73%以上</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建立权责对等的现代特许经营机制</w:t>
      </w:r>
      <w:r w:rsidDel="00000000" w:rsidR="00000000" w:rsidRPr="00000000">
        <w:rPr>
          <w:rFonts w:ascii="Google Sans" w:cs="Google Sans" w:eastAsia="Google Sans" w:hAnsi="Google Sans"/>
          <w:color w:val="1f1f1f"/>
          <w:rtl w:val="0"/>
        </w:rPr>
        <w:t xml:space="preserve"> 政府通过公开招标、竞争性磋商等法定程序，选择具有专业技术实力、丰富管理经验和雄厚资金实力的社会资本方，与之签订长周期的《特许经营协议》（通常为20至30年）</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。协议需明确约定，由特许经营者（或其与政府方合资成立的项目公司）全面负责项目范围内设施的更新、改造、日常运营和设备重置。</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该机制的核心在于风险转移与利益绑定。政府必须在协议中明确承诺“不补贴运营、不新增地方财政支出、不新增隐性债务”</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意味着，除了基于实际绩效支付的合法服务费外，政府不再承担设施日常损耗、技术淘汰或企业经营不善带来的财务风险。特许经营者的投资回报和利润完全取决于其在规定标准下的运营效率、成本控制能力和最终的绩效表现。</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签订基于真实成效的绩效合同（彻底的按效付费）</w:t>
      </w:r>
      <w:r w:rsidDel="00000000" w:rsidR="00000000" w:rsidRPr="00000000">
        <w:rPr>
          <w:rFonts w:ascii="Google Sans" w:cs="Google Sans" w:eastAsia="Google Sans" w:hAnsi="Google Sans"/>
          <w:color w:val="1f1f1f"/>
          <w:rtl w:val="0"/>
        </w:rPr>
        <w:t xml:space="preserve"> 这是新模式的灵魂所在。必须彻底废除传统合同中“保底水量计费”的陈旧逻辑，转而采用完全的“按效付费”结算机制。服务费单价的确定必须基于严格的成本核算、第三方审计和充分的市场竞争，确保既能覆盖合理服务成本，又能使特许经营者获得合理收益，但不允许存在超额暴利</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。绩效合同将各项环保指标、管网健康度指标、安全运营指标全部量化为考核分数，并直接作为服务费支付比例的乘数。</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新旧模式对比与运作逻辑流转</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为了让决策层更直观地理解新模式的优越性，以下通过结构化对比与逻辑流转进行深度解析。</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比较维度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传统“核拨制”与“厂网分离”模式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“厂网一体化”与“按效付费”特许经营模式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权责边界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厂网分治，多头管理（水务、住建、城管等），责任互相推诿。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边界清晰，单一主体统筹全域厂网系统，对最终环境治理效果负总责。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计费依据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按设计规模保底或按固定基本水量核拨，与实际治污效果脱钩。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严格按“实际达标处理水量×动态单价×绩效考核系数”支付，效费合一。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财政风险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兜底意味重，管网破损或水量不足导致的损失由政府财政被动承担。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政府不补贴运营，不新增隐性债务。市场主体承担技术与运营风险。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行为导向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被动应对，不关心管网漏损，乐于“处理清水”以降低药耗和电耗。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主动作为，倒逼企业投入技术修复管网，提高进水浓度与收集率以增加收入。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监管模式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依赖人工抽查、企业自报，数据易失真，监管滞后且处于弱势。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引入第三方独立检测，依托物联网和智慧水务平台实现全天候数字监管。</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运作逻辑的闭环流转机制：</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物理与业务层</w:t>
      </w:r>
      <w:r w:rsidDel="00000000" w:rsidR="00000000" w:rsidRPr="00000000">
        <w:rPr>
          <w:rFonts w:ascii="Google Sans" w:cs="Google Sans" w:eastAsia="Google Sans" w:hAnsi="Google Sans"/>
          <w:color w:val="1f1f1f"/>
          <w:rtl w:val="0"/>
        </w:rPr>
        <w:t xml:space="preserve">：排污户（居民/工业企业）排放的污水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经过特许经营者排查修复的无盲区收集支管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实时监控流量与液位的主干管与排水泵站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污水处理厂进行达标处理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尾水达标排放或进入再生水利用系统。特许经营者掌控该全链条的每一个物理节点。</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数据与监管层</w:t>
      </w:r>
      <w:r w:rsidDel="00000000" w:rsidR="00000000" w:rsidRPr="00000000">
        <w:rPr>
          <w:rFonts w:ascii="Google Sans" w:cs="Google Sans" w:eastAsia="Google Sans" w:hAnsi="Google Sans"/>
          <w:color w:val="1f1f1f"/>
          <w:rtl w:val="0"/>
        </w:rPr>
        <w:t xml:space="preserve">：遍布管网的传感节点及厂区进出水在线监测仪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实时将不可篡改的数据直传至“城市智慧水务管控平台”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第三方独立检测机构定期复核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政府监管部门依据客观数据大屏进行远程执法与考核预警。</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资金与清算层</w:t>
      </w:r>
      <w:r w:rsidDel="00000000" w:rsidR="00000000" w:rsidRPr="00000000">
        <w:rPr>
          <w:rFonts w:ascii="Google Sans" w:cs="Google Sans" w:eastAsia="Google Sans" w:hAnsi="Google Sans"/>
          <w:color w:val="1f1f1f"/>
          <w:rtl w:val="0"/>
        </w:rPr>
        <w:t xml:space="preserve">：政府通过行政手段或依法授权机构代为向用户统一收取污水处理费（专户管理）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依据每月的【第三方水质水量审计结果】与【综合绩效考核得分】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政府财政向特许经营者核发扣减或奖励后的真实服务费</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协同合作：雨水系统与防汛的兼顾考量</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尽管本报告的核心聚焦于市政污水系统的效率提升，但在推进“厂网一体化”的进程中，绝不能将雨水系统孤立在外。两者在地下管网空间、设施运维以及城市防汛排涝方面存在着巨大的协同合作潜力。</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在新建城区，应当严格落实规划，与城市开发同步推进雨污分流管网建设；在老城区，针对既有的合流制排水系统，应结合城市更新实施清污分流改造，或者因地制宜采取截流、调蓄和处理措施</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。在运营机制上，政府可探索试点“供排净治”一体化改革，将部分雨水管网的日常巡检、清淤维护交由同一特许经营者统筹</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种协同能够实现设施共用和人员统筹：例如，雨污水管网在地理信息系统（GIS）建库时可以一次性完成资产数字化；在进行地下管沟开挖或非开挖修复时，可以同时处理平行的雨污水管线病害；泵站的人员值守可以合并配置。这不仅极大降低了重复建设与日常运维的人力物力成本，还能通过科学制定雨季合流制溢流污染控制标准，统筹调度防汛应急与溢流治污，显著提升城市水环境治理的综合防灾减灾效益</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三、 政府角色定位重塑与必须履行的关键行动</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厂网一体化特许经营”的新型市场化模式中，政府的职能必须发生一场深刻的结构性转变。政府部门需要从具体繁杂的工程建设“包工头”和日常运营的“大管家”角色中完全抽离出来，全面转变为市场的“监管者”、优质公共服务的“购买者”以及行业长远发展的“规则制定者”。</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宏观规则与行业标准的制定者</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政府的首要核心任务是做好顶层设计，“说清污水收集、处理和良性运行这三方面到底干到什么样子算干好”</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制定差异化与前瞻性标准</w:t>
      </w:r>
      <w:r w:rsidDel="00000000" w:rsidR="00000000" w:rsidRPr="00000000">
        <w:rPr>
          <w:rFonts w:ascii="Google Sans" w:cs="Google Sans" w:eastAsia="Google Sans" w:hAnsi="Google Sans"/>
          <w:color w:val="1f1f1f"/>
          <w:rtl w:val="0"/>
        </w:rPr>
        <w:t xml:space="preserve">：政府必须摒弃盲目的“一刀切”政策，结合当地水环境功能区划要求、地区经济承受能力、以及污水再生利用的具体去向，科学、差异化地制定污水处理排放标准和管网建设规范</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。对于工业园区及工业污水处理排放，应制定更为严苛且适应产业特性的标准指引</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完善价格机制与费价体系</w:t>
      </w:r>
      <w:r w:rsidDel="00000000" w:rsidR="00000000" w:rsidRPr="00000000">
        <w:rPr>
          <w:rFonts w:ascii="Google Sans" w:cs="Google Sans" w:eastAsia="Google Sans" w:hAnsi="Google Sans"/>
          <w:color w:val="1f1f1f"/>
          <w:rtl w:val="0"/>
        </w:rPr>
        <w:t xml:space="preserve">：理顺价格税费是发挥市场机制作用的前提</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。政府需落实污水处理收费的动态调整机制，特别要打破过去仅考虑处理厂成本的局限，将庞大且隐蔽的污水管网运行维护成本如实纳入污水处理费收费标准的覆盖范围</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。在保障民生的前提下，按照法定程序适时调整居民与非居民污水处理费收费标准，确保资金池能够支撑高质量的公共服务。</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严格且智慧的契约执行与监管者</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退出日常运营后，政府依据《特许经营协议》履行强有力的监管职责，重点把控公共利益底线、产出质量和运行安全：</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全过程合规与环保监管</w:t>
      </w:r>
      <w:r w:rsidDel="00000000" w:rsidR="00000000" w:rsidRPr="00000000">
        <w:rPr>
          <w:rFonts w:ascii="Google Sans" w:cs="Google Sans" w:eastAsia="Google Sans" w:hAnsi="Google Sans"/>
          <w:color w:val="1f1f1f"/>
          <w:rtl w:val="0"/>
        </w:rPr>
        <w:t xml:space="preserve">：政府需确保运营企业的行为严格遵守国家和地方相关法律法规。监管范围不仅涵盖《城镇污水处理厂污染物排放标准》（GB 18918-2002）、《污水排入城镇下水道水质标准》等核心水质标准，还必须囊括工业企业噪声控制、建筑防火、抗震及电气智能化等通用安全合规要求</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确立独立第三方的绝对地位</w:t>
      </w:r>
      <w:r w:rsidDel="00000000" w:rsidR="00000000" w:rsidRPr="00000000">
        <w:rPr>
          <w:rFonts w:ascii="Google Sans" w:cs="Google Sans" w:eastAsia="Google Sans" w:hAnsi="Google Sans"/>
          <w:color w:val="1f1f1f"/>
          <w:rtl w:val="0"/>
        </w:rPr>
        <w:t xml:space="preserve">：政府在核算付费水量和水质时，绝不能直接采信运营企业的自报数据。进水与出水流量必须由政府监管人员在每月固定日期（如26日）亲自或通过防篡改的物联网设备进行抄表确认。当政府抽查核实的结果与企业自检结果出现分歧时，必须建立强制性的争议解决前置程序——以双方共同认可的、具有法定资质的第三方独立检测机构的检验结果为唯一准绳</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构建全民参与的社会监督网络</w:t>
      </w:r>
      <w:r w:rsidDel="00000000" w:rsidR="00000000" w:rsidRPr="00000000">
        <w:rPr>
          <w:rFonts w:ascii="Google Sans" w:cs="Google Sans" w:eastAsia="Google Sans" w:hAnsi="Google Sans"/>
          <w:color w:val="1f1f1f"/>
          <w:rtl w:val="0"/>
        </w:rPr>
        <w:t xml:space="preserve">：将专业监管与社会监督深度结合。政府应主动公开环境违法典型案件，为公众提供水污染防治法规咨询。充分发挥“12369”环保举报热线和网络平台作用，限期办理群众举报投诉，一经查实，给予举报人现金奖励。在重大特许经营决策、调价机制听证和建设项目审批环节，必须通过网络征集、公开听证等形式，充分听取社会公众组织的意见，积极推行环境公益诉讼</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基于契约精神的公共服务“购买者”与“付费者”</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作为公共服务的购买方，政府的诚信与履约能力是维系整个特许经营模式生命力的基石。</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阳光透明的专款专用制度</w:t>
      </w:r>
      <w:r w:rsidDel="00000000" w:rsidR="00000000" w:rsidRPr="00000000">
        <w:rPr>
          <w:rFonts w:ascii="Google Sans" w:cs="Google Sans" w:eastAsia="Google Sans" w:hAnsi="Google Sans"/>
          <w:color w:val="1f1f1f"/>
          <w:rtl w:val="0"/>
        </w:rPr>
        <w:t xml:space="preserve">：对于由政府依法授权机构代为向用户统一收取后再向特许经营者支付费用的项目，政府必须主动公开收支明细报告，接受审计监督。必须保证收取的污水处理费专款专用，绝不允许被挪用于填补地方财政的其他窟窿，且须按照特许经营协议约定的周期和流程按时、足额支付</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合理的调价支持与协助</w:t>
      </w:r>
      <w:r w:rsidDel="00000000" w:rsidR="00000000" w:rsidRPr="00000000">
        <w:rPr>
          <w:rFonts w:ascii="Google Sans" w:cs="Google Sans" w:eastAsia="Google Sans" w:hAnsi="Google Sans"/>
          <w:color w:val="1f1f1f"/>
          <w:rtl w:val="0"/>
        </w:rPr>
        <w:t xml:space="preserve">：当发生非特许经营者原因造成的经营成本重大变动（如国家强制提标改造、大宗能源原材料价格发生不可抗力级别的暴涨）时，政府方应具有契约精神，在特许经营者提出合理调价申请并经第三方审计核实后，应积极向有权定价机关提出调整意见，协助完成收费标准与监督政策的调整计划，保障社会资本的合法合理收益</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四、 核心管理与奖惩机制设计：如何从根本上激励企业降本增效？</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新模式的成败完全系于机制与契约设计。必须通过极其精巧、严密的数理与逻辑设计，将企业的逐利本能完美转化为提升公共服务质量的动力。关于成本控制和效率提升，任何方案都要算经济账，新方案优化整体资金效益的根本路径在于“风险共担、利益共享、绩效硬挂钩”。</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建立多维、可量化的综合绩效评价体系</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单一维度的考核容易导致企业在其他方面偷工减料。因此，必须设立涵盖项目决策、过程、产出与效益的全方位评价体系，通常总分为100分</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项目产出维度（绝对权重，建议占比50%以上）</w:t>
      </w:r>
      <w:r w:rsidDel="00000000" w:rsidR="00000000" w:rsidRPr="00000000">
        <w:rPr>
          <w:rFonts w:ascii="Google Sans" w:cs="Google Sans" w:eastAsia="Google Sans" w:hAnsi="Google Sans"/>
          <w:color w:val="1f1f1f"/>
          <w:rtl w:val="0"/>
        </w:rPr>
        <w:t xml:space="preserve">：这是按效付费的核心。主要考核：</w:t>
      </w:r>
    </w:p>
    <w:p w:rsidR="00000000" w:rsidDel="00000000" w:rsidP="00000000" w:rsidRDefault="00000000" w:rsidRPr="00000000" w14:paraId="0000004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水量与收集效能</w:t>
      </w:r>
      <w:r w:rsidDel="00000000" w:rsidR="00000000" w:rsidRPr="00000000">
        <w:rPr>
          <w:rFonts w:ascii="Google Sans" w:cs="Google Sans" w:eastAsia="Google Sans" w:hAnsi="Google Sans"/>
          <w:color w:val="1f1f1f"/>
          <w:rtl w:val="0"/>
        </w:rPr>
        <w:t xml:space="preserve">：城市生活污水集中收集率、实际污水处理量达标率。</w:t>
      </w:r>
    </w:p>
    <w:p w:rsidR="00000000" w:rsidDel="00000000" w:rsidP="00000000" w:rsidRDefault="00000000" w:rsidRPr="00000000" w14:paraId="0000004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水质提升效能</w:t>
      </w:r>
      <w:r w:rsidDel="00000000" w:rsidR="00000000" w:rsidRPr="00000000">
        <w:rPr>
          <w:rFonts w:ascii="Google Sans" w:cs="Google Sans" w:eastAsia="Google Sans" w:hAnsi="Google Sans"/>
          <w:color w:val="1f1f1f"/>
          <w:rtl w:val="0"/>
        </w:rPr>
        <w:t xml:space="preserve">：进水BOD等主要污染物浓度的提升幅度（倒逼管网堵漏）、出水各项指标（COD、氨氮、总磷等）满足国家及地方排放标准的稳定性。</w:t>
      </w:r>
    </w:p>
    <w:p w:rsidR="00000000" w:rsidDel="00000000" w:rsidP="00000000" w:rsidRDefault="00000000" w:rsidRPr="00000000" w14:paraId="0000004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污泥处置效能</w:t>
      </w:r>
      <w:r w:rsidDel="00000000" w:rsidR="00000000" w:rsidRPr="00000000">
        <w:rPr>
          <w:rFonts w:ascii="Google Sans" w:cs="Google Sans" w:eastAsia="Google Sans" w:hAnsi="Google Sans"/>
          <w:color w:val="1f1f1f"/>
          <w:rtl w:val="0"/>
        </w:rPr>
        <w:t xml:space="preserve">：污泥无害化处理处置率必须达到100%，杜绝二次污染</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运营过程维度（建议占比20%）</w:t>
      </w:r>
      <w:r w:rsidDel="00000000" w:rsidR="00000000" w:rsidRPr="00000000">
        <w:rPr>
          <w:rFonts w:ascii="Google Sans" w:cs="Google Sans" w:eastAsia="Google Sans" w:hAnsi="Google Sans"/>
          <w:color w:val="1f1f1f"/>
          <w:rtl w:val="0"/>
        </w:rPr>
        <w:t xml:space="preserve">：考核企业日常管理的规范性。例如，管网隐患排查的频次与修复率、设备完好运转率、相关运营台账与水质检测报告的按时提交率</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、以及智慧水务系统数据的在线率与准确性。</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社会效益与公众评价维度（建议占比10%）</w:t>
      </w:r>
      <w:r w:rsidDel="00000000" w:rsidR="00000000" w:rsidRPr="00000000">
        <w:rPr>
          <w:rFonts w:ascii="Google Sans" w:cs="Google Sans" w:eastAsia="Google Sans" w:hAnsi="Google Sans"/>
          <w:color w:val="1f1f1f"/>
          <w:rtl w:val="0"/>
        </w:rPr>
        <w:t xml:space="preserve">：纳入当地居民、周边社区以及相关工作人员的满意度调查。重点考核因污水外溢、管网倒灌、恶臭气体散发、设备噪声等引发的群众投诉事件的及时处置率与解决率</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安全合规“一票否决”底线</w:t>
      </w:r>
      <w:r w:rsidDel="00000000" w:rsidR="00000000" w:rsidRPr="00000000">
        <w:rPr>
          <w:rFonts w:ascii="Google Sans" w:cs="Google Sans" w:eastAsia="Google Sans" w:hAnsi="Google Sans"/>
          <w:color w:val="1f1f1f"/>
          <w:rtl w:val="0"/>
        </w:rPr>
        <w:t xml:space="preserve">：在绩效体系之外，设定绝对红线。运营期间发生重大安全生产责任事故、或者出现人为偷排漏排、篡改伪造在线监测数据导致重大环境污染事件的，当期绩效考核直接记为零分，并立即触发高额违约索赔机制乃至单方面终止特许经营权</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奖惩分明的“按效付费”计价与结算公式</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为确保激励机制的有效性，污水处理服务费的结算需通过严密的数学逻辑，彻底摒弃“基本保底水量”的保护伞。</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基础费用的计算法则：量与质的统一</w:t>
      </w:r>
      <w:r w:rsidDel="00000000" w:rsidR="00000000" w:rsidRPr="00000000">
        <w:rPr>
          <w:rFonts w:ascii="Google Sans" w:cs="Google Sans" w:eastAsia="Google Sans" w:hAnsi="Google Sans"/>
          <w:color w:val="1f1f1f"/>
          <w:rtl w:val="0"/>
        </w:rPr>
        <w:t xml:space="preserve"> 在运营期内的任一结算月，政府支付的基准服务费绝非产能上限，而是“</w:t>
      </w:r>
      <w:r w:rsidDel="00000000" w:rsidR="00000000" w:rsidRPr="00000000">
        <w:rPr>
          <w:rFonts w:ascii="Google Sans" w:cs="Google Sans" w:eastAsia="Google Sans" w:hAnsi="Google Sans"/>
          <w:b w:val="1"/>
          <w:bCs w:val="1"/>
          <w:color w:val="1f1f1f"/>
          <w:rtl w:val="0"/>
        </w:rPr>
        <w:t xml:space="preserve">乙方实际处理并达到出水水质标准的水量</w:t>
      </w:r>
      <w:r w:rsidDel="00000000" w:rsidR="00000000" w:rsidRPr="00000000">
        <w:rPr>
          <w:rFonts w:ascii="Google Sans" w:cs="Google Sans" w:eastAsia="Google Sans" w:hAnsi="Google Sans"/>
          <w:color w:val="1f1f1f"/>
          <w:rtl w:val="0"/>
        </w:rPr>
        <w:t xml:space="preserve">”乘以单价</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。这意味着，进入厂区但未经处理直接溢流的水、或者处理了但出水未达标的水量，一律不予计费付费。</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绩效系数的惩罚性向下调节机制</w:t>
      </w:r>
      <w:r w:rsidDel="00000000" w:rsidR="00000000" w:rsidRPr="00000000">
        <w:rPr>
          <w:rFonts w:ascii="Google Sans" w:cs="Google Sans" w:eastAsia="Google Sans" w:hAnsi="Google Sans"/>
          <w:color w:val="1f1f1f"/>
          <w:rtl w:val="0"/>
        </w:rPr>
        <w:t xml:space="preserve"> 基础费用必须再乘以当期的“综合绩效得分率”</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。例如，经政府联合评价组评定，某项目当期总得分为81.93分，得分率为81.93%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那么，该企业当月实际能拿到的服务费，就是在基础费用上打个8.193折。如果绩效低于某一阈值（如60分），除了扣减费用，还需限期整改并处以额外罚金。这使得任何运营瑕疵都会立刻反映在企业的财务报表上，倒逼其提升效率。</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超额增量与效能提升的激励（向上调节）机制</w:t>
      </w:r>
      <w:r w:rsidDel="00000000" w:rsidR="00000000" w:rsidRPr="00000000">
        <w:rPr>
          <w:rFonts w:ascii="Google Sans" w:cs="Google Sans" w:eastAsia="Google Sans" w:hAnsi="Google Sans"/>
          <w:color w:val="1f1f1f"/>
          <w:rtl w:val="0"/>
        </w:rPr>
        <w:t xml:space="preserve"> 仅仅有惩罚是不够的，必须设置极具吸引力的正向激励，鼓励企业在“管网空白区扫盲”和“雨污混接改造”上主动进行资本投入。 机制设计上，可依据当地“十一五”、“十二五”等国家规划设定的管网建设基数，针对特许经营者超额完成的业绩设定补助或奖励基数。奖励基数为“实际新增管网建设长度”与“新增污水处理量”之和。对于这部分超额贡献，可设立梯度奖励系数（例如设1、1.1、1.2三个档次）</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。当企业通过深挖管网潜能，使得收集处理量显著增加时，对增量部分给予溢价奖励。这种“多劳多得、优劳优酬”的机制，完美契合了政府快速提升整体集中收集率的宏观诉求。</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严苛的约束条款与动态优化归属</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服务暂停的极度受限</w:t>
      </w:r>
      <w:r w:rsidDel="00000000" w:rsidR="00000000" w:rsidRPr="00000000">
        <w:rPr>
          <w:rFonts w:ascii="Google Sans" w:cs="Google Sans" w:eastAsia="Google Sans" w:hAnsi="Google Sans"/>
          <w:color w:val="1f1f1f"/>
          <w:rtl w:val="0"/>
        </w:rPr>
        <w:t xml:space="preserve">：对于计划内的停产维护，企业需在每年底提交下一年度详尽维护计划并获批。且必须尽最大努力降低影响，如规定每一运营年计划内暂停服务不得多于18天，期间设施处理能力不得低于设计的75%，且政府对这期间的水量不承担基本付款义务。若因企业管理不善导致计划外暂停服务超过24小时，企业必须按协议支付高额的“水量不足违约金”</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创新降本的利润留存机制</w:t>
      </w:r>
      <w:r w:rsidDel="00000000" w:rsidR="00000000" w:rsidRPr="00000000">
        <w:rPr>
          <w:rFonts w:ascii="Google Sans" w:cs="Google Sans" w:eastAsia="Google Sans" w:hAnsi="Google Sans"/>
          <w:color w:val="1f1f1f"/>
          <w:rtl w:val="0"/>
        </w:rPr>
        <w:t xml:space="preserve">：为鼓励技术革新，若企业通过研发引入高级节能工艺大幅降低了电耗药耗，或者向市场提供了纯净水、再生水回用等非本协议规定标准内的创新产品和服务，在报政府备案并单独核算成本后，由此产生的成本节余和创新产品收入，明确归企业所有</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。这就从商业底层逻辑上打通了企业进行技术创新和产业升级的通道。</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五、 政府行动清单：推行方案前必须做好的准备工作</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一项完美的机制设计若无扎实的行政管理基础与法律契约支撑，极易沦为一纸空文。为顺利推行“厂网一体化与按效付费”模式，政府各相关部门需打破常规，按以下清单即刻开展深度的准备工作。</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行动项一：法规梳理与合同文本体系的全面重构</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目标：</w:t>
      </w:r>
      <w:r w:rsidDel="00000000" w:rsidR="00000000" w:rsidRPr="00000000">
        <w:rPr>
          <w:rFonts w:ascii="Google Sans" w:cs="Google Sans" w:eastAsia="Google Sans" w:hAnsi="Google Sans"/>
          <w:color w:val="1f1f1f"/>
          <w:rtl w:val="0"/>
        </w:rPr>
        <w:t xml:space="preserve"> 拔除历史遗留毒瘤，建立无懈可击的现代法律契约框架。</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具体行动：</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组织发改、财政、审计、司法法制办联合成立专班，全面盘点并评估现有污水处理PPP/BOT协议。对于存在严重不合理财政兜底条款的，需通过法律途径进行协商修订或依法回购重组</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制定具有本地适用性的《城镇水务厂网一体化特许经营协议标准示范文本》。在新文本中，坚决清理“固定投资回报率”、“按设计规模计算月基本水量”等违背市场化原则的条款。</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在合同中极其细致地界定“不可抗力”与“免责条款”。例如，当工业园区发生突发性重金属超标违规偷排，导致处理厂生化系统全面崩溃时，必须明确界定责任划分原则、免责取证的法定程序，既保护特许经营者的合法权益不受牵连，也明晰其在应急处置中的法定配合义务。</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行动项二：打破“九龙治水”，建立跨部门统筹与联合监督机构</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目标：</w:t>
      </w:r>
      <w:r w:rsidDel="00000000" w:rsidR="00000000" w:rsidRPr="00000000">
        <w:rPr>
          <w:rFonts w:ascii="Google Sans" w:cs="Google Sans" w:eastAsia="Google Sans" w:hAnsi="Google Sans"/>
          <w:color w:val="1f1f1f"/>
          <w:rtl w:val="0"/>
        </w:rPr>
        <w:t xml:space="preserve"> 形成权责明晰、协同高效的管理闭环。</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具体行动：</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设立由市政府主要领导挂帅的“城镇水环境综合治理指挥部”，全面理清从政府到部门、从事业单位到企业的责任边界，打破住建、城管、水务、生态环境等部门之间的行政壁垒，明确单一的牵头考核责任主体</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建立常态化的跨部门联合执法与会商机制。例如：生态环境部门负责水质在线监测与超标处罚；城管/水务部门负责管网建设审批与特许经营日常履约监管；发改部门负责费价标准核定与调整听证；财政与审计部门负责年度绩效评价审计与按效资金拨付。各司其职，又互为支撑。</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行动项三：“智慧水务”物理平台与数字资产的实体化建设</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目标：</w:t>
      </w:r>
      <w:r w:rsidDel="00000000" w:rsidR="00000000" w:rsidRPr="00000000">
        <w:rPr>
          <w:rFonts w:ascii="Google Sans" w:cs="Google Sans" w:eastAsia="Google Sans" w:hAnsi="Google Sans"/>
          <w:color w:val="1f1f1f"/>
          <w:rtl w:val="0"/>
        </w:rPr>
        <w:t xml:space="preserve"> 将监管手段从工业时代的“翻阅纸质台账”跃升为数字时代的“全域动态感知”。</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具体行动：</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在招投标阶段即明确要求，特许经营者必须出资（或政府与资本方按比例共建）建设覆盖全域（如九江案例中覆盖80平方公里中心城区）的“城市提质增效智慧管控平台”</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强制要求全面完成地下排水系统涉水资产的数字化建库（BIM+GIS系统集成）。摸清家底，让原本看不见、摸不着的地下管网在三维地图上一目了然。</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构建排水系统智能感知体系。在核心管网交汇点、大型排水泵站、易涝区、两湖及长江等重点排口、污水厂进出水口等关键位置，大规模铺设智能传感设备（在线流量计、液位计、水质分析仪）。将监测感知数据直接、加密接入政府监管大屏，实现数据的一源多用和不可篡改，确保“考核有铁证，计费有客观依据”</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行动项四：专业监管能力的培养与财政预算机制优化</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目标：</w:t>
      </w:r>
      <w:r w:rsidDel="00000000" w:rsidR="00000000" w:rsidRPr="00000000">
        <w:rPr>
          <w:rFonts w:ascii="Google Sans" w:cs="Google Sans" w:eastAsia="Google Sans" w:hAnsi="Google Sans"/>
          <w:color w:val="1f1f1f"/>
          <w:rtl w:val="0"/>
        </w:rPr>
        <w:t xml:space="preserve"> 提升政府与资本市场“掰手腕”的专业能力，确保财政资金充裕安全。</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具体行动：</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能力建设</w:t>
      </w:r>
      <w:r w:rsidDel="00000000" w:rsidR="00000000" w:rsidRPr="00000000">
        <w:rPr>
          <w:rFonts w:ascii="Google Sans" w:cs="Google Sans" w:eastAsia="Google Sans" w:hAnsi="Google Sans"/>
          <w:color w:val="1f1f1f"/>
          <w:rtl w:val="0"/>
        </w:rPr>
        <w:t xml:space="preserve">：目前基层政府普遍缺乏对复杂特许经营合同的履约管控能力以及对地下管网科技的前沿认知。短期内，政府需建立“购买第三方专业审计与工程咨询服务”的机制，聘请顶尖的工程造价师、律师和水务专家辅助政府进行月度考评和调价核算。长期看，需加快引进具备“工程+财务+法律”复合背景的高级管理人才进驻监管机构。</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财政预算保障</w:t>
      </w:r>
      <w:r w:rsidDel="00000000" w:rsidR="00000000" w:rsidRPr="00000000">
        <w:rPr>
          <w:rFonts w:ascii="Google Sans" w:cs="Google Sans" w:eastAsia="Google Sans" w:hAnsi="Google Sans"/>
          <w:color w:val="1f1f1f"/>
          <w:rtl w:val="0"/>
        </w:rPr>
        <w:t xml:space="preserve">：全面摸排清查现存市政污水管网、泵站、处理厂的固定资产，进行权威资产评估与产权界定，以此作为特许经营权转让或授权的基础基数。同时，优化政府预算编制，将原本散落在各个建设口的维护资金进行整合，设立“水务服务按效购买专项资金”专户，彻底阻断资金被挪用的风险。</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六、 预期效益推演与重大风险防范逻辑</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本套改革方案的核心逻辑在于通过彻底理顺底层商业与管理机制，实现区域环境效益、地方经济效益与社会整体效益的高度统一。当然，任何重大改革都伴随着阵痛与风险，必须前瞻性地部署防守底线。</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宏观预期效益：算清、算透这笔“整体经济账”</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实行“厂网一体化+按效付费”模式后，虽然在优质成效下政府可能需要依据公式支付较高的绩效奖励款给社会资本方，但从全局财政与社会经济的宏观视角来看，整体资金效益将得到颠覆性的优化：</w:t>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彻底杜绝无效的财政空转支出</w:t>
      </w:r>
      <w:r w:rsidDel="00000000" w:rsidR="00000000" w:rsidRPr="00000000">
        <w:rPr>
          <w:rFonts w:ascii="Google Sans" w:cs="Google Sans" w:eastAsia="Google Sans" w:hAnsi="Google Sans"/>
          <w:color w:val="1f1f1f"/>
          <w:rtl w:val="0"/>
        </w:rPr>
        <w:t xml:space="preserve">：政府不再为收集和“处理”地下水、河水、施工降水买单，不再为企业虚报的水量填坑。每一分钱的服务费支出，都精准地对应了水体中污染物的真实削减和环境质量的实质改善，资金的边际效用达到最大化</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有效盘活存量资产与化解地方债务</w:t>
      </w:r>
      <w:r w:rsidDel="00000000" w:rsidR="00000000" w:rsidRPr="00000000">
        <w:rPr>
          <w:rFonts w:ascii="Google Sans" w:cs="Google Sans" w:eastAsia="Google Sans" w:hAnsi="Google Sans"/>
          <w:color w:val="1f1f1f"/>
          <w:rtl w:val="0"/>
        </w:rPr>
        <w:t xml:space="preserve">：通过特许经营出让（TOT模式）或资产资本化运作，政府可以将沉睡的庞大水务基础设施存量资产变现，迅速回笼资金，用于化解地方城投公司的存量隐性债务，完全符合当前国家关于严控新增地方政府债务的宏观监管导向</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强力催生环保科技产业的集聚与升级</w:t>
      </w:r>
      <w:r w:rsidDel="00000000" w:rsidR="00000000" w:rsidRPr="00000000">
        <w:rPr>
          <w:rFonts w:ascii="Google Sans" w:cs="Google Sans" w:eastAsia="Google Sans" w:hAnsi="Google Sans"/>
          <w:color w:val="1f1f1f"/>
          <w:rtl w:val="0"/>
        </w:rPr>
        <w:t xml:space="preserve">：解决多头管理造成的投资浪费，吸引具有极强规模效应、资金成本优势和技术实力的央企、国企或大型上市水务龙头进入。这将有效推进行业的产业化进程，并直接带动当地非开挖管道修复设备、工业级智能传感器、智慧水务软件开发等上下游高科技产业链的繁荣与多元化经济发展</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潜在核心风险与刚性底线防守策略</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在坚定推进市场化改革的过程中，决策者需高度警惕并以法律手段防范以下系统性风险：</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资本方“重工程建设、轻长效运营”的道德风险</w:t>
      </w:r>
    </w:p>
    <w:p w:rsidR="00000000" w:rsidDel="00000000" w:rsidP="00000000" w:rsidRDefault="00000000" w:rsidRPr="00000000" w14:paraId="00000078">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风险描绘</w:t>
      </w:r>
      <w:r w:rsidDel="00000000" w:rsidR="00000000" w:rsidRPr="00000000">
        <w:rPr>
          <w:rFonts w:ascii="Google Sans" w:cs="Google Sans" w:eastAsia="Google Sans" w:hAnsi="Google Sans"/>
          <w:color w:val="1f1f1f"/>
          <w:rtl w:val="0"/>
        </w:rPr>
        <w:t xml:space="preserve">：防范部分联合体企业（尤其是以建筑施工为主业的资本）投标的根本目的是赚取前端巨额的管网改造与建安工程利润，而在漫长的后端运营期敷衍了事，甚至通过股权转让“金蝉脱壳”。</w:t>
      </w:r>
    </w:p>
    <w:p w:rsidR="00000000" w:rsidDel="00000000" w:rsidP="00000000" w:rsidRDefault="00000000" w:rsidRPr="00000000" w14:paraId="0000007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防范对策</w:t>
      </w:r>
      <w:r w:rsidDel="00000000" w:rsidR="00000000" w:rsidRPr="00000000">
        <w:rPr>
          <w:rFonts w:ascii="Google Sans" w:cs="Google Sans" w:eastAsia="Google Sans" w:hAnsi="Google Sans"/>
          <w:color w:val="1f1f1f"/>
          <w:rtl w:val="0"/>
        </w:rPr>
        <w:t xml:space="preserve">：必须在协议中设置极高比例的建设期履约保证金与长周期的运营期保证金制度</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强化“全生命周期”的考核权重，如果投产后未达到招标时承诺的污水收集率和进水浓度提升目标，政府有权大幅度扣减建设款回收（可用性付费部分）与运营服务费，使那种企图“骗完工程款就跑”的商业模式无利可图。严格限制项目公司在一定运营年限内的股权变更。</w:t>
      </w:r>
    </w:p>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特许经营企业因故“停摆”引发的公共安全危机风险</w:t>
      </w:r>
    </w:p>
    <w:p w:rsidR="00000000" w:rsidDel="00000000" w:rsidP="00000000" w:rsidRDefault="00000000" w:rsidRPr="00000000" w14:paraId="0000007B">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风险描绘</w:t>
      </w:r>
      <w:r w:rsidDel="00000000" w:rsidR="00000000" w:rsidRPr="00000000">
        <w:rPr>
          <w:rFonts w:ascii="Google Sans" w:cs="Google Sans" w:eastAsia="Google Sans" w:hAnsi="Google Sans"/>
          <w:color w:val="1f1f1f"/>
          <w:rtl w:val="0"/>
        </w:rPr>
        <w:t xml:space="preserve">：污水处理是关乎百万市民生存环境的生命线工程。一旦企业因自身资金链断裂、管理不善，或者意图以此要挟政府进行不合理涨价而恶意罢工停摆，将造成未经处理的污水直排江河，引发灾难性的生态危机与公共卫生事件。</w:t>
      </w:r>
    </w:p>
    <w:p w:rsidR="00000000" w:rsidDel="00000000" w:rsidP="00000000" w:rsidRDefault="00000000" w:rsidRPr="00000000" w14:paraId="0000007C">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防范对策</w:t>
      </w:r>
      <w:r w:rsidDel="00000000" w:rsidR="00000000" w:rsidRPr="00000000">
        <w:rPr>
          <w:rFonts w:ascii="Google Sans" w:cs="Google Sans" w:eastAsia="Google Sans" w:hAnsi="Google Sans"/>
          <w:color w:val="1f1f1f"/>
          <w:rtl w:val="0"/>
        </w:rPr>
        <w:t xml:space="preserve">：在特许经营协议中，必须由政府法务部门主导，设立极其强硬且具有可操作性的“应急临时接管条款”与“特许经营权强制提前终止（剥夺）机制”。明确规定，一旦企业发生重大违约、资金枯竭或危及公共环境安全，政府有权跳过冗长的司法仲裁程序，在24至48小时内立即无偿接管核心处理设施及全部运营团队，驱逐违约资本方，并保留后续巨额索赔的权利</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价格形成与调整面临的社会舆论阻力风险</w:t>
      </w:r>
    </w:p>
    <w:p w:rsidR="00000000" w:rsidDel="00000000" w:rsidP="00000000" w:rsidRDefault="00000000" w:rsidRPr="00000000" w14:paraId="0000007E">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风险描绘</w:t>
      </w:r>
      <w:r w:rsidDel="00000000" w:rsidR="00000000" w:rsidRPr="00000000">
        <w:rPr>
          <w:rFonts w:ascii="Google Sans" w:cs="Google Sans" w:eastAsia="Google Sans" w:hAnsi="Google Sans"/>
          <w:color w:val="1f1f1f"/>
          <w:rtl w:val="0"/>
        </w:rPr>
        <w:t xml:space="preserve">：将巨额的管网常态化运维成本真实地打入污水处理费核算体系，势必在一定时期内面临调价听证期的公众舆论压力，部分群体可能对此产生抵触情绪。</w:t>
      </w:r>
    </w:p>
    <w:p w:rsidR="00000000" w:rsidDel="00000000" w:rsidP="00000000" w:rsidRDefault="00000000" w:rsidRPr="00000000" w14:paraId="0000007F">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防范对策</w:t>
      </w:r>
      <w:r w:rsidDel="00000000" w:rsidR="00000000" w:rsidRPr="00000000">
        <w:rPr>
          <w:rFonts w:ascii="Google Sans" w:cs="Google Sans" w:eastAsia="Google Sans" w:hAnsi="Google Sans"/>
          <w:color w:val="1f1f1f"/>
          <w:rtl w:val="0"/>
        </w:rPr>
        <w:t xml:space="preserve">：必须将改革的经济账和生态账向全社会算清楚。加强宣传教育，强化“污染者付费、使用者付费”的法治公平原则。建立极其透明公开的定价与监管机制，邀请社会各界代表、媒体全程参与执法监督与定价审计。只有用水清岸绿的真实环境改善成效，才能最终换取最广大公众对机制改革的深度理解与坚定支持</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结语：</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破解当前市政污水收集处理低效顽疾，已不能仅仅依靠简单的财政资金追加、单体工程的缝缝补补或运动式的高压检查。我们必须以刀刃向内的政治魄力，从顶层设计的逻辑起点上，彻底铲除“核拨制”滋生低效与懒政的温床。通过全面、坚定地实施“厂网一体化”与“特许经营按效付费”，用明晰的权责体系重塑市场契约规则，用智慧化的数字监管手段锁死灰色运作空间。唯有如此，方能以最优化的财政代价，换取最显著、最持久的水环境质量改善与城市提质增效成果。各项前期资产摸底、法规重构与机构整合工作刻不容缓，应即刻启动，以确保本地区能够率先冲破体制藩篱，完成水务现代化治理的破局跃升。</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污水处理费绩效评价报告 - 上街区, accessed February 25, 2026, </w:t>
      </w:r>
      <w:hyperlink r:id="rId7">
        <w:r w:rsidDel="00000000" w:rsidR="00000000" w:rsidRPr="00000000">
          <w:rPr>
            <w:rFonts w:ascii="Google Sans" w:cs="Google Sans" w:eastAsia="Google Sans" w:hAnsi="Google Sans"/>
            <w:color w:val="0000ee"/>
            <w:sz w:val="24"/>
            <w:szCs w:val="24"/>
            <w:u w:val="single"/>
            <w:rtl w:val="0"/>
          </w:rPr>
          <w:t xml:space="preserve">https://public.zzsj.gov.cn/attachment/%E6%B1%A1%E6%B0%B4%E5%A4%84%E7%90%86%E8%B4%B9%E7%BB%A9%E6%95%88%E8%AF%84%E4%BB%B7%E6%8A%A5%E5%91%8A.pdf?4WMN7XURSgNpN6JoHXQe2NhzPBVUDqgsh6BeaFkAQDV9E9gJZ7cEdC8wNUwEeJzSTtXfNE3aHWo9VqpoJFlydqrYKVZPJgRb</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持续推进污水处理提质增效同心协力打赢碧水保卫战——全国政协 ..., accessed February 25, 2026, </w:t>
      </w:r>
      <w:hyperlink r:id="rId8">
        <w:r w:rsidDel="00000000" w:rsidR="00000000" w:rsidRPr="00000000">
          <w:rPr>
            <w:rFonts w:ascii="Google Sans" w:cs="Google Sans" w:eastAsia="Google Sans" w:hAnsi="Google Sans"/>
            <w:color w:val="0000ee"/>
            <w:sz w:val="24"/>
            <w:szCs w:val="24"/>
            <w:u w:val="single"/>
            <w:rtl w:val="0"/>
          </w:rPr>
          <w:t xml:space="preserve">http://www.cppcc.gov.cn/zxww/2021/09/14/ARTI1631584092397220.shtml</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零陵区园区污水处理厂建设项目特许经营方案, accessed February 25, 2026, </w:t>
      </w:r>
      <w:hyperlink r:id="rId9">
        <w:r w:rsidDel="00000000" w:rsidR="00000000" w:rsidRPr="00000000">
          <w:rPr>
            <w:rFonts w:ascii="Google Sans" w:cs="Google Sans" w:eastAsia="Google Sans" w:hAnsi="Google Sans"/>
            <w:color w:val="0000ee"/>
            <w:sz w:val="24"/>
            <w:szCs w:val="24"/>
            <w:u w:val="single"/>
            <w:rtl w:val="0"/>
          </w:rPr>
          <w:t xml:space="preserve">http://www.cnll.gov.cn/cnll/xzzq/202408/c0fac53aff0b4e3791896e3f8dc6cf7b/files/9331e8a8da934fec83ce841375556c6b.pdf</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国务院关于印发水污染防治行动计划的通知 - 中华人民共和国生态环境部, accessed February 25, 2026, </w:t>
      </w:r>
      <w:hyperlink r:id="rId10">
        <w:r w:rsidDel="00000000" w:rsidR="00000000" w:rsidRPr="00000000">
          <w:rPr>
            <w:rFonts w:ascii="Google Sans" w:cs="Google Sans" w:eastAsia="Google Sans" w:hAnsi="Google Sans"/>
            <w:color w:val="0000ee"/>
            <w:sz w:val="24"/>
            <w:szCs w:val="24"/>
            <w:u w:val="single"/>
            <w:rtl w:val="0"/>
          </w:rPr>
          <w:t xml:space="preserve">https://www.mee.gov.cn/zcwj/gwywj/201811/t20181129_676575.shtml</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湖南省住房和城乡建设厅等六部门关于推进城镇生活污水处理质效提升行动的通知, accessed February 25, 2026, </w:t>
      </w:r>
      <w:hyperlink r:id="rId11">
        <w:r w:rsidDel="00000000" w:rsidR="00000000" w:rsidRPr="00000000">
          <w:rPr>
            <w:rFonts w:ascii="Google Sans" w:cs="Google Sans" w:eastAsia="Google Sans" w:hAnsi="Google Sans"/>
            <w:color w:val="0000ee"/>
            <w:sz w:val="24"/>
            <w:szCs w:val="24"/>
            <w:u w:val="single"/>
            <w:rtl w:val="0"/>
          </w:rPr>
          <w:t xml:space="preserve">http://www.hunan.gov.cn/szf/hnzb_18/c102939/202415/szfbmwj_98721_88_1urmmqrurrdbvpccutqhrmsteguugvmdqkupkguegktvspfmfnnccnmvnkhnueqhqrmcrunfgfshgfhtrersc/202408/t20240815_33432708.html</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特许经营协议, accessed February 25, 2026, </w:t>
      </w:r>
      <w:hyperlink r:id="rId12">
        <w:r w:rsidDel="00000000" w:rsidR="00000000" w:rsidRPr="00000000">
          <w:rPr>
            <w:rFonts w:ascii="Google Sans" w:cs="Google Sans" w:eastAsia="Google Sans" w:hAnsi="Google Sans"/>
            <w:color w:val="0000ee"/>
            <w:sz w:val="24"/>
            <w:szCs w:val="24"/>
            <w:u w:val="single"/>
            <w:rtl w:val="0"/>
          </w:rPr>
          <w:t xml:space="preserve">https://zjt.fujian.gov.cn/ztzl/wqzt/ncwslj/ppp/ckwb/201706/P020180612689010530092.pdf</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政府和社会资本合作项目特许经营协议（编制）范本（2024年试行版）.DOC - 中华人民共和国国家发展和改革委员会, accessed February 25, 2026, </w:t>
      </w:r>
      <w:hyperlink r:id="rId13">
        <w:r w:rsidDel="00000000" w:rsidR="00000000" w:rsidRPr="00000000">
          <w:rPr>
            <w:rFonts w:ascii="Google Sans" w:cs="Google Sans" w:eastAsia="Google Sans" w:hAnsi="Google Sans"/>
            <w:color w:val="0000ee"/>
            <w:sz w:val="24"/>
            <w:szCs w:val="24"/>
            <w:u w:val="single"/>
            <w:rtl w:val="0"/>
          </w:rPr>
          <w:t xml:space="preserve">https://www.ndrc.gov.cn/fggz/gdzctz/tzfg/202405/P020240524578849742287.doc</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郑州市城市污水处理特许经营协议, accessed February 25, 2026, </w:t>
      </w:r>
      <w:hyperlink r:id="rId14">
        <w:r w:rsidDel="00000000" w:rsidR="00000000" w:rsidRPr="00000000">
          <w:rPr>
            <w:rFonts w:ascii="Google Sans" w:cs="Google Sans" w:eastAsia="Google Sans" w:hAnsi="Google Sans"/>
            <w:color w:val="0000ee"/>
            <w:sz w:val="24"/>
            <w:szCs w:val="24"/>
            <w:u w:val="single"/>
            <w:rtl w:val="0"/>
          </w:rPr>
          <w:t xml:space="preserve">http://static.cninfo.com.cn/finalpage/2015-09-09/1201569033.PDF</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财政部关于印发《城镇污水处理设施配套管网建设以奖代补专项资金, accessed February 25, 2026, </w:t>
      </w:r>
      <w:hyperlink r:id="rId15">
        <w:r w:rsidDel="00000000" w:rsidR="00000000" w:rsidRPr="00000000">
          <w:rPr>
            <w:rFonts w:ascii="Google Sans" w:cs="Google Sans" w:eastAsia="Google Sans" w:hAnsi="Google Sans"/>
            <w:color w:val="0000ee"/>
            <w:sz w:val="24"/>
            <w:szCs w:val="24"/>
            <w:u w:val="single"/>
            <w:rtl w:val="0"/>
          </w:rPr>
          <w:t xml:space="preserve">https://shaanxi.zkzxpx.net/xj/zcfg/qtfg/101626999917692.html</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智慧水务精品案例1·九江城市提质增效智慧管控平台, accessed February 25, 2026, </w:t>
      </w:r>
      <w:hyperlink r:id="rId16">
        <w:r w:rsidDel="00000000" w:rsidR="00000000" w:rsidRPr="00000000">
          <w:rPr>
            <w:rFonts w:ascii="Google Sans" w:cs="Google Sans" w:eastAsia="Google Sans" w:hAnsi="Google Sans"/>
            <w:color w:val="0000ee"/>
            <w:sz w:val="24"/>
            <w:szCs w:val="24"/>
            <w:u w:val="single"/>
            <w:rtl w:val="0"/>
          </w:rPr>
          <w:t xml:space="preserve">https://www.sidri.com/shy/scyyw/zhgc/2024082703064163414/index.html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hunan.gov.cn/szf/hnzb_18/c102939/202415/szfbmwj_98721_88_1urmmqrurrdbvpccutqhrmsteguugvmdqkupkguegktvspfmfnnccnmvnkhnueqhqrmcrunfgfshgfhtrersc/202408/t20240815_33432708.html" TargetMode="External"/><Relationship Id="rId10" Type="http://schemas.openxmlformats.org/officeDocument/2006/relationships/hyperlink" Target="https://www.mee.gov.cn/zcwj/gwywj/201811/t20181129_676575.shtml" TargetMode="External"/><Relationship Id="rId13" Type="http://schemas.openxmlformats.org/officeDocument/2006/relationships/hyperlink" Target="https://www.ndrc.gov.cn/fggz/gdzctz/tzfg/202405/P020240524578849742287.doc" TargetMode="External"/><Relationship Id="rId12" Type="http://schemas.openxmlformats.org/officeDocument/2006/relationships/hyperlink" Target="https://zjt.fujian.gov.cn/ztzl/wqzt/ncwslj/ppp/ckwb/201706/P02018061268901053009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nll.gov.cn/cnll/xzzq/202408/c0fac53aff0b4e3791896e3f8dc6cf7b/files/9331e8a8da934fec83ce841375556c6b.pdf" TargetMode="External"/><Relationship Id="rId15" Type="http://schemas.openxmlformats.org/officeDocument/2006/relationships/hyperlink" Target="https://shaanxi.zkzxpx.net/xj/zcfg/qtfg/101626999917692.html" TargetMode="External"/><Relationship Id="rId14" Type="http://schemas.openxmlformats.org/officeDocument/2006/relationships/hyperlink" Target="http://static.cninfo.com.cn/finalpage/2015-09-09/1201569033.PDF" TargetMode="External"/><Relationship Id="rId16" Type="http://schemas.openxmlformats.org/officeDocument/2006/relationships/hyperlink" Target="https://www.sidri.com/shy/scyyw/zhgc/2024082703064163414/index.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ublic.zzsj.gov.cn/attachment/%E6%B1%A1%E6%B0%B4%E5%A4%84%E7%90%86%E8%B4%B9%E7%BB%A9%E6%95%88%E8%AF%84%E4%BB%B7%E6%8A%A5%E5%91%8A.pdf?4WMN7XURSgNpN6JoHXQe2NhzPBVUDqgsh6BeaFkAQDV9E9gJZ7cEdC8wNUwEeJzSTtXfNE3aHWo9VqpoJFlydqrYKVZPJgRb" TargetMode="External"/><Relationship Id="rId8" Type="http://schemas.openxmlformats.org/officeDocument/2006/relationships/hyperlink" Target="http://www.cppcc.gov.cn/zxww/2021/09/14/ARTI1631584092397220.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