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88" w:line="221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spacing w:val="3"/>
        </w:rPr>
        <w:t>市政污水收集与处理效率改进决策咨询报告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问题背景</w:t>
      </w:r>
    </w:p>
    <w:p>
      <w:pPr>
        <w:pStyle w:val="BodyText"/>
        <w:ind w:right="29"/>
        <w:spacing w:before="210" w:line="321" w:lineRule="auto"/>
        <w:rPr/>
      </w:pPr>
      <w:r>
        <w:rPr/>
        <w:t>市政污水收集与处理是城市可持续发展的重要组成部分，直接关</w:t>
      </w:r>
      <w:r>
        <w:rPr>
          <w:spacing w:val="-1"/>
        </w:rPr>
        <w:t>系到环境保护、公共卫生和资源</w:t>
      </w:r>
      <w:r>
        <w:rPr/>
        <w:t xml:space="preserve"> </w:t>
      </w:r>
      <w:r>
        <w:rPr/>
        <w:t>循环利用。在中国，随着城市化进程加速，污水产生量持续增长。根</w:t>
      </w:r>
      <w:r>
        <w:rPr>
          <w:spacing w:val="-1"/>
        </w:rPr>
        <w:t>据相关研究，中国市政污水</w:t>
      </w:r>
      <w:r>
        <w:rPr/>
        <w:t xml:space="preserve"> </w:t>
      </w:r>
      <w:r>
        <w:rPr>
          <w:spacing w:val="5"/>
        </w:rPr>
        <w:t>处理能力从上世纪80年代的初步建设阶段发展到2020年代的全</w:t>
      </w:r>
      <w:r>
        <w:rPr>
          <w:spacing w:val="4"/>
        </w:rPr>
        <w:t>面覆盖，但处理率虽已超过</w:t>
      </w:r>
    </w:p>
    <w:p>
      <w:pPr>
        <w:pStyle w:val="BodyText"/>
        <w:ind w:right="26"/>
        <w:spacing w:before="14" w:line="324" w:lineRule="auto"/>
        <w:rPr/>
      </w:pPr>
      <w:r>
        <w:rPr>
          <w:spacing w:val="7"/>
        </w:rPr>
        <w:t>95%,仍面临效率瓶颈(参考中国市政污水处理发展历史回顾)。</w:t>
      </w:r>
      <w:r>
        <w:rPr>
          <w:spacing w:val="6"/>
        </w:rPr>
        <w:t>现行“核拨制”即财政核拨制</w:t>
      </w:r>
      <w:r>
        <w:rPr/>
        <w:t xml:space="preserve">  </w:t>
      </w:r>
      <w:r>
        <w:rPr>
          <w:spacing w:val="2"/>
        </w:rPr>
        <w:t>度)作为主流资金分配模式，主要依赖政府年度预算拨款，</w:t>
      </w:r>
      <w:r>
        <w:rPr>
          <w:spacing w:val="1"/>
        </w:rPr>
        <w:t>支持污水系统的建设和运营。然而，</w:t>
      </w:r>
      <w:r>
        <w:rPr/>
        <w:t xml:space="preserve"> </w:t>
      </w:r>
      <w:r>
        <w:rPr/>
        <w:t>在先进制程节点下，该模式暴露出的效率不足已成为制约行业高质量发展的</w:t>
      </w:r>
      <w:r>
        <w:rPr>
          <w:spacing w:val="-1"/>
        </w:rPr>
        <w:t>关键问题。本报告从</w:t>
      </w:r>
      <w:r>
        <w:rPr/>
        <w:t xml:space="preserve"> </w:t>
      </w:r>
      <w:r>
        <w:rPr/>
        <w:t>政府管理部门视角，针对核拨制导致的低效机制进行剖析，并提出系统性改</w:t>
      </w:r>
      <w:r>
        <w:rPr>
          <w:spacing w:val="-1"/>
        </w:rPr>
        <w:t>进方案，旨在提升整</w:t>
      </w:r>
      <w:r>
        <w:rPr/>
        <w:t xml:space="preserve"> </w:t>
      </w:r>
      <w:r>
        <w:rPr>
          <w:spacing w:val="-4"/>
        </w:rPr>
        <w:t>体系统韧性和可持续性。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现行模式分析</w:t>
      </w:r>
    </w:p>
    <w:p>
      <w:pPr>
        <w:pStyle w:val="BodyText"/>
        <w:spacing w:before="189" w:line="329" w:lineRule="auto"/>
        <w:jc w:val="both"/>
        <w:rPr/>
      </w:pPr>
      <w:r>
        <w:rPr/>
        <w:t>核拨制是指政府通过财政预算直接核定并拨付资金，用于市政污水收集与处</w:t>
      </w:r>
      <w:r>
        <w:rPr>
          <w:spacing w:val="-1"/>
        </w:rPr>
        <w:t>理的建设和运营。该</w:t>
      </w:r>
      <w:r>
        <w:rPr/>
        <w:t xml:space="preserve"> </w:t>
      </w:r>
      <w:r>
        <w:rPr/>
        <w:t>模式源于计划经济时代，强调公共服务属性，确保资金覆盖基本需求。在实</w:t>
      </w:r>
      <w:r>
        <w:rPr>
          <w:spacing w:val="-1"/>
        </w:rPr>
        <w:t>践中，核拨制包括年</w:t>
      </w:r>
      <w:r>
        <w:rPr/>
        <w:t xml:space="preserve"> </w:t>
      </w:r>
      <w:r>
        <w:rPr/>
        <w:t>度预算编制、资金审核和执行监督三个环节：首先，地方水务部门根据上年实际和规划需求提出</w:t>
      </w:r>
      <w:r>
        <w:rPr>
          <w:spacing w:val="18"/>
        </w:rPr>
        <w:t xml:space="preserve"> </w:t>
      </w:r>
      <w:r>
        <w:rPr>
          <w:spacing w:val="-1"/>
        </w:rPr>
        <w:t>预算；其次，财政部门核定额度；最后，资金专项用于污水管网建设、处理厂运营等。</w:t>
      </w:r>
    </w:p>
    <w:p>
      <w:pPr>
        <w:pStyle w:val="BodyText"/>
        <w:spacing w:before="118" w:line="213" w:lineRule="auto"/>
        <w:rPr/>
      </w:pPr>
      <w:r>
        <w:rPr/>
        <w:t>该模式优势在于保障资金稳定性，避免市场波动影响公共服务。但在当前背景下，其刚性特征</w:t>
      </w:r>
    </w:p>
    <w:p>
      <w:pPr>
        <w:pStyle w:val="BodyText"/>
        <w:ind w:right="26" w:firstLine="150"/>
        <w:spacing w:before="154" w:line="317" w:lineRule="auto"/>
        <w:rPr/>
      </w:pPr>
      <w:r>
        <w:rPr>
          <w:spacing w:val="10"/>
        </w:rPr>
        <w:t>(如固定额度、专项用途限制)导致资金使用缺乏灵活性。根据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10"/>
        </w:rPr>
        <w:t>成本会计指南(199</w:t>
      </w:r>
      <w:r>
        <w:rPr>
          <w:spacing w:val="9"/>
        </w:rPr>
        <w:t>8),传</w:t>
      </w:r>
      <w:r>
        <w:rPr/>
        <w:t xml:space="preserve"> </w:t>
      </w:r>
      <w:r>
        <w:rPr/>
        <w:t>统预算往往按部门而非活动分配，导致资源配置不优。此外，在中国语境下</w:t>
      </w:r>
      <w:r>
        <w:rPr>
          <w:spacing w:val="-1"/>
        </w:rPr>
        <w:t>，核拨制与地方财政</w:t>
      </w:r>
      <w:r>
        <w:rPr/>
        <w:t xml:space="preserve"> </w:t>
      </w:r>
      <w:r>
        <w:rPr>
          <w:spacing w:val="-3"/>
        </w:rPr>
        <w:t>压力相结合，容易形成“等靠要”心态，抑制运营创新(参考</w:t>
      </w:r>
      <w:r>
        <w:rPr>
          <w:rFonts w:ascii="Arial" w:hAnsi="Arial" w:eastAsia="Arial" w:cs="Arial"/>
          <w:spacing w:val="-3"/>
        </w:rPr>
        <w:t>World</w:t>
      </w:r>
      <w:r>
        <w:rPr>
          <w:rFonts w:ascii="Arial" w:hAnsi="Arial" w:eastAsia="Arial" w:cs="Arial"/>
          <w:spacing w:val="62"/>
        </w:rPr>
        <w:t xml:space="preserve"> </w:t>
      </w:r>
      <w:r>
        <w:rPr>
          <w:rFonts w:ascii="Arial" w:hAnsi="Arial" w:eastAsia="Arial" w:cs="Arial"/>
          <w:spacing w:val="-3"/>
        </w:rPr>
        <w:t>Ba</w:t>
      </w:r>
      <w:r>
        <w:rPr>
          <w:rFonts w:ascii="Arial" w:hAnsi="Arial" w:eastAsia="Arial" w:cs="Arial"/>
          <w:spacing w:val="-4"/>
        </w:rPr>
        <w:t>nk</w:t>
      </w:r>
      <w:r>
        <w:rPr>
          <w:spacing w:val="-4"/>
        </w:rPr>
        <w:t>中国城市水务改进报</w:t>
      </w:r>
    </w:p>
    <w:p>
      <w:pPr>
        <w:pStyle w:val="BodyText"/>
        <w:spacing w:before="28" w:line="224" w:lineRule="auto"/>
        <w:rPr/>
      </w:pPr>
      <w:r>
        <w:rPr>
          <w:spacing w:val="-9"/>
        </w:rPr>
        <w:t>告)。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效率瓶颈诊断</w:t>
      </w:r>
    </w:p>
    <w:p>
      <w:pPr>
        <w:pStyle w:val="BodyText"/>
        <w:spacing w:before="200" w:line="213" w:lineRule="auto"/>
        <w:rPr/>
      </w:pPr>
      <w:r>
        <w:rPr/>
        <w:t>核拨制在市政污水领域的效率低下源于其内</w:t>
      </w:r>
      <w:r>
        <w:rPr>
          <w:spacing w:val="-1"/>
        </w:rPr>
        <w:t>在机制与外部环境互动，主要体现在以下方面：</w:t>
      </w:r>
    </w:p>
    <w:p>
      <w:pPr>
        <w:spacing w:line="213" w:lineRule="auto"/>
        <w:sectPr>
          <w:pgSz w:w="12240" w:h="15840"/>
          <w:pgMar w:top="1148" w:right="1150" w:bottom="0" w:left="989" w:header="0" w:footer="0" w:gutter="0"/>
        </w:sectPr>
        <w:rPr/>
      </w:pPr>
    </w:p>
    <w:p>
      <w:pPr>
        <w:pStyle w:val="BodyText"/>
        <w:ind w:left="678" w:hanging="329"/>
        <w:spacing w:before="48" w:line="300" w:lineRule="auto"/>
        <w:rPr/>
      </w:pPr>
      <w:r>
        <w:rPr>
          <w:rFonts w:ascii="SimSun" w:hAnsi="SimSun" w:eastAsia="SimSun" w:cs="SimSun"/>
        </w:rPr>
        <w:t>1.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资金使用效率问题：资金分配基于历史数据和固定标准，缺乏动态调整机制，导致资源闲</w:t>
      </w:r>
      <w:r>
        <w:rPr/>
        <w:t xml:space="preserve">  </w:t>
      </w:r>
      <w:r>
        <w:rPr>
          <w:spacing w:val="-4"/>
        </w:rPr>
        <w:t>置或浪费。例如，年度拨款“用或丢”规则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(use-it-or-lose-it)       </w:t>
      </w:r>
      <w:r>
        <w:rPr>
          <w:rFonts w:ascii="Times New Roman" w:hAnsi="Times New Roman" w:eastAsia="Times New Roman" w:cs="Times New Roman"/>
          <w:spacing w:val="-5"/>
        </w:rPr>
        <w:t xml:space="preserve">  </w:t>
      </w:r>
      <w:r>
        <w:rPr>
          <w:spacing w:val="-5"/>
        </w:rPr>
        <w:t>促使部门在年末突击支出，</w:t>
      </w:r>
      <w:r>
        <w:rPr/>
        <w:t xml:space="preserve"> </w:t>
      </w:r>
      <w:r>
        <w:rPr>
          <w:spacing w:val="-1"/>
        </w:rPr>
        <w:t>而非优化配置。根据</w:t>
      </w:r>
      <w:r>
        <w:rPr>
          <w:rFonts w:ascii="Arial" w:hAnsi="Arial" w:eastAsia="Arial" w:cs="Arial"/>
          <w:spacing w:val="-1"/>
        </w:rPr>
        <w:t>EPA</w:t>
      </w:r>
      <w:r>
        <w:rPr>
          <w:spacing w:val="-1"/>
        </w:rPr>
        <w:t>指南，传统预算忽略跨部门影响，如预处理成本未计入整体，导</w:t>
      </w:r>
      <w:r>
        <w:rPr/>
        <w:t xml:space="preserve">  </w:t>
      </w:r>
      <w:r>
        <w:rPr>
          <w:spacing w:val="-6"/>
        </w:rPr>
        <w:t>致资金碎片化。</w:t>
      </w:r>
    </w:p>
    <w:p>
      <w:pPr>
        <w:pStyle w:val="BodyText"/>
        <w:ind w:left="349"/>
        <w:spacing w:before="260" w:line="213" w:lineRule="auto"/>
        <w:rPr/>
      </w:pPr>
      <w:r>
        <w:rPr>
          <w:rFonts w:ascii="SimSun" w:hAnsi="SimSun" w:eastAsia="SimSun" w:cs="SimSun"/>
          <w:spacing w:val="7"/>
        </w:rPr>
        <w:t>2.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7"/>
        </w:rPr>
        <w:t>运营维护激励不足：核拨制下，运营方(如水务公司)依赖政府资金，无需面对</w:t>
      </w:r>
      <w:r>
        <w:rPr>
          <w:spacing w:val="6"/>
        </w:rPr>
        <w:t>市场压</w:t>
      </w:r>
    </w:p>
    <w:p>
      <w:pPr>
        <w:pStyle w:val="BodyText"/>
        <w:ind w:left="679" w:right="120"/>
        <w:spacing w:before="133" w:line="264" w:lineRule="auto"/>
        <w:rPr/>
      </w:pPr>
      <w:r>
        <w:rPr>
          <w:spacing w:val="9"/>
        </w:rPr>
        <w:t>力，缺乏成本控制动力。研究显示，这导致维护延迟，设备老化率高达20-30%(参考中</w:t>
      </w:r>
      <w:r>
        <w:rPr>
          <w:spacing w:val="9"/>
        </w:rPr>
        <w:t xml:space="preserve"> </w:t>
      </w:r>
      <w:r>
        <w:rPr>
          <w:spacing w:val="-1"/>
        </w:rPr>
        <w:t>国污水处理挑战分析)。此外，绩效评估多基于</w:t>
      </w:r>
      <w:r>
        <w:rPr>
          <w:spacing w:val="-2"/>
        </w:rPr>
        <w:t>完成率而非效率，忽略长期维护需求。</w:t>
      </w:r>
    </w:p>
    <w:p>
      <w:pPr>
        <w:pStyle w:val="BodyText"/>
        <w:ind w:left="679" w:right="140" w:hanging="326"/>
        <w:spacing w:before="284" w:line="281" w:lineRule="auto"/>
        <w:rPr/>
      </w:pPr>
      <w:r>
        <w:rPr>
          <w:rFonts w:ascii="SimSun" w:hAnsi="SimSun" w:eastAsia="SimSun" w:cs="SimSun"/>
          <w:b/>
          <w:bCs/>
          <w:spacing w:val="-1"/>
        </w:rPr>
        <w:t>3.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b/>
          <w:bCs/>
          <w:spacing w:val="-1"/>
        </w:rPr>
        <w:t>技术更新动力缺失：</w:t>
      </w:r>
      <w:r>
        <w:rPr>
          <w:spacing w:val="-1"/>
        </w:rPr>
        <w:t>资金专项限制阻碍新技术投资，如智能监测系统。传统模式下，创新</w:t>
      </w:r>
      <w:r>
        <w:rPr/>
        <w:t xml:space="preserve"> </w:t>
      </w:r>
      <w:r>
        <w:rPr/>
        <w:t>依赖额外申请，周期长、审批严，导致技术滞后。根据系统文献综</w:t>
      </w:r>
      <w:r>
        <w:rPr>
          <w:spacing w:val="-1"/>
        </w:rPr>
        <w:t>述，核拨制下生命周期</w:t>
      </w:r>
      <w:r>
        <w:rPr/>
        <w:t xml:space="preserve"> </w:t>
      </w:r>
      <w:r>
        <w:rPr>
          <w:spacing w:val="-2"/>
        </w:rPr>
        <w:t>成本未全面考量，造成建设期重而运营期轻的偏差。</w:t>
      </w:r>
    </w:p>
    <w:p>
      <w:pPr>
        <w:pStyle w:val="BodyText"/>
        <w:ind w:left="679" w:right="11" w:hanging="326"/>
        <w:spacing w:before="274" w:line="283" w:lineRule="auto"/>
        <w:rPr/>
      </w:pPr>
      <w:r>
        <w:rPr>
          <w:rFonts w:ascii="SimSun" w:hAnsi="SimSun" w:eastAsia="SimSun" w:cs="SimSun"/>
          <w:b/>
          <w:bCs/>
          <w:spacing w:val="6"/>
        </w:rPr>
        <w:t>4.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b/>
          <w:bCs/>
          <w:spacing w:val="6"/>
        </w:rPr>
        <w:t>根本原因：</w:t>
      </w:r>
      <w:r>
        <w:rPr>
          <w:spacing w:val="6"/>
        </w:rPr>
        <w:t>从物理化学原理看，污水系统涉及复杂反应(</w:t>
      </w:r>
      <w:r>
        <w:rPr>
          <w:spacing w:val="5"/>
        </w:rPr>
        <w:t>如生物降解),需持续优化；工程</w:t>
      </w:r>
      <w:r>
        <w:rPr/>
        <w:t xml:space="preserve"> </w:t>
      </w:r>
      <w:r>
        <w:rPr>
          <w:spacing w:val="-1"/>
        </w:rPr>
        <w:t>学上，系统韧性依赖实时响应。但核拨制脱离市场信号，忽略风险分担，导致整体低效。</w:t>
      </w:r>
    </w:p>
    <w:p>
      <w:pPr>
        <w:pStyle w:val="BodyText"/>
        <w:ind w:left="679" w:right="147"/>
        <w:spacing w:before="184" w:line="291" w:lineRule="auto"/>
        <w:rPr/>
      </w:pPr>
      <w:r>
        <w:rPr/>
        <w:t>外部因素如财政紧缩进一步放大问题，参考中国政策改革路径，地方</w:t>
      </w:r>
      <w:r>
        <w:rPr>
          <w:spacing w:val="-1"/>
        </w:rPr>
        <w:t>债压力使核拨资金难</w:t>
      </w:r>
      <w:r>
        <w:rPr/>
        <w:t xml:space="preserve"> </w:t>
      </w:r>
      <w:r>
        <w:rPr>
          <w:spacing w:val="-7"/>
        </w:rPr>
        <w:t>以覆盖应急需求。</w:t>
      </w:r>
    </w:p>
    <w:p>
      <w:pPr>
        <w:pStyle w:val="BodyText"/>
        <w:spacing w:before="162" w:line="213" w:lineRule="auto"/>
        <w:rPr/>
      </w:pPr>
      <w:r>
        <w:rPr>
          <w:spacing w:val="-1"/>
        </w:rPr>
        <w:t>这些瓶颈导致系统整体效率低下，污水泄漏率上升，环境风险增加。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8"/>
        </w:rPr>
        <w:t>多方案提出与比选</w:t>
      </w:r>
    </w:p>
    <w:p>
      <w:pPr>
        <w:pStyle w:val="BodyText"/>
        <w:ind w:right="87"/>
        <w:spacing w:before="197" w:line="331" w:lineRule="auto"/>
        <w:jc w:val="both"/>
        <w:rPr/>
      </w:pPr>
      <w:r>
        <w:rPr>
          <w:spacing w:val="1"/>
        </w:rPr>
        <w:t>为解决核拨制弊端，本报告提出三种替代方案：公私伙伴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PPP</w:t>
      </w:r>
      <w:r>
        <w:rPr>
          <w:rFonts w:ascii="Times New Roman" w:hAnsi="Times New Roman" w:eastAsia="Times New Roman" w:cs="Times New Roman"/>
          <w:spacing w:val="1"/>
        </w:rPr>
        <w:t>)    </w:t>
      </w:r>
      <w:r>
        <w:rPr>
          <w:spacing w:val="1"/>
        </w:rPr>
        <w:t>模式、政府购买服务模</w:t>
      </w:r>
      <w:r>
        <w:rPr/>
        <w:t>式和内</w:t>
      </w:r>
      <w:r>
        <w:rPr/>
        <w:t xml:space="preserve"> </w:t>
      </w:r>
      <w:r>
        <w:rPr/>
        <w:t>部绩效改革模式。每种方案设计核心机制，包括定价、补贴、监管、风险分担和激励约束，并针</w:t>
      </w:r>
      <w:r>
        <w:rPr>
          <w:spacing w:val="10"/>
        </w:rPr>
        <w:t xml:space="preserve"> </w:t>
      </w:r>
      <w:r>
        <w:rPr>
          <w:spacing w:val="-1"/>
        </w:rPr>
        <w:t>对性解决低效问题。方案比选基于可操作性、效率提升潜力和</w:t>
      </w:r>
      <w:r>
        <w:rPr>
          <w:spacing w:val="-2"/>
        </w:rPr>
        <w:t>政府控制度。</w:t>
      </w:r>
    </w:p>
    <w:p>
      <w:pPr>
        <w:pStyle w:val="BodyText"/>
        <w:ind w:left="4"/>
        <w:spacing w:before="340" w:line="22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1"/>
        </w:rPr>
        <w:t>方案一：公私伙伴</w:t>
      </w:r>
      <w:r>
        <w:rPr>
          <w:sz w:val="31"/>
          <w:szCs w:val="31"/>
          <w:spacing w:val="-1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(PPP)</w:t>
      </w:r>
      <w:r>
        <w:rPr>
          <w:rFonts w:ascii="SimSun" w:hAnsi="SimSun" w:eastAsia="SimSun" w:cs="SimSun"/>
          <w:sz w:val="31"/>
          <w:szCs w:val="31"/>
          <w:spacing w:val="-11"/>
        </w:rPr>
        <w:t xml:space="preserve">  </w:t>
      </w:r>
      <w:r>
        <w:rPr>
          <w:sz w:val="31"/>
          <w:szCs w:val="31"/>
          <w:b/>
          <w:bCs/>
          <w:spacing w:val="-11"/>
        </w:rPr>
        <w:t>模式</w:t>
      </w:r>
    </w:p>
    <w:p>
      <w:pPr>
        <w:spacing w:line="221" w:lineRule="auto"/>
        <w:sectPr>
          <w:pgSz w:w="12240" w:h="15840"/>
          <w:pgMar w:top="1238" w:right="1080" w:bottom="0" w:left="980" w:header="0" w:footer="0" w:gutter="0"/>
        </w:sectPr>
        <w:rPr>
          <w:sz w:val="31"/>
          <w:szCs w:val="31"/>
        </w:rPr>
      </w:pPr>
    </w:p>
    <w:p>
      <w:pPr>
        <w:pStyle w:val="BodyText"/>
        <w:ind w:left="358"/>
        <w:spacing w:before="46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4"/>
        </w:rPr>
        <w:t>·</w:t>
      </w:r>
      <w:r>
        <w:rPr>
          <w:sz w:val="23"/>
          <w:szCs w:val="23"/>
          <w:spacing w:val="-95"/>
        </w:rPr>
        <w:t xml:space="preserve"> </w:t>
      </w:r>
      <w:r>
        <w:rPr>
          <w:sz w:val="23"/>
          <w:szCs w:val="23"/>
          <w:b/>
          <w:bCs/>
          <w:spacing w:val="-14"/>
        </w:rPr>
        <w:t>核心机制设计：</w:t>
      </w:r>
    </w:p>
    <w:p>
      <w:pPr>
        <w:pStyle w:val="BodyText"/>
        <w:ind w:left="865"/>
        <w:spacing w:before="246" w:line="21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·定价：采用基于绩效的动态定价，如按处理量和水质标准</w:t>
      </w:r>
      <w:r>
        <w:rPr>
          <w:sz w:val="23"/>
          <w:szCs w:val="23"/>
          <w:spacing w:val="6"/>
        </w:rPr>
        <w:t>结算，引入市场竞争机制。</w:t>
      </w:r>
    </w:p>
    <w:p>
      <w:pPr>
        <w:pStyle w:val="BodyText"/>
        <w:ind w:left="865"/>
        <w:spacing w:before="285" w:line="222" w:lineRule="auto"/>
        <w:rPr>
          <w:sz w:val="23"/>
          <w:szCs w:val="23"/>
        </w:rPr>
      </w:pPr>
      <w:r>
        <w:rPr>
          <w:sz w:val="23"/>
          <w:szCs w:val="23"/>
          <w:spacing w:val="20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20"/>
        </w:rPr>
        <w:t>补贴：政府提供初始补贴(占总投资20-</w:t>
      </w:r>
      <w:r>
        <w:rPr>
          <w:sz w:val="23"/>
          <w:szCs w:val="23"/>
          <w:spacing w:val="19"/>
        </w:rPr>
        <w:t>30%),后续基于</w:t>
      </w:r>
      <w:r>
        <w:rPr>
          <w:rFonts w:ascii="Times New Roman" w:hAnsi="Times New Roman" w:eastAsia="Times New Roman" w:cs="Times New Roman"/>
          <w:sz w:val="23"/>
          <w:szCs w:val="23"/>
        </w:rPr>
        <w:t>KPI</w:t>
      </w:r>
      <w:r>
        <w:rPr>
          <w:rFonts w:ascii="Times New Roman" w:hAnsi="Times New Roman" w:eastAsia="Times New Roman" w:cs="Times New Roman"/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19"/>
        </w:rPr>
        <w:t>(如排放减量)调整。</w:t>
      </w:r>
    </w:p>
    <w:p>
      <w:pPr>
        <w:pStyle w:val="BodyText"/>
        <w:ind w:left="1005" w:hanging="140"/>
        <w:spacing w:before="252" w:line="28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7"/>
        </w:rPr>
        <w:t>监管：建立第三方评估机构，监测合规性；风险分担中，政府承担政策风险，私企负责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运营风险。</w:t>
      </w:r>
    </w:p>
    <w:p>
      <w:pPr>
        <w:pStyle w:val="BodyText"/>
        <w:ind w:left="865"/>
        <w:spacing w:before="263" w:line="213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16"/>
        </w:rPr>
        <w:t>激励约束：绩效奖金与罚款联动，如超标排放罚款10%,达标奖励5%。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495" w:right="76" w:hanging="140"/>
        <w:spacing w:before="75" w:line="301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95"/>
        </w:rPr>
        <w:t xml:space="preserve"> </w:t>
      </w:r>
      <w:r>
        <w:rPr>
          <w:sz w:val="23"/>
          <w:szCs w:val="23"/>
          <w:spacing w:val="5"/>
        </w:rPr>
        <w:t>针对性解决：</w:t>
      </w:r>
      <w:r>
        <w:rPr>
          <w:rFonts w:ascii="Arial" w:hAnsi="Arial" w:eastAsia="Arial" w:cs="Arial"/>
          <w:sz w:val="23"/>
          <w:szCs w:val="23"/>
        </w:rPr>
        <w:t>PPP</w:t>
      </w:r>
      <w:r>
        <w:rPr>
          <w:sz w:val="23"/>
          <w:szCs w:val="23"/>
          <w:spacing w:val="5"/>
        </w:rPr>
        <w:t>引入私营资本，缓解资金压力，提升运营效率。实证研究显示，</w:t>
      </w:r>
      <w:r>
        <w:rPr>
          <w:sz w:val="23"/>
          <w:szCs w:val="23"/>
          <w:spacing w:val="-45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PPP</w:t>
      </w:r>
      <w:r>
        <w:rPr>
          <w:sz w:val="23"/>
          <w:szCs w:val="23"/>
          <w:spacing w:val="5"/>
        </w:rPr>
        <w:t>可降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0"/>
        </w:rPr>
        <w:t>低污水排放强度30%(参考中国</w:t>
      </w:r>
      <w:r>
        <w:rPr>
          <w:rFonts w:ascii="SimSun" w:hAnsi="SimSun" w:eastAsia="SimSun" w:cs="SimSun"/>
          <w:sz w:val="23"/>
          <w:szCs w:val="23"/>
        </w:rPr>
        <w:t>PPP</w:t>
      </w:r>
      <w:r>
        <w:rPr>
          <w:rFonts w:ascii="SimSun" w:hAnsi="SimSun" w:eastAsia="SimSun" w:cs="SimSun"/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20"/>
        </w:rPr>
        <w:t>污水治疗效果分析),通</w:t>
      </w:r>
      <w:r>
        <w:rPr>
          <w:sz w:val="23"/>
          <w:szCs w:val="23"/>
          <w:spacing w:val="19"/>
        </w:rPr>
        <w:t>过竞争优化资源分配，解决核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4"/>
        </w:rPr>
        <w:t>拨制的刚性。</w:t>
      </w:r>
    </w:p>
    <w:p>
      <w:pPr>
        <w:pStyle w:val="BodyText"/>
        <w:ind w:left="355"/>
        <w:spacing w:before="272" w:line="21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75"/>
        </w:rPr>
        <w:t xml:space="preserve"> </w:t>
      </w:r>
      <w:r>
        <w:rPr>
          <w:sz w:val="23"/>
          <w:szCs w:val="23"/>
          <w:spacing w:val="4"/>
        </w:rPr>
        <w:t>比选优势：高效率潜力，但需强监管；适用于大型项目。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方案二：政府购买服务模式</w:t>
      </w:r>
    </w:p>
    <w:p>
      <w:pPr>
        <w:pStyle w:val="BodyText"/>
        <w:ind w:left="355"/>
        <w:spacing w:before="243" w:line="222" w:lineRule="auto"/>
        <w:rPr>
          <w:sz w:val="23"/>
          <w:szCs w:val="23"/>
        </w:rPr>
      </w:pPr>
      <w:r>
        <w:rPr>
          <w:sz w:val="23"/>
          <w:szCs w:val="23"/>
          <w:spacing w:val="-11"/>
        </w:rPr>
        <w:t>·</w:t>
      </w:r>
      <w:r>
        <w:rPr>
          <w:sz w:val="23"/>
          <w:szCs w:val="23"/>
          <w:spacing w:val="-93"/>
        </w:rPr>
        <w:t xml:space="preserve"> </w:t>
      </w:r>
      <w:r>
        <w:rPr>
          <w:sz w:val="23"/>
          <w:szCs w:val="23"/>
          <w:spacing w:val="-11"/>
        </w:rPr>
        <w:t>核心机制设计：</w:t>
      </w:r>
    </w:p>
    <w:p>
      <w:pPr>
        <w:pStyle w:val="BodyText"/>
        <w:ind w:left="865"/>
        <w:spacing w:before="243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·定价：通过招标确定服务单价，如每立方米处理费基于成本加合理利润。</w:t>
      </w:r>
    </w:p>
    <w:p>
      <w:pPr>
        <w:pStyle w:val="BodyText"/>
        <w:ind w:left="865"/>
        <w:spacing w:before="285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80"/>
        </w:rPr>
        <w:t xml:space="preserve"> </w:t>
      </w:r>
      <w:r>
        <w:rPr>
          <w:sz w:val="23"/>
          <w:szCs w:val="23"/>
          <w:spacing w:val="3"/>
        </w:rPr>
        <w:t>补贴：针对偏远区域提供差异化补贴，确保公平。</w:t>
      </w:r>
    </w:p>
    <w:p>
      <w:pPr>
        <w:pStyle w:val="BodyText"/>
        <w:ind w:left="1015" w:hanging="150"/>
        <w:spacing w:before="284" w:line="27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7"/>
        </w:rPr>
        <w:t>监管：合同明确服务标准，政府监督执行；风险分担由服务商承担技术风险，政府负责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4"/>
        </w:rPr>
        <w:t>需求风险。</w:t>
      </w:r>
    </w:p>
    <w:p>
      <w:pPr>
        <w:pStyle w:val="BodyText"/>
        <w:ind w:left="865"/>
        <w:spacing w:before="273" w:line="213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·</w:t>
      </w:r>
      <w:r>
        <w:rPr>
          <w:sz w:val="23"/>
          <w:szCs w:val="23"/>
          <w:spacing w:val="-92"/>
        </w:rPr>
        <w:t xml:space="preserve"> </w:t>
      </w:r>
      <w:r>
        <w:rPr>
          <w:sz w:val="23"/>
          <w:szCs w:val="23"/>
          <w:spacing w:val="11"/>
        </w:rPr>
        <w:t>激励约束：引入绩效考核，如维护达标率&gt;95%获额外支付，否</w:t>
      </w:r>
      <w:r>
        <w:rPr>
          <w:sz w:val="23"/>
          <w:szCs w:val="23"/>
          <w:spacing w:val="10"/>
        </w:rPr>
        <w:t>则扣款。</w:t>
      </w:r>
    </w:p>
    <w:p>
      <w:pPr>
        <w:pStyle w:val="BodyText"/>
        <w:ind w:left="655" w:right="12" w:hanging="300"/>
        <w:spacing w:before="313" w:line="286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97"/>
        </w:rPr>
        <w:t xml:space="preserve"> </w:t>
      </w:r>
      <w:r>
        <w:rPr>
          <w:sz w:val="23"/>
          <w:szCs w:val="23"/>
          <w:spacing w:val="8"/>
        </w:rPr>
        <w:t>针对性解决：该模式将运营外包，激发专业化管理，解决激励不足。参考能</w:t>
      </w:r>
      <w:r>
        <w:rPr>
          <w:sz w:val="23"/>
          <w:szCs w:val="23"/>
          <w:spacing w:val="7"/>
        </w:rPr>
        <w:t>源节约绩效合同</w:t>
      </w:r>
      <w:r>
        <w:rPr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(</w:t>
      </w:r>
      <w:r>
        <w:rPr>
          <w:rFonts w:ascii="SimSun" w:hAnsi="SimSun" w:eastAsia="SimSun" w:cs="SimSun"/>
          <w:sz w:val="23"/>
          <w:szCs w:val="23"/>
        </w:rPr>
        <w:t>ESPC</w:t>
      </w:r>
      <w:r>
        <w:rPr>
          <w:rFonts w:ascii="SimSun" w:hAnsi="SimSun" w:eastAsia="SimSun" w:cs="SimSun"/>
          <w:sz w:val="23"/>
          <w:szCs w:val="23"/>
          <w:spacing w:val="14"/>
        </w:rPr>
        <w:t>),</w:t>
      </w:r>
      <w:r>
        <w:rPr>
          <w:rFonts w:ascii="SimSun" w:hAnsi="SimSun" w:eastAsia="SimSun" w:cs="SimSun"/>
          <w:sz w:val="23"/>
          <w:szCs w:val="23"/>
          <w:spacing w:val="44"/>
        </w:rPr>
        <w:t xml:space="preserve">  </w:t>
      </w:r>
      <w:r>
        <w:rPr>
          <w:sz w:val="23"/>
          <w:szCs w:val="23"/>
          <w:spacing w:val="14"/>
        </w:rPr>
        <w:t>可降低能源成本18%(类似污水优化模型)。</w:t>
      </w:r>
    </w:p>
    <w:p>
      <w:pPr>
        <w:pStyle w:val="BodyText"/>
        <w:ind w:left="355"/>
        <w:spacing w:before="259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3"/>
        </w:rPr>
        <w:t>比选优势：操作简便，政府保留控制；适合中小城</w:t>
      </w:r>
      <w:r>
        <w:rPr>
          <w:sz w:val="23"/>
          <w:szCs w:val="23"/>
          <w:spacing w:val="2"/>
        </w:rPr>
        <w:t>市。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方案三：内部绩效改革模式</w:t>
      </w:r>
    </w:p>
    <w:p>
      <w:pPr>
        <w:spacing w:line="221" w:lineRule="auto"/>
        <w:sectPr>
          <w:pgSz w:w="12240" w:h="15840"/>
          <w:pgMar w:top="1258" w:right="1106" w:bottom="0" w:left="994" w:header="0" w:footer="0" w:gutter="0"/>
        </w:sectPr>
        <w:rPr>
          <w:sz w:val="30"/>
          <w:szCs w:val="30"/>
        </w:rPr>
      </w:pPr>
    </w:p>
    <w:p>
      <w:pPr>
        <w:pStyle w:val="BodyText"/>
        <w:ind w:left="369"/>
        <w:spacing w:before="44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·</w:t>
      </w:r>
      <w:r>
        <w:rPr>
          <w:sz w:val="22"/>
          <w:szCs w:val="22"/>
          <w:spacing w:val="-78"/>
        </w:rPr>
        <w:t xml:space="preserve"> </w:t>
      </w:r>
      <w:r>
        <w:rPr>
          <w:sz w:val="22"/>
          <w:szCs w:val="22"/>
          <w:b/>
          <w:bCs/>
          <w:spacing w:val="-6"/>
        </w:rPr>
        <w:t>核心机制设计：</w:t>
      </w:r>
    </w:p>
    <w:p>
      <w:pPr>
        <w:pStyle w:val="BodyText"/>
        <w:ind w:left="876"/>
        <w:spacing w:before="298" w:line="213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12"/>
        </w:rPr>
        <w:t>定价：内部模拟市场定价，如部门间服务收费。</w:t>
      </w:r>
    </w:p>
    <w:p>
      <w:pPr>
        <w:pStyle w:val="BodyText"/>
        <w:ind w:left="876"/>
        <w:spacing w:before="266" w:line="213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·</w:t>
      </w:r>
      <w:r>
        <w:rPr>
          <w:sz w:val="22"/>
          <w:szCs w:val="22"/>
          <w:spacing w:val="-71"/>
        </w:rPr>
        <w:t xml:space="preserve"> </w:t>
      </w:r>
      <w:r>
        <w:rPr>
          <w:sz w:val="22"/>
          <w:szCs w:val="22"/>
          <w:spacing w:val="10"/>
        </w:rPr>
        <w:t>补贴：基于绩效拨款，取代固定核拨。</w:t>
      </w:r>
    </w:p>
    <w:p>
      <w:pPr>
        <w:pStyle w:val="BodyText"/>
        <w:ind w:left="876"/>
        <w:spacing w:before="306" w:line="213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83"/>
        </w:rPr>
        <w:t xml:space="preserve"> </w:t>
      </w:r>
      <w:r>
        <w:rPr>
          <w:sz w:val="22"/>
          <w:szCs w:val="22"/>
          <w:spacing w:val="13"/>
        </w:rPr>
        <w:t>监管：设立内部审计机制；风险分担通过保险分摊。</w:t>
      </w:r>
    </w:p>
    <w:p>
      <w:pPr>
        <w:pStyle w:val="BodyText"/>
        <w:ind w:left="876"/>
        <w:spacing w:before="256" w:line="213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·</w:t>
      </w:r>
      <w:r>
        <w:rPr>
          <w:sz w:val="22"/>
          <w:szCs w:val="22"/>
          <w:spacing w:val="-83"/>
        </w:rPr>
        <w:t xml:space="preserve"> </w:t>
      </w:r>
      <w:r>
        <w:rPr>
          <w:sz w:val="22"/>
          <w:szCs w:val="22"/>
          <w:spacing w:val="14"/>
        </w:rPr>
        <w:t>激励约束：员工奖金与效率挂钩，如成本节约分享机</w:t>
      </w:r>
      <w:r>
        <w:rPr>
          <w:sz w:val="22"/>
          <w:szCs w:val="22"/>
          <w:spacing w:val="13"/>
        </w:rPr>
        <w:t>制。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06" w:hanging="140"/>
        <w:spacing w:before="71" w:line="291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78"/>
        </w:rPr>
        <w:t xml:space="preserve"> </w:t>
      </w:r>
      <w:r>
        <w:rPr>
          <w:sz w:val="22"/>
          <w:szCs w:val="22"/>
          <w:spacing w:val="12"/>
        </w:rPr>
        <w:t>针对性解决：强化内部动力，解决技术更新滞后。参考活动-</w:t>
      </w:r>
      <w:r>
        <w:rPr>
          <w:rFonts w:ascii="SimSun" w:hAnsi="SimSun" w:eastAsia="SimSun" w:cs="SimSun"/>
          <w:sz w:val="22"/>
          <w:szCs w:val="22"/>
        </w:rPr>
        <w:t>based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    </w:t>
      </w:r>
      <w:r>
        <w:rPr>
          <w:rFonts w:ascii="SimSun" w:hAnsi="SimSun" w:eastAsia="SimSun" w:cs="SimSun"/>
          <w:sz w:val="22"/>
          <w:szCs w:val="22"/>
        </w:rPr>
        <w:t>costing</w:t>
      </w:r>
      <w:r>
        <w:rPr>
          <w:rFonts w:ascii="SimSun" w:hAnsi="SimSun" w:eastAsia="SimSun" w:cs="SimSun"/>
          <w:sz w:val="22"/>
          <w:szCs w:val="22"/>
          <w:spacing w:val="12"/>
        </w:rPr>
        <w:t>(</w:t>
      </w:r>
      <w:r>
        <w:rPr>
          <w:rFonts w:ascii="SimSun" w:hAnsi="SimSun" w:eastAsia="SimSun" w:cs="SimSun"/>
          <w:sz w:val="22"/>
          <w:szCs w:val="22"/>
        </w:rPr>
        <w:t>ABC</w:t>
      </w:r>
      <w:r>
        <w:rPr>
          <w:rFonts w:ascii="SimSun" w:hAnsi="SimSun" w:eastAsia="SimSun" w:cs="SimSun"/>
          <w:sz w:val="22"/>
          <w:szCs w:val="22"/>
          <w:spacing w:val="12"/>
        </w:rPr>
        <w:t>),</w:t>
      </w:r>
      <w:r>
        <w:rPr>
          <w:sz w:val="22"/>
          <w:szCs w:val="22"/>
          <w:spacing w:val="12"/>
        </w:rPr>
        <w:t>可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12"/>
        </w:rPr>
        <w:t>精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7"/>
        </w:rPr>
        <w:t>确分配成本，提升决策。</w:t>
      </w:r>
    </w:p>
    <w:p>
      <w:pPr>
        <w:pStyle w:val="BodyText"/>
        <w:ind w:left="366"/>
        <w:spacing w:before="296" w:line="213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·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spacing w:val="11"/>
        </w:rPr>
        <w:t>比选优势：低风险，易实施；作为过渡方案。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9"/>
        </w:rPr>
        <w:t>方案比选表：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方案</w:t>
      </w:r>
      <w:r>
        <w:rPr>
          <w:sz w:val="22"/>
          <w:szCs w:val="22"/>
          <w:spacing w:val="-4"/>
        </w:rPr>
        <w:t xml:space="preserve">          </w:t>
      </w:r>
      <w:r>
        <w:rPr>
          <w:sz w:val="22"/>
          <w:szCs w:val="22"/>
          <w:spacing w:val="-4"/>
        </w:rPr>
        <w:t>效率提升潜力</w:t>
      </w:r>
      <w:r>
        <w:rPr>
          <w:sz w:val="22"/>
          <w:szCs w:val="22"/>
          <w:spacing w:val="8"/>
        </w:rPr>
        <w:t xml:space="preserve">      </w:t>
      </w:r>
      <w:r>
        <w:rPr>
          <w:sz w:val="22"/>
          <w:szCs w:val="22"/>
          <w:spacing w:val="-4"/>
        </w:rPr>
        <w:t>操作性</w:t>
      </w:r>
      <w:r>
        <w:rPr>
          <w:sz w:val="22"/>
          <w:szCs w:val="22"/>
          <w:spacing w:val="10"/>
        </w:rPr>
        <w:t xml:space="preserve">       </w:t>
      </w:r>
      <w:r>
        <w:rPr>
          <w:sz w:val="22"/>
          <w:szCs w:val="22"/>
          <w:spacing w:val="-4"/>
        </w:rPr>
        <w:t>政府控制度</w:t>
      </w:r>
      <w:r>
        <w:rPr>
          <w:sz w:val="22"/>
          <w:szCs w:val="22"/>
          <w:spacing w:val="-4"/>
        </w:rPr>
        <w:t xml:space="preserve">  </w:t>
      </w:r>
      <w:r>
        <w:rPr>
          <w:sz w:val="22"/>
          <w:szCs w:val="22"/>
          <w:spacing w:val="-4"/>
        </w:rPr>
        <w:t>适用场景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2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PPP</w:t>
      </w:r>
      <w:r>
        <w:rPr>
          <w:sz w:val="22"/>
          <w:szCs w:val="22"/>
          <w:spacing w:val="10"/>
        </w:rPr>
        <w:t>模式</w:t>
      </w:r>
      <w:r>
        <w:rPr>
          <w:sz w:val="22"/>
          <w:szCs w:val="22"/>
          <w:spacing w:val="10"/>
        </w:rPr>
        <w:t xml:space="preserve">      </w:t>
      </w:r>
      <w:r>
        <w:rPr>
          <w:sz w:val="22"/>
          <w:szCs w:val="22"/>
          <w:spacing w:val="10"/>
        </w:rPr>
        <w:t>高(排放减30%)</w:t>
      </w:r>
      <w:r>
        <w:rPr>
          <w:sz w:val="22"/>
          <w:szCs w:val="22"/>
          <w:spacing w:val="48"/>
        </w:rPr>
        <w:t xml:space="preserve">  </w:t>
      </w:r>
      <w:r>
        <w:rPr>
          <w:sz w:val="22"/>
          <w:szCs w:val="22"/>
          <w:spacing w:val="10"/>
        </w:rPr>
        <w:t>中(</w:t>
      </w:r>
      <w:r>
        <w:rPr>
          <w:sz w:val="22"/>
          <w:szCs w:val="22"/>
          <w:spacing w:val="9"/>
        </w:rPr>
        <w:t>需招标)</w:t>
      </w:r>
      <w:r>
        <w:rPr>
          <w:sz w:val="22"/>
          <w:szCs w:val="22"/>
          <w:spacing w:val="49"/>
        </w:rPr>
        <w:t xml:space="preserve">  </w:t>
      </w:r>
      <w:r>
        <w:rPr>
          <w:sz w:val="22"/>
          <w:szCs w:val="22"/>
          <w:spacing w:val="9"/>
        </w:rPr>
        <w:t>中</w:t>
      </w:r>
      <w:r>
        <w:rPr>
          <w:sz w:val="22"/>
          <w:szCs w:val="22"/>
          <w:spacing w:val="10"/>
        </w:rPr>
        <w:t xml:space="preserve">         </w:t>
      </w:r>
      <w:r>
        <w:rPr>
          <w:sz w:val="22"/>
          <w:szCs w:val="22"/>
          <w:spacing w:val="9"/>
        </w:rPr>
        <w:t>大型基础设施</w:t>
      </w:r>
    </w:p>
    <w:p>
      <w:pPr>
        <w:spacing w:line="39" w:lineRule="exact"/>
        <w:rPr/>
      </w:pPr>
      <w:r/>
    </w:p>
    <w:tbl>
      <w:tblPr>
        <w:tblStyle w:val="TableNormal"/>
        <w:tblW w:w="761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86"/>
        <w:gridCol w:w="961"/>
        <w:gridCol w:w="1669"/>
      </w:tblGrid>
      <w:tr>
        <w:trPr>
          <w:trHeight w:val="505" w:hRule="atLeast"/>
        </w:trPr>
        <w:tc>
          <w:tcPr>
            <w:tcW w:w="498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6"/>
              <w:spacing w:before="292" w:line="17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32"/>
              </w:rPr>
              <w:t>政府购买服务</w:t>
            </w:r>
            <w:r>
              <w:rPr>
                <w:rFonts w:ascii="SimHei" w:hAnsi="SimHei" w:eastAsia="SimHei" w:cs="SimHei"/>
                <w:sz w:val="22"/>
                <w:szCs w:val="22"/>
                <w:spacing w:val="20"/>
              </w:rPr>
              <w:t xml:space="preserve">   </w:t>
            </w:r>
            <w:r>
              <w:rPr>
                <w:rFonts w:ascii="SimHei" w:hAnsi="SimHei" w:eastAsia="SimHei" w:cs="SimHei"/>
                <w:sz w:val="22"/>
                <w:szCs w:val="22"/>
                <w:spacing w:val="32"/>
              </w:rPr>
              <w:t>中(成本降18%)</w:t>
            </w:r>
            <w:r>
              <w:rPr>
                <w:rFonts w:ascii="SimHei" w:hAnsi="SimHei" w:eastAsia="SimHei" w:cs="SimHei"/>
                <w:sz w:val="22"/>
                <w:szCs w:val="22"/>
                <w:spacing w:val="32"/>
              </w:rPr>
              <w:t xml:space="preserve">     </w:t>
            </w:r>
            <w:r>
              <w:rPr>
                <w:rFonts w:ascii="SimHei" w:hAnsi="SimHei" w:eastAsia="SimHei" w:cs="SimHei"/>
                <w:sz w:val="22"/>
                <w:szCs w:val="22"/>
                <w:spacing w:val="32"/>
              </w:rPr>
              <w:t>高</w:t>
            </w:r>
          </w:p>
        </w:tc>
        <w:tc>
          <w:tcPr>
            <w:tcW w:w="961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425"/>
              <w:spacing w:before="292" w:line="17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高</w:t>
            </w:r>
          </w:p>
        </w:tc>
        <w:tc>
          <w:tcPr>
            <w:tcW w:w="1669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346"/>
              <w:spacing w:before="292" w:line="17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30"/>
              </w:rPr>
              <w:t>运营维护</w:t>
            </w:r>
          </w:p>
        </w:tc>
      </w:tr>
    </w:tbl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2" w:line="22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内部绩效改革</w:t>
      </w:r>
      <w:r>
        <w:rPr>
          <w:sz w:val="22"/>
          <w:szCs w:val="22"/>
          <w:spacing w:val="-9"/>
        </w:rPr>
        <w:t xml:space="preserve">  </w:t>
      </w:r>
      <w:r>
        <w:rPr>
          <w:sz w:val="22"/>
          <w:szCs w:val="22"/>
          <w:spacing w:val="-9"/>
        </w:rPr>
        <w:t>中</w:t>
      </w:r>
      <w:r>
        <w:rPr>
          <w:sz w:val="22"/>
          <w:szCs w:val="22"/>
          <w:spacing w:val="3"/>
        </w:rPr>
        <w:t xml:space="preserve">                </w:t>
      </w:r>
      <w:r>
        <w:rPr>
          <w:sz w:val="22"/>
          <w:szCs w:val="22"/>
          <w:spacing w:val="-9"/>
        </w:rPr>
        <w:t>高</w:t>
      </w:r>
      <w:r>
        <w:rPr>
          <w:sz w:val="22"/>
          <w:szCs w:val="22"/>
          <w:spacing w:val="6"/>
        </w:rPr>
        <w:t xml:space="preserve">           </w:t>
      </w:r>
      <w:r>
        <w:rPr>
          <w:sz w:val="22"/>
          <w:szCs w:val="22"/>
          <w:spacing w:val="-9"/>
        </w:rPr>
        <w:t>高</w:t>
      </w:r>
      <w:r>
        <w:rPr>
          <w:sz w:val="22"/>
          <w:szCs w:val="22"/>
          <w:spacing w:val="11"/>
        </w:rPr>
        <w:t xml:space="preserve">         </w:t>
      </w:r>
      <w:r>
        <w:rPr>
          <w:sz w:val="22"/>
          <w:szCs w:val="22"/>
          <w:spacing w:val="-9"/>
          <w:position w:val="1"/>
        </w:rPr>
        <w:t>现有系统优化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优先推荐</w:t>
      </w:r>
      <w:r>
        <w:rPr>
          <w:rFonts w:ascii="Arial" w:hAnsi="Arial" w:eastAsia="Arial" w:cs="Arial"/>
          <w:sz w:val="22"/>
          <w:szCs w:val="22"/>
        </w:rPr>
        <w:t>PPP</w:t>
      </w:r>
      <w:r>
        <w:rPr>
          <w:sz w:val="22"/>
          <w:szCs w:val="22"/>
          <w:spacing w:val="19"/>
        </w:rPr>
        <w:t>与购买服务结合，兼顾效率与控制。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全生命周期成本效益分析</w:t>
      </w:r>
    </w:p>
    <w:p>
      <w:pPr>
        <w:pStyle w:val="BodyText"/>
        <w:ind w:left="165" w:right="212" w:hanging="159"/>
        <w:spacing w:before="221" w:line="358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污水系统全生命周期包括建设、运营、维护、改造、应急五个环节。核拨制下，成本侧重建设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6"/>
        </w:rPr>
        <w:t>(占总60%),忽略后期。改进方案需全</w:t>
      </w:r>
      <w:r>
        <w:rPr>
          <w:sz w:val="22"/>
          <w:szCs w:val="22"/>
          <w:spacing w:val="25"/>
        </w:rPr>
        <w:t>面考量，进行成本效益分析。</w:t>
      </w:r>
    </w:p>
    <w:p>
      <w:pPr>
        <w:spacing w:line="358" w:lineRule="auto"/>
        <w:sectPr>
          <w:pgSz w:w="12240" w:h="15840"/>
          <w:pgMar w:top="1240" w:right="1188" w:bottom="0" w:left="983" w:header="0" w:footer="0" w:gutter="0"/>
        </w:sectPr>
        <w:rPr>
          <w:sz w:val="22"/>
          <w:szCs w:val="22"/>
        </w:rPr>
      </w:pPr>
    </w:p>
    <w:p>
      <w:pPr>
        <w:pStyle w:val="BodyText"/>
        <w:ind w:left="524" w:right="597" w:hanging="143"/>
        <w:spacing w:before="45" w:line="303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80"/>
        </w:rPr>
        <w:t xml:space="preserve"> </w:t>
      </w:r>
      <w:r>
        <w:rPr>
          <w:sz w:val="22"/>
          <w:szCs w:val="22"/>
          <w:spacing w:val="13"/>
        </w:rPr>
        <w:t>建设环节：初始投资，包括管网铺设和厂房建造。</w:t>
      </w:r>
      <w:r>
        <w:rPr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PPP</w:t>
      </w:r>
      <w:r>
        <w:rPr>
          <w:rFonts w:ascii="Times New Roman" w:hAnsi="Times New Roman" w:eastAsia="Times New Roman" w:cs="Times New Roman"/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13"/>
        </w:rPr>
        <w:t>模式通过私营融资降低政府负担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36"/>
        </w:rPr>
        <w:t>20%,但需补贴覆盖。</w:t>
      </w:r>
    </w:p>
    <w:p>
      <w:pPr>
        <w:pStyle w:val="BodyText"/>
        <w:ind w:left="521" w:right="228" w:hanging="140"/>
        <w:spacing w:before="238" w:line="305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·</w:t>
      </w:r>
      <w:r>
        <w:rPr>
          <w:sz w:val="22"/>
          <w:szCs w:val="22"/>
          <w:spacing w:val="-75"/>
        </w:rPr>
        <w:t xml:space="preserve"> </w:t>
      </w:r>
      <w:r>
        <w:rPr>
          <w:sz w:val="22"/>
          <w:szCs w:val="22"/>
          <w:spacing w:val="21"/>
        </w:rPr>
        <w:t>运营环节：日常处理，如能源消耗。绩效合同可优化参数，降能源</w:t>
      </w:r>
      <w:r>
        <w:rPr>
          <w:sz w:val="22"/>
          <w:szCs w:val="22"/>
          <w:spacing w:val="20"/>
        </w:rPr>
        <w:t>18.83%(参考污水厂优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9"/>
        </w:rPr>
        <w:t>化模型)。</w:t>
      </w:r>
    </w:p>
    <w:p>
      <w:pPr>
        <w:pStyle w:val="BodyText"/>
        <w:ind w:left="384"/>
        <w:spacing w:before="25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·</w:t>
      </w:r>
      <w:r>
        <w:rPr>
          <w:sz w:val="22"/>
          <w:szCs w:val="22"/>
          <w:spacing w:val="-78"/>
        </w:rPr>
        <w:t xml:space="preserve"> </w:t>
      </w:r>
      <w:r>
        <w:rPr>
          <w:sz w:val="22"/>
          <w:szCs w:val="22"/>
          <w:b/>
          <w:bCs/>
          <w:spacing w:val="15"/>
        </w:rPr>
        <w:t>维护环节：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15"/>
        </w:rPr>
        <w:t>定期检修。购买服务模式引入专业团队，降维护成本1</w:t>
      </w:r>
      <w:r>
        <w:rPr>
          <w:sz w:val="22"/>
          <w:szCs w:val="22"/>
          <w:spacing w:val="14"/>
        </w:rPr>
        <w:t>5%。</w:t>
      </w:r>
    </w:p>
    <w:p>
      <w:pPr>
        <w:pStyle w:val="BodyText"/>
        <w:ind w:left="520" w:right="125" w:hanging="136"/>
        <w:spacing w:before="251" w:line="3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3"/>
        </w:rPr>
        <w:t>·</w:t>
      </w:r>
      <w:r>
        <w:rPr>
          <w:sz w:val="22"/>
          <w:szCs w:val="22"/>
          <w:spacing w:val="-70"/>
        </w:rPr>
        <w:t xml:space="preserve"> </w:t>
      </w:r>
      <w:r>
        <w:rPr>
          <w:sz w:val="22"/>
          <w:szCs w:val="22"/>
          <w:b/>
          <w:bCs/>
          <w:spacing w:val="13"/>
        </w:rPr>
        <w:t>改造环节：</w:t>
      </w:r>
      <w:r>
        <w:rPr>
          <w:sz w:val="22"/>
          <w:szCs w:val="22"/>
          <w:spacing w:val="-50"/>
        </w:rPr>
        <w:t xml:space="preserve"> </w:t>
      </w:r>
      <w:r>
        <w:rPr>
          <w:sz w:val="22"/>
          <w:szCs w:val="22"/>
          <w:spacing w:val="13"/>
        </w:rPr>
        <w:t>技术升级，如智能系统。内部改革激励投资，生命周</w:t>
      </w:r>
      <w:r>
        <w:rPr>
          <w:sz w:val="22"/>
          <w:szCs w:val="22"/>
          <w:spacing w:val="12"/>
        </w:rPr>
        <w:t>期成本</w:t>
      </w:r>
      <w:r>
        <w:rPr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LCC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>)    </w:t>
      </w:r>
      <w:r>
        <w:rPr>
          <w:sz w:val="22"/>
          <w:szCs w:val="22"/>
          <w:spacing w:val="12"/>
        </w:rPr>
        <w:t>分析显示，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综合</w:t>
      </w:r>
      <w:r>
        <w:rPr>
          <w:rFonts w:ascii="Arial" w:hAnsi="Arial" w:eastAsia="Arial" w:cs="Arial"/>
          <w:sz w:val="22"/>
          <w:szCs w:val="22"/>
        </w:rPr>
        <w:t>LCC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9"/>
        </w:rPr>
        <w:t>可降10</w:t>
      </w:r>
      <w:r>
        <w:rPr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19"/>
        </w:rPr>
        <w:t>20%(参考</w:t>
      </w:r>
      <w:r>
        <w:rPr>
          <w:rFonts w:ascii="Arial" w:hAnsi="Arial" w:eastAsia="Arial" w:cs="Arial"/>
          <w:sz w:val="22"/>
          <w:szCs w:val="22"/>
        </w:rPr>
        <w:t>WWT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  </w:t>
      </w:r>
      <w:r>
        <w:rPr>
          <w:rFonts w:ascii="Arial" w:hAnsi="Arial" w:eastAsia="Arial" w:cs="Arial"/>
          <w:sz w:val="22"/>
          <w:szCs w:val="22"/>
        </w:rPr>
        <w:t>LCC</w:t>
      </w:r>
      <w:r>
        <w:rPr>
          <w:sz w:val="22"/>
          <w:szCs w:val="22"/>
          <w:spacing w:val="19"/>
        </w:rPr>
        <w:t>系统综述)。</w:t>
      </w:r>
    </w:p>
    <w:p>
      <w:pPr>
        <w:pStyle w:val="BodyText"/>
        <w:ind w:left="384"/>
        <w:spacing w:before="267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0"/>
        </w:rPr>
        <w:t>·</w:t>
      </w:r>
      <w:r>
        <w:rPr>
          <w:sz w:val="22"/>
          <w:szCs w:val="22"/>
          <w:spacing w:val="-75"/>
        </w:rPr>
        <w:t xml:space="preserve"> </w:t>
      </w:r>
      <w:r>
        <w:rPr>
          <w:sz w:val="22"/>
          <w:szCs w:val="22"/>
          <w:b/>
          <w:bCs/>
          <w:spacing w:val="20"/>
        </w:rPr>
        <w:t>应急环节：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20"/>
        </w:rPr>
        <w:t>洪涝响应。分散系统提升韧性，降应急成本50%(参考分</w:t>
      </w:r>
      <w:r>
        <w:rPr>
          <w:sz w:val="22"/>
          <w:szCs w:val="22"/>
          <w:spacing w:val="19"/>
        </w:rPr>
        <w:t>散水系统分析)。</w:t>
      </w:r>
    </w:p>
    <w:p>
      <w:pPr>
        <w:pStyle w:val="BodyText"/>
        <w:ind w:left="11" w:firstLine="3"/>
        <w:spacing w:before="242" w:line="4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1"/>
        </w:rPr>
        <w:t>成本效益辩证分析：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1"/>
        </w:rPr>
        <w:t>效益包括环境改善(如排放减)和经济</w:t>
      </w:r>
      <w:r>
        <w:rPr>
          <w:sz w:val="22"/>
          <w:szCs w:val="22"/>
          <w:spacing w:val="20"/>
        </w:rPr>
        <w:t>回报(如资源回收)。</w:t>
      </w:r>
      <w:r>
        <w:rPr>
          <w:sz w:val="22"/>
          <w:szCs w:val="2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LCC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0"/>
        </w:rPr>
        <w:t>框架整合确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5"/>
        </w:rPr>
        <w:t>定性方法，显示</w:t>
      </w:r>
      <w:r>
        <w:rPr>
          <w:rFonts w:ascii="Times New Roman" w:hAnsi="Times New Roman" w:eastAsia="Times New Roman" w:cs="Times New Roman"/>
          <w:sz w:val="22"/>
          <w:szCs w:val="22"/>
        </w:rPr>
        <w:t>PPP</w:t>
      </w:r>
      <w:r>
        <w:rPr>
          <w:rFonts w:ascii="Times New Roman" w:hAnsi="Times New Roman" w:eastAsia="Times New Roman" w:cs="Times New Roman"/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15"/>
        </w:rPr>
        <w:t>在长期效益高</w:t>
      </w:r>
      <w:r>
        <w:rPr>
          <w:sz w:val="22"/>
          <w:szCs w:val="2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ROl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&gt;15%),       </w:t>
      </w:r>
      <w:r>
        <w:rPr>
          <w:sz w:val="22"/>
          <w:szCs w:val="22"/>
          <w:spacing w:val="15"/>
        </w:rPr>
        <w:t>但初始高；内部改革短期见效。总体，可行性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3"/>
        </w:rPr>
        <w:t>高，参考</w:t>
      </w:r>
      <w:r>
        <w:rPr>
          <w:rFonts w:ascii="SimSun" w:hAnsi="SimSun" w:eastAsia="SimSun" w:cs="SimSun"/>
          <w:sz w:val="22"/>
          <w:szCs w:val="22"/>
        </w:rPr>
        <w:t>Xylem</w:t>
      </w:r>
      <w:r>
        <w:rPr>
          <w:rFonts w:ascii="SimSun" w:hAnsi="SimSun" w:eastAsia="SimSun" w:cs="SimSun"/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23"/>
        </w:rPr>
        <w:t>泵</w:t>
      </w:r>
      <w:r>
        <w:rPr>
          <w:rFonts w:ascii="SimSun" w:hAnsi="SimSun" w:eastAsia="SimSun" w:cs="SimSun"/>
          <w:sz w:val="22"/>
          <w:szCs w:val="22"/>
        </w:rPr>
        <w:t>LCC</w:t>
      </w:r>
      <w:r>
        <w:rPr>
          <w:rFonts w:ascii="SimSun" w:hAnsi="SimSun" w:eastAsia="SimSun" w:cs="SimSun"/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23"/>
        </w:rPr>
        <w:t>指南，综合方案可实现成本节约25%。</w:t>
      </w:r>
    </w:p>
    <w:p>
      <w:pPr>
        <w:pStyle w:val="BodyText"/>
        <w:ind w:left="14"/>
        <w:spacing w:before="61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3"/>
        </w:rPr>
        <w:t>生命周期成本构成表：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环节</w:t>
      </w:r>
      <w:r>
        <w:rPr>
          <w:sz w:val="22"/>
          <w:szCs w:val="22"/>
          <w:spacing w:val="99"/>
        </w:rPr>
        <w:t xml:space="preserve"> </w:t>
      </w:r>
      <w:r>
        <w:rPr>
          <w:sz w:val="22"/>
          <w:szCs w:val="22"/>
          <w:spacing w:val="-8"/>
        </w:rPr>
        <w:t>核拨制成本占比</w:t>
      </w:r>
      <w:r>
        <w:rPr>
          <w:sz w:val="22"/>
          <w:szCs w:val="22"/>
          <w:spacing w:val="-8"/>
        </w:rPr>
        <w:t xml:space="preserve">  </w:t>
      </w:r>
      <w:r>
        <w:rPr>
          <w:sz w:val="22"/>
          <w:szCs w:val="22"/>
          <w:spacing w:val="-8"/>
        </w:rPr>
        <w:t>改进方案节约潜力</w:t>
      </w:r>
      <w:r>
        <w:rPr>
          <w:sz w:val="22"/>
          <w:szCs w:val="22"/>
          <w:spacing w:val="35"/>
        </w:rPr>
        <w:t xml:space="preserve">  </w:t>
      </w:r>
      <w:r>
        <w:rPr>
          <w:sz w:val="22"/>
          <w:szCs w:val="22"/>
          <w:spacing w:val="-8"/>
        </w:rPr>
        <w:t>效益指标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建设</w:t>
      </w:r>
      <w:r>
        <w:rPr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6"/>
        </w:rPr>
        <w:t>60%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          </w:t>
      </w:r>
      <w:r>
        <w:rPr>
          <w:sz w:val="22"/>
          <w:szCs w:val="22"/>
          <w:spacing w:val="6"/>
        </w:rPr>
        <w:t>20%(融资优化)</w:t>
      </w:r>
      <w:r>
        <w:rPr>
          <w:sz w:val="22"/>
          <w:szCs w:val="22"/>
          <w:spacing w:val="50"/>
        </w:rPr>
        <w:t xml:space="preserve">  </w:t>
      </w:r>
      <w:r>
        <w:rPr>
          <w:sz w:val="22"/>
          <w:szCs w:val="22"/>
          <w:spacing w:val="6"/>
        </w:rPr>
        <w:t>基础设施耐用性提升</w:t>
      </w:r>
    </w:p>
    <w:p>
      <w:pPr>
        <w:spacing w:line="60" w:lineRule="exact"/>
        <w:rPr/>
      </w:pPr>
      <w:r/>
    </w:p>
    <w:tbl>
      <w:tblPr>
        <w:tblStyle w:val="TableNormal"/>
        <w:tblW w:w="628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4"/>
        <w:gridCol w:w="1172"/>
        <w:gridCol w:w="2276"/>
        <w:gridCol w:w="2219"/>
      </w:tblGrid>
      <w:tr>
        <w:trPr>
          <w:trHeight w:val="505" w:hRule="atLeast"/>
        </w:trPr>
        <w:tc>
          <w:tcPr>
            <w:tcW w:w="614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1"/>
              <w:spacing w:before="292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9"/>
              </w:rPr>
              <w:t>运营</w:t>
            </w:r>
          </w:p>
        </w:tc>
        <w:tc>
          <w:tcPr>
            <w:tcW w:w="117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251"/>
              <w:spacing w:before="292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2"/>
                <w:w w:val="117"/>
              </w:rPr>
              <w:t>20%</w:t>
            </w:r>
          </w:p>
        </w:tc>
        <w:tc>
          <w:tcPr>
            <w:tcW w:w="227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370"/>
              <w:spacing w:before="292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8"/>
                <w:w w:val="115"/>
              </w:rPr>
              <w:t>18%(能源优化)</w:t>
            </w:r>
          </w:p>
        </w:tc>
        <w:tc>
          <w:tcPr>
            <w:tcW w:w="2219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19"/>
              <w:spacing w:before="292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4"/>
                <w:w w:val="117"/>
              </w:rPr>
              <w:t>水质达标率&gt;98%</w:t>
            </w:r>
          </w:p>
        </w:tc>
      </w:tr>
      <w:tr>
        <w:trPr>
          <w:trHeight w:val="599" w:hRule="atLeast"/>
        </w:trPr>
        <w:tc>
          <w:tcPr>
            <w:tcW w:w="6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75" w:line="161" w:lineRule="auto"/>
              <w:rPr/>
            </w:pPr>
            <w:r>
              <w:rPr>
                <w:i/>
                <w:iCs/>
                <w:spacing w:val="24"/>
              </w:rPr>
              <w:t>维护</w:t>
            </w:r>
          </w:p>
        </w:tc>
        <w:tc>
          <w:tcPr>
            <w:tcW w:w="11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1"/>
              <w:spacing w:before="75" w:line="161" w:lineRule="auto"/>
              <w:rPr/>
            </w:pPr>
            <w:r>
              <w:rPr>
                <w:i/>
                <w:iCs/>
                <w:spacing w:val="-9"/>
              </w:rPr>
              <w:t>1</w:t>
            </w:r>
            <w:r>
              <w:rPr>
                <w:spacing w:val="-54"/>
              </w:rPr>
              <w:t xml:space="preserve"> </w:t>
            </w:r>
            <w:r>
              <w:rPr>
                <w:i/>
                <w:iCs/>
                <w:spacing w:val="-9"/>
              </w:rPr>
              <w:t>0</w:t>
            </w:r>
            <w:r>
              <w:rPr>
                <w:spacing w:val="-57"/>
              </w:rPr>
              <w:t xml:space="preserve"> </w:t>
            </w:r>
            <w:r>
              <w:rPr>
                <w:i/>
                <w:iCs/>
                <w:spacing w:val="-9"/>
              </w:rPr>
              <w:t>%</w:t>
            </w:r>
          </w:p>
        </w:tc>
        <w:tc>
          <w:tcPr>
            <w:tcW w:w="227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6"/>
              <w:spacing w:before="75" w:line="161" w:lineRule="auto"/>
              <w:rPr/>
            </w:pPr>
            <w:r>
              <w:rPr>
                <w:i/>
                <w:iCs/>
                <w:spacing w:val="-17"/>
              </w:rPr>
              <w:t>1</w:t>
            </w:r>
            <w:r>
              <w:rPr>
                <w:spacing w:val="-55"/>
              </w:rPr>
              <w:t xml:space="preserve"> </w:t>
            </w:r>
            <w:r>
              <w:rPr>
                <w:i/>
                <w:iCs/>
                <w:spacing w:val="-17"/>
              </w:rPr>
              <w:t>5</w:t>
            </w:r>
            <w:r>
              <w:rPr>
                <w:spacing w:val="-57"/>
              </w:rPr>
              <w:t xml:space="preserve"> </w:t>
            </w:r>
            <w:r>
              <w:rPr>
                <w:i/>
                <w:iCs/>
                <w:spacing w:val="-17"/>
              </w:rPr>
              <w:t>%</w:t>
            </w:r>
            <w:r>
              <w:rPr>
                <w:spacing w:val="-17"/>
              </w:rPr>
              <w:t xml:space="preserve"> </w:t>
            </w:r>
            <w:r>
              <w:rPr>
                <w:i/>
                <w:iCs/>
                <w:spacing w:val="-17"/>
              </w:rPr>
              <w:t>(</w:t>
            </w:r>
            <w:r>
              <w:rPr>
                <w:spacing w:val="-48"/>
              </w:rPr>
              <w:t xml:space="preserve"> </w:t>
            </w:r>
            <w:r>
              <w:rPr>
                <w:i/>
                <w:iCs/>
                <w:spacing w:val="-17"/>
              </w:rPr>
              <w:t>专</w:t>
            </w:r>
            <w:r>
              <w:rPr>
                <w:spacing w:val="-47"/>
              </w:rPr>
              <w:t xml:space="preserve"> </w:t>
            </w:r>
            <w:r>
              <w:rPr>
                <w:i/>
                <w:iCs/>
                <w:spacing w:val="-17"/>
              </w:rPr>
              <w:t>业</w:t>
            </w:r>
            <w:r>
              <w:rPr>
                <w:spacing w:val="-48"/>
              </w:rPr>
              <w:t xml:space="preserve"> </w:t>
            </w:r>
            <w:r>
              <w:rPr>
                <w:i/>
                <w:iCs/>
                <w:spacing w:val="-17"/>
              </w:rPr>
              <w:t>化</w:t>
            </w:r>
            <w:r>
              <w:rPr>
                <w:spacing w:val="-55"/>
              </w:rPr>
              <w:t xml:space="preserve"> </w:t>
            </w:r>
            <w:r>
              <w:rPr>
                <w:i/>
                <w:iCs/>
                <w:spacing w:val="-17"/>
              </w:rPr>
              <w:t>)</w:t>
            </w:r>
          </w:p>
        </w:tc>
        <w:tc>
          <w:tcPr>
            <w:tcW w:w="22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9"/>
              <w:spacing w:before="75" w:line="161" w:lineRule="auto"/>
              <w:rPr/>
            </w:pPr>
            <w:r>
              <w:rPr>
                <w:i/>
                <w:iCs/>
                <w:spacing w:val="-15"/>
              </w:rPr>
              <w:t>故</w:t>
            </w:r>
            <w:r>
              <w:rPr>
                <w:spacing w:val="-43"/>
              </w:rPr>
              <w:t xml:space="preserve"> </w:t>
            </w:r>
            <w:r>
              <w:rPr>
                <w:i/>
                <w:iCs/>
                <w:spacing w:val="-15"/>
              </w:rPr>
              <w:t>障</w:t>
            </w:r>
            <w:r>
              <w:rPr>
                <w:spacing w:val="-47"/>
              </w:rPr>
              <w:t xml:space="preserve"> </w:t>
            </w:r>
            <w:r>
              <w:rPr>
                <w:i/>
                <w:iCs/>
                <w:spacing w:val="-15"/>
              </w:rPr>
              <w:t>率</w:t>
            </w:r>
            <w:r>
              <w:rPr>
                <w:spacing w:val="-42"/>
              </w:rPr>
              <w:t xml:space="preserve"> </w:t>
            </w:r>
            <w:r>
              <w:rPr>
                <w:i/>
                <w:iCs/>
                <w:spacing w:val="-15"/>
              </w:rPr>
              <w:t>降</w:t>
            </w:r>
            <w:r>
              <w:rPr>
                <w:spacing w:val="-51"/>
              </w:rPr>
              <w:t xml:space="preserve"> </w:t>
            </w:r>
            <w:r>
              <w:rPr>
                <w:i/>
                <w:iCs/>
                <w:spacing w:val="-15"/>
              </w:rPr>
              <w:t>3</w:t>
            </w:r>
            <w:r>
              <w:rPr>
                <w:spacing w:val="-55"/>
              </w:rPr>
              <w:t xml:space="preserve"> </w:t>
            </w:r>
            <w:r>
              <w:rPr>
                <w:i/>
                <w:iCs/>
                <w:spacing w:val="-15"/>
              </w:rPr>
              <w:t>0</w:t>
            </w:r>
            <w:r>
              <w:rPr>
                <w:spacing w:val="-57"/>
              </w:rPr>
              <w:t xml:space="preserve"> </w:t>
            </w:r>
            <w:r>
              <w:rPr>
                <w:i/>
                <w:iCs/>
                <w:spacing w:val="-15"/>
              </w:rPr>
              <w:t>%</w:t>
            </w:r>
          </w:p>
        </w:tc>
      </w:tr>
      <w:tr>
        <w:trPr>
          <w:trHeight w:val="705" w:hRule="atLeast"/>
        </w:trPr>
        <w:tc>
          <w:tcPr>
            <w:tcW w:w="614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7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改造</w:t>
            </w:r>
          </w:p>
        </w:tc>
        <w:tc>
          <w:tcPr>
            <w:tcW w:w="1172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71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5%</w:t>
            </w:r>
          </w:p>
        </w:tc>
        <w:tc>
          <w:tcPr>
            <w:tcW w:w="227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5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6"/>
              </w:rPr>
              <w:t>10%(技术激励)</w:t>
            </w:r>
          </w:p>
        </w:tc>
        <w:tc>
          <w:tcPr>
            <w:tcW w:w="2219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7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适应气候变化</w:t>
            </w:r>
          </w:p>
        </w:tc>
      </w:tr>
    </w:tbl>
    <w:p>
      <w:pPr>
        <w:pStyle w:val="BodyText"/>
        <w:ind w:left="11"/>
        <w:spacing w:before="289" w:line="222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8"/>
        </w:rPr>
        <w:t>应急</w:t>
      </w:r>
      <w:r>
        <w:rPr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8"/>
        </w:rPr>
        <w:t>5%             </w:t>
      </w:r>
      <w:r>
        <w:rPr>
          <w:sz w:val="22"/>
          <w:szCs w:val="22"/>
          <w:spacing w:val="8"/>
        </w:rPr>
        <w:t>50%(韧性增强)</w:t>
      </w:r>
      <w:r>
        <w:rPr>
          <w:sz w:val="22"/>
          <w:szCs w:val="22"/>
          <w:spacing w:val="8"/>
        </w:rPr>
        <w:t xml:space="preserve">   </w:t>
      </w:r>
      <w:r>
        <w:rPr>
          <w:sz w:val="22"/>
          <w:szCs w:val="22"/>
          <w:spacing w:val="8"/>
        </w:rPr>
        <w:t>响应时间&lt;24</w:t>
      </w:r>
      <w:r>
        <w:rPr>
          <w:rFonts w:ascii="SimSun" w:hAnsi="SimSun" w:eastAsia="SimSun" w:cs="SimSun"/>
          <w:sz w:val="22"/>
          <w:szCs w:val="22"/>
          <w:spacing w:val="8"/>
        </w:rPr>
        <w:t>h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雨污协同机制设计</w:t>
      </w:r>
    </w:p>
    <w:p>
      <w:pPr>
        <w:pStyle w:val="BodyText"/>
        <w:ind w:left="11" w:right="366"/>
        <w:spacing w:before="187" w:line="392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污水系统与雨水排洪排涝系统协同可降低成本、提升韧性。核拨制下，二者独立，导致资源浪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9"/>
        </w:rPr>
        <w:t>费；协同机制包括规划协同、设施共建、信息互通、联合调度和资源化利用。</w:t>
      </w:r>
    </w:p>
    <w:p>
      <w:pPr>
        <w:spacing w:line="392" w:lineRule="auto"/>
        <w:sectPr>
          <w:pgSz w:w="12240" w:h="15840"/>
          <w:pgMar w:top="1193" w:right="1044" w:bottom="0" w:left="968" w:header="0" w:footer="0" w:gutter="0"/>
        </w:sectPr>
        <w:rPr>
          <w:sz w:val="22"/>
          <w:szCs w:val="22"/>
        </w:rPr>
      </w:pPr>
    </w:p>
    <w:p>
      <w:pPr>
        <w:pStyle w:val="BodyText"/>
        <w:ind w:left="359"/>
        <w:spacing w:before="46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5"/>
        </w:rPr>
        <w:t>规划协同：统一规划，避免重复建设，如合流管网改造为分流。</w:t>
      </w:r>
    </w:p>
    <w:p>
      <w:pPr>
        <w:pStyle w:val="BodyText"/>
        <w:ind w:left="359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·</w:t>
      </w:r>
      <w:r>
        <w:rPr>
          <w:sz w:val="23"/>
          <w:szCs w:val="23"/>
          <w:spacing w:val="-87"/>
        </w:rPr>
        <w:t xml:space="preserve"> </w:t>
      </w:r>
      <w:r>
        <w:rPr>
          <w:sz w:val="23"/>
          <w:szCs w:val="23"/>
          <w:spacing w:val="14"/>
        </w:rPr>
        <w:t>设施共建共享：共享储水池，降建设成本30</w:t>
      </w:r>
      <w:r>
        <w:rPr>
          <w:sz w:val="23"/>
          <w:szCs w:val="23"/>
          <w:spacing w:val="13"/>
        </w:rPr>
        <w:t>%(参考集成雨污管理)。</w:t>
      </w:r>
    </w:p>
    <w:p>
      <w:pPr>
        <w:pStyle w:val="BodyText"/>
        <w:ind w:left="359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4"/>
        </w:rPr>
        <w:t>信息互通：实时数据共享，如物联网监测雨量与污水流量。</w:t>
      </w:r>
    </w:p>
    <w:p>
      <w:pPr>
        <w:pStyle w:val="BodyText"/>
        <w:ind w:left="359"/>
        <w:spacing w:before="264" w:line="213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·</w:t>
      </w:r>
      <w:r>
        <w:rPr>
          <w:sz w:val="23"/>
          <w:szCs w:val="23"/>
          <w:spacing w:val="-78"/>
        </w:rPr>
        <w:t xml:space="preserve"> </w:t>
      </w:r>
      <w:r>
        <w:rPr>
          <w:sz w:val="23"/>
          <w:szCs w:val="23"/>
          <w:spacing w:val="1"/>
        </w:rPr>
        <w:t>联合调度：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  <w:spacing w:val="1"/>
        </w:rPr>
        <w:t>优化调度，避峰错谷。</w:t>
      </w:r>
    </w:p>
    <w:p>
      <w:pPr>
        <w:pStyle w:val="BodyText"/>
        <w:ind w:left="359"/>
        <w:spacing w:before="285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3"/>
        </w:rPr>
        <w:t>资源化利用：雨水补充处理，回收营养物用于农业。</w:t>
      </w:r>
    </w:p>
    <w:p>
      <w:pPr>
        <w:pStyle w:val="BodyText"/>
        <w:spacing w:before="315" w:line="366" w:lineRule="auto"/>
        <w:rPr>
          <w:sz w:val="23"/>
          <w:szCs w:val="23"/>
        </w:rPr>
      </w:pPr>
      <w:r>
        <w:rPr>
          <w:sz w:val="23"/>
          <w:szCs w:val="23"/>
          <w:spacing w:val="28"/>
        </w:rPr>
        <w:t>论证：协同降低成本通过资源循环(如能量回收40-50%),提升韧性防洪涝(降风险67%),实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12"/>
        </w:rPr>
        <w:t>现良性循环(参考分散系统分析)。物理上，减少溢流污染；工程上，提升系统容量。</w:t>
      </w:r>
    </w:p>
    <w:p>
      <w:pPr>
        <w:pStyle w:val="BodyText"/>
        <w:spacing w:before="67" w:line="221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协同流程图(文本描述):</w:t>
      </w:r>
    </w:p>
    <w:p>
      <w:pPr>
        <w:pStyle w:val="BodyText"/>
        <w:ind w:left="359"/>
        <w:spacing w:before="265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1. </w:t>
      </w:r>
      <w:r>
        <w:rPr>
          <w:sz w:val="23"/>
          <w:szCs w:val="23"/>
          <w:spacing w:val="3"/>
        </w:rPr>
        <w:t>规划阶段：联合评估。</w:t>
      </w:r>
    </w:p>
    <w:p>
      <w:pPr>
        <w:pStyle w:val="BodyText"/>
        <w:ind w:left="359"/>
        <w:spacing w:before="264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2. </w:t>
      </w:r>
      <w:r>
        <w:rPr>
          <w:sz w:val="23"/>
          <w:szCs w:val="23"/>
          <w:spacing w:val="1"/>
        </w:rPr>
        <w:t>建设：共建设施。</w:t>
      </w:r>
    </w:p>
    <w:p>
      <w:pPr>
        <w:pStyle w:val="BodyText"/>
        <w:ind w:left="359"/>
        <w:spacing w:before="273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3.</w:t>
      </w:r>
      <w:r>
        <w:rPr>
          <w:rFonts w:ascii="SimSun" w:hAnsi="SimSun" w:eastAsia="SimSun" w:cs="SimSun"/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2"/>
        </w:rPr>
        <w:t>运营：信息互通→联合调度。</w:t>
      </w:r>
    </w:p>
    <w:p>
      <w:pPr>
        <w:pStyle w:val="BodyText"/>
        <w:ind w:left="359"/>
        <w:spacing w:before="263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4. </w:t>
      </w:r>
      <w:r>
        <w:rPr>
          <w:sz w:val="23"/>
          <w:szCs w:val="23"/>
          <w:spacing w:val="3"/>
        </w:rPr>
        <w:t>维护/应急：资源化反馈。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1" w:line="222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实施路径与政策建议</w:t>
      </w:r>
    </w:p>
    <w:p>
      <w:pPr>
        <w:pStyle w:val="BodyText"/>
        <w:spacing w:before="225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从政府视角，实施需政策法规调整、组织架构变化、监管能力建设和利益协调。</w:t>
      </w:r>
    </w:p>
    <w:p>
      <w:pPr>
        <w:pStyle w:val="BodyText"/>
        <w:ind w:left="359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6"/>
        </w:rPr>
        <w:t>政策法规调整：修订《城镇排水与污水处理条例》,引入</w:t>
      </w:r>
      <w:r>
        <w:rPr>
          <w:rFonts w:ascii="SimSun" w:hAnsi="SimSun" w:eastAsia="SimSun" w:cs="SimSun"/>
          <w:sz w:val="23"/>
          <w:szCs w:val="23"/>
        </w:rPr>
        <w:t>PPP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6"/>
        </w:rPr>
        <w:t>条款；设立绩效补贴标准。</w:t>
      </w:r>
    </w:p>
    <w:p>
      <w:pPr>
        <w:pStyle w:val="BodyText"/>
        <w:ind w:left="359"/>
        <w:spacing w:before="275" w:line="21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4"/>
        </w:rPr>
        <w:t>组织架构变化：成立跨部门协调小组，水务与财政联动。</w:t>
      </w:r>
    </w:p>
    <w:p>
      <w:pPr>
        <w:pStyle w:val="BodyText"/>
        <w:ind w:left="359"/>
        <w:spacing w:before="285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5"/>
        </w:rPr>
        <w:t>监管能力建设：培训人员，引入第三方审计；构建数字化平台。</w:t>
      </w:r>
    </w:p>
    <w:p>
      <w:pPr>
        <w:pStyle w:val="BodyText"/>
        <w:ind w:left="359"/>
        <w:spacing w:before="244" w:line="21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92"/>
        </w:rPr>
        <w:t xml:space="preserve"> </w:t>
      </w:r>
      <w:r>
        <w:rPr>
          <w:sz w:val="23"/>
          <w:szCs w:val="23"/>
          <w:spacing w:val="4"/>
        </w:rPr>
        <w:t>利益相关者协调：公众参与听证，私企激励税收优惠。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right="237"/>
        <w:spacing w:before="76" w:line="358" w:lineRule="auto"/>
        <w:rPr>
          <w:sz w:val="23"/>
          <w:szCs w:val="23"/>
        </w:rPr>
      </w:pPr>
      <w:r>
        <w:rPr>
          <w:sz w:val="23"/>
          <w:szCs w:val="23"/>
          <w:spacing w:val="24"/>
        </w:rPr>
        <w:t>路径：试点阶段(1-2年，选择中小城市);推广阶段(</w:t>
      </w:r>
      <w:r>
        <w:rPr>
          <w:sz w:val="23"/>
          <w:szCs w:val="23"/>
          <w:spacing w:val="23"/>
        </w:rPr>
        <w:t>3-5年，全国铺开);评估阶段(持续监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测)。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0" w:line="226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2"/>
        </w:rPr>
        <w:t>结论</w:t>
      </w:r>
    </w:p>
    <w:p>
      <w:pPr>
        <w:pStyle w:val="BodyText"/>
        <w:ind w:right="73"/>
        <w:spacing w:before="197" w:line="334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核拨制虽保障基本服务，但效率不足亟需改革。提出的</w:t>
      </w:r>
      <w:r>
        <w:rPr>
          <w:rFonts w:ascii="Times New Roman" w:hAnsi="Times New Roman" w:eastAsia="Times New Roman" w:cs="Times New Roman"/>
          <w:sz w:val="23"/>
          <w:szCs w:val="23"/>
        </w:rPr>
        <w:t>PPP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、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sz w:val="23"/>
          <w:szCs w:val="23"/>
          <w:spacing w:val="10"/>
        </w:rPr>
        <w:t>政府购</w:t>
      </w:r>
      <w:r>
        <w:rPr>
          <w:sz w:val="23"/>
          <w:szCs w:val="23"/>
          <w:spacing w:val="9"/>
        </w:rPr>
        <w:t>买服务和内部绩效方案，结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合全生命周期考量和雨污协同，可显著提升系统效率。政府应优先试点，推动政策落地，实现可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4"/>
        </w:rPr>
        <w:t>持续水务管理。</w:t>
      </w:r>
    </w:p>
    <w:p>
      <w:pPr>
        <w:spacing w:line="334" w:lineRule="auto"/>
        <w:sectPr>
          <w:pgSz w:w="12240" w:h="15840"/>
          <w:pgMar w:top="1200" w:right="1114" w:bottom="0" w:left="970" w:header="0" w:footer="0" w:gutter="0"/>
        </w:sectPr>
        <w:rPr>
          <w:sz w:val="23"/>
          <w:szCs w:val="23"/>
        </w:rPr>
      </w:pPr>
    </w:p>
    <w:p>
      <w:pPr>
        <w:pStyle w:val="BodyText"/>
        <w:spacing w:before="46" w:line="22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关键引用：</w:t>
      </w:r>
    </w:p>
    <w:p>
      <w:pPr>
        <w:pStyle w:val="BodyText"/>
        <w:ind w:left="346"/>
        <w:spacing w:before="239" w:line="21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·</w:t>
      </w:r>
      <w:r>
        <w:rPr>
          <w:sz w:val="23"/>
          <w:szCs w:val="23"/>
          <w:spacing w:val="-60"/>
        </w:rPr>
        <w:t xml:space="preserve"> </w:t>
      </w:r>
      <w:r>
        <w:rPr>
          <w:sz w:val="23"/>
          <w:szCs w:val="23"/>
          <w:spacing w:val="-2"/>
        </w:rPr>
        <w:t>中国</w:t>
      </w:r>
      <w:r>
        <w:rPr>
          <w:rFonts w:ascii="Arial" w:hAnsi="Arial" w:eastAsia="Arial" w:cs="Arial"/>
          <w:sz w:val="23"/>
          <w:szCs w:val="23"/>
          <w:spacing w:val="-2"/>
        </w:rPr>
        <w:t>PPP</w:t>
      </w:r>
      <w:r>
        <w:rPr>
          <w:sz w:val="23"/>
          <w:szCs w:val="23"/>
          <w:spacing w:val="-2"/>
        </w:rPr>
        <w:t>污水治疗效果分析</w:t>
      </w:r>
      <w:r>
        <w:rPr>
          <w:sz w:val="23"/>
          <w:szCs w:val="23"/>
          <w:spacing w:val="-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"/>
        </w:rPr>
        <w:t>(PMC</w:t>
      </w:r>
      <w:r>
        <w:rPr>
          <w:rFonts w:ascii="Arial" w:hAnsi="Arial" w:eastAsia="Arial" w:cs="Arial"/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2"/>
        </w:rPr>
        <w:t>文章)。</w:t>
      </w:r>
    </w:p>
    <w:p>
      <w:pPr>
        <w:pStyle w:val="BodyText"/>
        <w:ind w:left="346"/>
        <w:spacing w:before="260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2"/>
        </w:rPr>
        <w:t>·WWT</w:t>
      </w:r>
      <w:r>
        <w:rPr>
          <w:rFonts w:ascii="SimSun" w:hAnsi="SimSun" w:eastAsia="SimSun" w:cs="SimSun"/>
          <w:sz w:val="28"/>
          <w:szCs w:val="28"/>
          <w:spacing w:val="25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22"/>
        </w:rPr>
        <w:t>LCC</w:t>
      </w:r>
      <w:r>
        <w:rPr>
          <w:sz w:val="28"/>
          <w:szCs w:val="28"/>
          <w:spacing w:val="-22"/>
        </w:rPr>
        <w:t>系统综述</w:t>
      </w:r>
      <w:r>
        <w:rPr>
          <w:sz w:val="28"/>
          <w:szCs w:val="28"/>
          <w:spacing w:val="-2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2"/>
        </w:rPr>
        <w:t>(ScienceDirect)。</w:t>
      </w:r>
    </w:p>
    <w:p>
      <w:pPr>
        <w:pStyle w:val="BodyText"/>
        <w:ind w:left="346"/>
        <w:spacing w:before="263" w:line="221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-6"/>
        </w:rPr>
        <w:t>·</w:t>
      </w:r>
      <w:r>
        <w:rPr>
          <w:sz w:val="23"/>
          <w:szCs w:val="23"/>
          <w:spacing w:val="-80"/>
        </w:rPr>
        <w:t xml:space="preserve"> </w:t>
      </w:r>
      <w:r>
        <w:rPr>
          <w:sz w:val="23"/>
          <w:szCs w:val="23"/>
          <w:spacing w:val="-6"/>
        </w:rPr>
        <w:t>分散水系统分析</w:t>
      </w:r>
      <w:r>
        <w:rPr>
          <w:sz w:val="23"/>
          <w:szCs w:val="23"/>
          <w:spacing w:val="-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(Nature)。</w:t>
      </w:r>
    </w:p>
    <w:p>
      <w:pPr>
        <w:pStyle w:val="BodyText"/>
        <w:ind w:left="346"/>
        <w:spacing w:before="257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</w:rPr>
        <w:t>EPA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9"/>
        </w:rPr>
        <w:t>成本会计指南(1998)。</w:t>
      </w:r>
    </w:p>
    <w:p>
      <w:pPr>
        <w:pStyle w:val="BodyText"/>
        <w:ind w:left="346"/>
        <w:spacing w:before="287" w:line="218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-5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-5"/>
        </w:rPr>
        <w:t>污水厂优化模型</w:t>
      </w:r>
      <w:r>
        <w:rPr>
          <w:sz w:val="23"/>
          <w:szCs w:val="23"/>
          <w:spacing w:val="-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(Heliyon)。</w:t>
      </w:r>
    </w:p>
    <w:sectPr>
      <w:pgSz w:w="12240" w:h="15840"/>
      <w:pgMar w:top="1180" w:right="1836" w:bottom="0" w:left="99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2026-03-15T23:57:10</vt:filetime>
  </property>
  <property fmtid="{D5CDD505-2E9C-101B-9397-08002B2CF9AE}" pid="4" name="UsrData">
    <vt:lpwstr>69b6d6d3259dfc001fa652eawl</vt:lpwstr>
  </property>
</Properties>
</file>