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"/>
        <w:spacing w:before="90" w:line="221" w:lineRule="auto"/>
        <w:outlineLvl w:val="0"/>
        <w:rPr>
          <w:sz w:val="45"/>
          <w:szCs w:val="45"/>
        </w:rPr>
      </w:pPr>
      <w:r>
        <w:rPr>
          <w:sz w:val="45"/>
          <w:szCs w:val="45"/>
          <w:b/>
          <w:bCs/>
          <w:spacing w:val="-7"/>
        </w:rPr>
        <w:t>市政水务管理体系革新战略纲要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3"/>
        </w:rPr>
        <w:t>摘要</w:t>
      </w:r>
    </w:p>
    <w:p>
      <w:pPr>
        <w:pStyle w:val="BodyText"/>
        <w:spacing w:before="194" w:line="213" w:lineRule="auto"/>
        <w:rPr/>
      </w:pPr>
      <w:r>
        <w:rPr/>
        <w:t>本纲要针对市政水务管理体系中核拨制效率不足的核心关切，提出一种高效、创新性的替代方</w:t>
      </w:r>
    </w:p>
    <w:p>
      <w:pPr>
        <w:pStyle w:val="BodyText"/>
        <w:ind w:right="52"/>
        <w:spacing w:before="145" w:line="320" w:lineRule="auto"/>
        <w:rPr/>
      </w:pPr>
      <w:r>
        <w:rPr/>
        <w:t>案。该方案基于整合水资源管理</w:t>
      </w:r>
      <w:r>
        <w:rPr/>
        <w:t xml:space="preserve"> </w:t>
      </w:r>
      <w:r>
        <w:rPr>
          <w:rFonts w:ascii="SimSun" w:hAnsi="SimSun" w:eastAsia="SimSun" w:cs="SimSun"/>
        </w:rPr>
        <w:t>(IWRM)</w:t>
      </w:r>
      <w:r>
        <w:rPr>
          <w:rFonts w:ascii="SimSun" w:hAnsi="SimSun" w:eastAsia="SimSun" w:cs="SimSun"/>
          <w:spacing w:val="55"/>
        </w:rPr>
        <w:t xml:space="preserve">  </w:t>
      </w:r>
      <w:r>
        <w:rPr/>
        <w:t>和基于绩效的合同</w:t>
      </w:r>
      <w:r>
        <w:rPr/>
        <w:t xml:space="preserve"> </w:t>
      </w:r>
      <w:r>
        <w:rPr>
          <w:rFonts w:ascii="SimSun" w:hAnsi="SimSun" w:eastAsia="SimSun" w:cs="SimSun"/>
        </w:rPr>
        <w:t>(PBC)  </w:t>
      </w:r>
      <w:r>
        <w:rPr/>
        <w:t>等前沿框架，旨在提升系</w:t>
      </w:r>
      <w:r>
        <w:rPr>
          <w:spacing w:val="1"/>
        </w:rPr>
        <w:t xml:space="preserve"> </w:t>
      </w:r>
      <w:r>
        <w:rPr/>
        <w:t>统的韧性、效率与可持续性。一般而言，在气候变化和城市化加速的背景下</w:t>
      </w:r>
      <w:r>
        <w:rPr>
          <w:spacing w:val="-1"/>
        </w:rPr>
        <w:t>，此类改革有必要探</w:t>
      </w:r>
      <w:r>
        <w:rPr/>
        <w:t xml:space="preserve"> </w:t>
      </w:r>
      <w:r>
        <w:rPr>
          <w:spacing w:val="1"/>
        </w:rPr>
        <w:t>讨多维协同机制，以实现全生命周期成本</w:t>
      </w:r>
      <w:r>
        <w:rPr>
          <w:spacing w:val="1"/>
        </w:rPr>
        <w:t xml:space="preserve"> </w:t>
      </w:r>
      <w:r>
        <w:rPr>
          <w:rFonts w:ascii="Arial" w:hAnsi="Arial" w:eastAsia="Arial" w:cs="Arial"/>
        </w:rPr>
        <w:t>(LCC)   </w:t>
      </w:r>
      <w:r>
        <w:rPr/>
        <w:t>的优化。报告通过正反辩证分析，强调方案的</w:t>
      </w:r>
      <w:r>
        <w:rPr/>
        <w:t xml:space="preserve"> </w:t>
      </w:r>
      <w:r>
        <w:rPr>
          <w:spacing w:val="-1"/>
        </w:rPr>
        <w:t>潜在局限性，并延伸至更宏大的战略视野，如循环经济</w:t>
      </w:r>
      <w:r>
        <w:rPr>
          <w:spacing w:val="-2"/>
        </w:rPr>
        <w:t>和智慧城市建设。</w:t>
      </w:r>
    </w:p>
    <w:p>
      <w:pPr>
        <w:spacing w:line="46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引言：市政水务管理改革的全球背景与必要性</w:t>
      </w:r>
    </w:p>
    <w:p>
      <w:pPr>
        <w:pStyle w:val="BodyText"/>
        <w:spacing w:before="202" w:line="314" w:lineRule="auto"/>
        <w:jc w:val="both"/>
        <w:rPr/>
      </w:pPr>
      <w:r>
        <w:rPr/>
        <w:t>正如世界银行在其水务战略报告中所指出的，传统水务融资模式往往导致资源低效配置和财政不</w:t>
      </w:r>
      <w:r>
        <w:rPr>
          <w:spacing w:val="14"/>
        </w:rPr>
        <w:t xml:space="preserve"> </w:t>
      </w:r>
      <w:r>
        <w:rPr/>
        <w:t>可持续性，特别是依赖核拨制的系统面临高损失和低回收</w:t>
      </w:r>
      <w:r>
        <w:rPr>
          <w:spacing w:val="-1"/>
        </w:rPr>
        <w:t>率的问题。</w:t>
      </w:r>
      <w:r>
        <w:rPr>
          <w:spacing w:val="-70"/>
        </w:rPr>
        <w:t xml:space="preserve"> </w:t>
      </w:r>
      <w:r>
        <w:rPr>
          <w:rFonts w:ascii="SimSun" w:hAnsi="SimSun" w:eastAsia="SimSun" w:cs="SimSun"/>
          <w:spacing w:val="-1"/>
        </w:rPr>
        <w:t>OECD</w:t>
      </w:r>
      <w:r>
        <w:rPr>
          <w:rFonts w:ascii="SimSun" w:hAnsi="SimSun" w:eastAsia="SimSun" w:cs="SimSun"/>
          <w:spacing w:val="118"/>
        </w:rPr>
        <w:t xml:space="preserve"> </w:t>
      </w:r>
      <w:r>
        <w:rPr>
          <w:spacing w:val="-1"/>
        </w:rPr>
        <w:t>水治理原则进一步强</w:t>
      </w:r>
      <w:r>
        <w:rPr/>
        <w:t xml:space="preserve"> </w:t>
      </w:r>
      <w:r>
        <w:rPr/>
        <w:t>调，在某种程度上，高效水务管理需通过透明预算和绩效导向机制来实现，以桥接资金缺口并促</w:t>
      </w:r>
      <w:r>
        <w:rPr>
          <w:spacing w:val="12"/>
        </w:rPr>
        <w:t xml:space="preserve"> </w:t>
      </w:r>
      <w:r>
        <w:rPr>
          <w:spacing w:val="2"/>
        </w:rPr>
        <w:t>进多级合作。学界普遍认为，城市水务体系正面临气候变化加剧的</w:t>
      </w:r>
      <w:r>
        <w:rPr>
          <w:spacing w:val="1"/>
        </w:rPr>
        <w:t>挑战，需要从核拨制转向更具</w:t>
      </w:r>
      <w:r>
        <w:rPr/>
        <w:t xml:space="preserve"> </w:t>
      </w:r>
      <w:r>
        <w:rPr/>
        <w:t>创新性的模式，以适应联合国可持续发展目标</w:t>
      </w:r>
      <w:r>
        <w:rPr/>
        <w:t xml:space="preserve"> </w:t>
      </w:r>
      <w:r>
        <w:rPr>
          <w:rFonts w:ascii="SimSun" w:hAnsi="SimSun" w:eastAsia="SimSun" w:cs="SimSun"/>
        </w:rPr>
        <w:t>(SDGs)</w:t>
      </w:r>
      <w:r>
        <w:rPr>
          <w:rFonts w:ascii="SimSun" w:hAnsi="SimSun" w:eastAsia="SimSun" w:cs="SimSun"/>
          <w:spacing w:val="44"/>
        </w:rPr>
        <w:t xml:space="preserve">  </w:t>
      </w:r>
      <w:r>
        <w:rPr/>
        <w:t>的要求。本纲要围绕核拨制效率不足，</w:t>
      </w:r>
    </w:p>
    <w:p>
      <w:pPr>
        <w:pStyle w:val="BodyText"/>
        <w:spacing w:before="7" w:line="213" w:lineRule="auto"/>
        <w:rPr/>
      </w:pPr>
      <w:r>
        <w:rPr>
          <w:spacing w:val="-1"/>
        </w:rPr>
        <w:t>提出高效方案，并论及雨污系统协同理念，旨在为决策层</w:t>
      </w:r>
      <w:r>
        <w:rPr>
          <w:spacing w:val="-2"/>
        </w:rPr>
        <w:t>提供战略参考。</w:t>
      </w:r>
    </w:p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1.1水务管理改革的政策基础</w:t>
      </w:r>
    </w:p>
    <w:p>
      <w:pPr>
        <w:pStyle w:val="BodyText"/>
        <w:ind w:right="52"/>
        <w:spacing w:before="213" w:line="328" w:lineRule="auto"/>
        <w:rPr/>
      </w:pPr>
      <w:r>
        <w:rPr>
          <w:spacing w:val="1"/>
        </w:rPr>
        <w:t>基于特定假设，如城市化率持续上升，世界</w:t>
      </w:r>
      <w:r>
        <w:rPr/>
        <w:t>银行报告批评传统核拨制导致的补贴扭曲和投资碎片</w:t>
      </w:r>
      <w:r>
        <w:rPr/>
        <w:t xml:space="preserve"> </w:t>
      </w:r>
      <w:r>
        <w:rPr>
          <w:spacing w:val="1"/>
        </w:rPr>
        <w:t>化。</w:t>
      </w:r>
      <w:r>
        <w:rPr>
          <w:spacing w:val="-70"/>
        </w:rPr>
        <w:t xml:space="preserve"> </w:t>
      </w:r>
      <w:r>
        <w:rPr>
          <w:rFonts w:ascii="Arial" w:hAnsi="Arial" w:eastAsia="Arial" w:cs="Arial"/>
        </w:rPr>
        <w:t>OECD</w:t>
      </w:r>
      <w:r>
        <w:rPr>
          <w:spacing w:val="1"/>
        </w:rPr>
        <w:t>原则6指出，应当考虑透明的预算进程，以最小化行政负担并提升资源分配</w:t>
      </w:r>
      <w:r>
        <w:rPr/>
        <w:t>效率。</w:t>
      </w:r>
    </w:p>
    <w:p>
      <w:pPr>
        <w:pStyle w:val="BodyText"/>
        <w:ind w:left="3"/>
        <w:spacing w:before="194" w:line="221" w:lineRule="auto"/>
        <w:outlineLvl w:val="3"/>
        <w:rPr/>
      </w:pPr>
      <w:r>
        <w:rPr>
          <w:b/>
          <w:bCs/>
          <w:spacing w:val="-9"/>
        </w:rPr>
        <w:t>1.1.1全球水务挑战的文献综述</w:t>
      </w:r>
    </w:p>
    <w:p>
      <w:pPr>
        <w:pStyle w:val="BodyText"/>
        <w:ind w:right="99"/>
        <w:spacing w:before="227" w:line="335" w:lineRule="auto"/>
        <w:rPr/>
      </w:pPr>
      <w:r>
        <w:rPr/>
        <w:t>联合国水务报告显示，</w:t>
      </w:r>
      <w:r>
        <w:rPr>
          <w:rFonts w:ascii="SimSun" w:hAnsi="SimSun" w:eastAsia="SimSun" w:cs="SimSun"/>
        </w:rPr>
        <w:t>IWRM</w:t>
      </w:r>
      <w:r>
        <w:rPr>
          <w:rFonts w:ascii="SimSun" w:hAnsi="SimSun" w:eastAsia="SimSun" w:cs="SimSun"/>
          <w:spacing w:val="103"/>
        </w:rPr>
        <w:t xml:space="preserve"> </w:t>
      </w:r>
      <w:r>
        <w:rPr/>
        <w:t>在城市中的实施虽有进展，但传统系统往</w:t>
      </w:r>
      <w:r>
        <w:rPr>
          <w:spacing w:val="-1"/>
        </w:rPr>
        <w:t>往因部门孤岛和资金不足</w:t>
      </w:r>
      <w:r>
        <w:rPr/>
        <w:t xml:space="preserve"> </w:t>
      </w:r>
      <w:r>
        <w:rPr>
          <w:spacing w:val="-4"/>
        </w:rPr>
        <w:t>而滞后。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第一章：核拨制效率不足的诊断分析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00" w:right="59" w:hanging="500"/>
        <w:spacing w:before="79"/>
        <w:rPr/>
      </w:pPr>
      <w:r>
        <w:rPr/>
        <w:t>核拨制，作为传统公共财政分配模式，在水务领域一般而言提供稳定的资金支持，但其效率不足</w:t>
      </w:r>
      <w:r>
        <w:rPr>
          <w:spacing w:val="12"/>
        </w:rPr>
        <w:t xml:space="preserve"> </w:t>
      </w:r>
      <w:r>
        <w:rPr>
          <w:spacing w:val="-10"/>
        </w:rPr>
        <w:t>头</w:t>
      </w:r>
      <w:r>
        <w:rPr>
          <w:spacing w:val="-10"/>
        </w:rPr>
        <w:t xml:space="preserve"> </w:t>
      </w:r>
      <w:r>
        <w:rPr>
          <w:spacing w:val="-10"/>
        </w:rPr>
        <w:t>+</w:t>
      </w:r>
      <w:r>
        <w:rPr>
          <w:rFonts w:ascii="SimSun" w:hAnsi="SimSun" w:eastAsia="SimSun" w:cs="SimSun"/>
          <w:spacing w:val="-10"/>
        </w:rPr>
        <w:t>n</w:t>
      </w:r>
      <w:r>
        <w:rPr>
          <w:rFonts w:ascii="SimSun" w:hAnsi="SimSun" w:eastAsia="SimSun" w:cs="SimSun"/>
          <w:spacing w:val="3"/>
        </w:rPr>
        <w:t xml:space="preserve">     </w:t>
      </w:r>
      <w:r>
        <w:rPr>
          <w:spacing w:val="-10"/>
        </w:rPr>
        <w:t>加4田银二6</w:t>
      </w:r>
      <w:r>
        <w:rPr>
          <w:rFonts w:ascii="SimSun" w:hAnsi="SimSun" w:eastAsia="SimSun" w:cs="SimSun"/>
          <w:spacing w:val="-10"/>
        </w:rPr>
        <w:t>C+</w:t>
      </w:r>
      <w:r>
        <w:rPr>
          <w:spacing w:val="-10"/>
        </w:rPr>
        <w:t>山</w:t>
      </w:r>
      <w:r>
        <w:rPr>
          <w:spacing w:val="-10"/>
        </w:rPr>
        <w:t xml:space="preserve">      </w:t>
      </w:r>
      <w:r>
        <w:rPr>
          <w:spacing w:val="-10"/>
        </w:rPr>
        <w:t>法描一十尚已</w:t>
      </w:r>
      <w:r>
        <w:rPr>
          <w:spacing w:val="-10"/>
        </w:rPr>
        <w:t xml:space="preserve">   </w:t>
      </w:r>
      <w:r>
        <w:rPr>
          <w:spacing w:val="-11"/>
        </w:rPr>
        <w:t xml:space="preserve"> </w:t>
      </w:r>
      <w:r>
        <w:rPr>
          <w:spacing w:val="-11"/>
        </w:rPr>
        <w:t>十</w:t>
      </w:r>
      <w:r>
        <w:rPr>
          <w:spacing w:val="25"/>
        </w:rPr>
        <w:t xml:space="preserve"> </w:t>
      </w:r>
      <w:r>
        <w:rPr>
          <w:rFonts w:ascii="SimSun" w:hAnsi="SimSun" w:eastAsia="SimSun" w:cs="SimSun"/>
          <w:spacing w:val="-11"/>
        </w:rPr>
        <w:t>I </w:t>
      </w:r>
      <w:r>
        <w:rPr>
          <w:spacing w:val="-11"/>
        </w:rPr>
        <w:t>临玄低下</w:t>
      </w:r>
      <w:r>
        <w:rPr>
          <w:spacing w:val="-11"/>
        </w:rPr>
        <w:t xml:space="preserve"> </w:t>
      </w:r>
      <w:r>
        <w:rPr>
          <w:rFonts w:ascii="SimSun" w:hAnsi="SimSun" w:eastAsia="SimSun" w:cs="SimSun"/>
          <w:spacing w:val="-11"/>
        </w:rPr>
        <w:t>n</w:t>
      </w:r>
      <w:r>
        <w:rPr>
          <w:rFonts w:ascii="SimSun" w:hAnsi="SimSun" w:eastAsia="SimSun" w:cs="SimSun"/>
          <w:spacing w:val="54"/>
        </w:rPr>
        <w:t xml:space="preserve"> </w:t>
      </w:r>
      <w:r>
        <w:rPr>
          <w:rFonts w:ascii="SimSun" w:hAnsi="SimSun" w:eastAsia="SimSun" w:cs="SimSun"/>
          <w:spacing w:val="-11"/>
        </w:rPr>
        <w:t>I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1"/>
        </w:rPr>
        <w:t>临</w:t>
      </w:r>
      <w:r>
        <w:rPr>
          <w:spacing w:val="-11"/>
        </w:rPr>
        <w:t xml:space="preserve">  </w:t>
      </w:r>
      <w:r>
        <w:rPr>
          <w:spacing w:val="-11"/>
        </w:rPr>
        <w:t>-</w:t>
      </w:r>
      <w:r>
        <w:rPr>
          <w:rFonts w:ascii="SimSun" w:hAnsi="SimSun" w:eastAsia="SimSun" w:cs="SimSun"/>
          <w:spacing w:val="-11"/>
        </w:rPr>
        <w:t>L /AInIA  </w:t>
      </w:r>
      <w:r>
        <w:rPr>
          <w:spacing w:val="-11"/>
        </w:rPr>
        <w:t>吉人</w:t>
      </w:r>
    </w:p>
    <w:p>
      <w:pPr>
        <w:sectPr>
          <w:pgSz w:w="12240" w:h="15840"/>
          <w:pgMar w:top="1147" w:right="1107" w:bottom="0" w:left="980" w:header="0" w:footer="0" w:gutter="0"/>
        </w:sectPr>
        <w:rPr/>
      </w:pPr>
    </w:p>
    <w:p>
      <w:pPr>
        <w:pStyle w:val="BodyText"/>
        <w:spacing w:before="47" w:line="337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5"/>
        </w:rPr>
        <w:t>C   </w:t>
      </w:r>
      <w:r>
        <w:rPr>
          <w:sz w:val="23"/>
          <w:szCs w:val="23"/>
          <w:spacing w:val="5"/>
        </w:rPr>
        <w:t>为六识</w:t>
      </w:r>
      <w:r>
        <w:rPr>
          <w:rFonts w:ascii="SimSun" w:hAnsi="SimSun" w:eastAsia="SimSun" w:cs="SimSun"/>
          <w:sz w:val="23"/>
          <w:szCs w:val="23"/>
          <w:spacing w:val="5"/>
        </w:rPr>
        <w:t>o </w:t>
      </w:r>
      <w:r>
        <w:rPr>
          <w:sz w:val="23"/>
          <w:szCs w:val="23"/>
          <w:spacing w:val="5"/>
        </w:rPr>
        <w:t>止</w:t>
      </w:r>
      <w:r>
        <w:rPr>
          <w:sz w:val="23"/>
          <w:szCs w:val="23"/>
          <w:spacing w:val="31"/>
        </w:rPr>
        <w:t xml:space="preserve">  </w:t>
      </w:r>
      <w:r>
        <w:rPr>
          <w:sz w:val="23"/>
          <w:szCs w:val="23"/>
          <w:spacing w:val="5"/>
        </w:rPr>
        <w:t>世乔</w:t>
      </w:r>
      <w:r>
        <w:rPr>
          <w:sz w:val="23"/>
          <w:szCs w:val="23"/>
          <w:spacing w:val="5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5"/>
        </w:rPr>
        <w:t>1J</w:t>
      </w:r>
      <w:r>
        <w:rPr>
          <w:sz w:val="23"/>
          <w:szCs w:val="23"/>
          <w:spacing w:val="5"/>
        </w:rPr>
        <w:t>广拍工</w:t>
      </w:r>
      <w:r>
        <w:rPr>
          <w:rFonts w:ascii="SimSun" w:hAnsi="SimSun" w:eastAsia="SimSun" w:cs="SimSun"/>
          <w:sz w:val="23"/>
          <w:szCs w:val="23"/>
          <w:spacing w:val="5"/>
        </w:rPr>
        <w:t>y,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sz w:val="23"/>
          <w:szCs w:val="23"/>
          <w:spacing w:val="5"/>
        </w:rPr>
        <w:t>以娱工吊寸</w:t>
      </w:r>
      <w:r>
        <w:rPr>
          <w:sz w:val="23"/>
          <w:szCs w:val="23"/>
          <w:spacing w:val="5"/>
        </w:rPr>
        <w:t xml:space="preserve">    </w:t>
      </w:r>
      <w:r>
        <w:rPr>
          <w:sz w:val="23"/>
          <w:szCs w:val="23"/>
          <w:spacing w:val="5"/>
        </w:rPr>
        <w:t>平凹4</w:t>
      </w:r>
      <w:r>
        <w:rPr>
          <w:rFonts w:ascii="SimSun" w:hAnsi="SimSun" w:eastAsia="SimSun" w:cs="SimSun"/>
          <w:sz w:val="23"/>
          <w:szCs w:val="23"/>
          <w:spacing w:val="5"/>
        </w:rPr>
        <w:t>X</w:t>
      </w:r>
      <w:r>
        <w:rPr>
          <w:sz w:val="23"/>
          <w:szCs w:val="23"/>
          <w:spacing w:val="5"/>
        </w:rPr>
        <w:t>罕低下</w:t>
      </w:r>
      <w:r>
        <w:rPr>
          <w:sz w:val="23"/>
          <w:szCs w:val="23"/>
          <w:spacing w:val="10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3F4X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sz w:val="23"/>
          <w:szCs w:val="23"/>
          <w:spacing w:val="5"/>
        </w:rPr>
        <w:t>血小</w:t>
      </w:r>
      <w:r>
        <w:rPr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(</w:t>
      </w:r>
      <w:r>
        <w:rPr>
          <w:rFonts w:ascii="SimSun" w:hAnsi="SimSun" w:eastAsia="SimSun" w:cs="SimSun"/>
          <w:sz w:val="23"/>
          <w:szCs w:val="23"/>
        </w:rPr>
        <w:t>INKVV</w:t>
      </w:r>
      <w:r>
        <w:rPr>
          <w:rFonts w:ascii="SimSun" w:hAnsi="SimSun" w:eastAsia="SimSun" w:cs="SimSun"/>
          <w:sz w:val="23"/>
          <w:szCs w:val="23"/>
          <w:spacing w:val="5"/>
        </w:rPr>
        <w:t>) </w:t>
      </w:r>
      <w:r>
        <w:rPr>
          <w:sz w:val="23"/>
          <w:szCs w:val="23"/>
          <w:spacing w:val="5"/>
        </w:rPr>
        <w:t>向止。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需要指出的是，在城市背景下，此类不足可能放大气候风险和</w:t>
      </w:r>
      <w:r>
        <w:rPr>
          <w:sz w:val="23"/>
          <w:szCs w:val="23"/>
          <w:spacing w:val="8"/>
        </w:rPr>
        <w:t>资源浪费。</w:t>
      </w:r>
    </w:p>
    <w:p>
      <w:pPr>
        <w:pStyle w:val="BodyText"/>
        <w:ind w:left="4"/>
        <w:spacing w:before="331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1.1核拨制的核心特征与现状</w:t>
      </w:r>
    </w:p>
    <w:p>
      <w:pPr>
        <w:pStyle w:val="BodyText"/>
        <w:spacing w:before="223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核拨制依赖政府预算直接拨款，用于水务基础设施的建设、运营、维护、改造和应急响应。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-5"/>
        </w:rPr>
        <w:t>1.1.1成本构成分析</w:t>
      </w:r>
    </w:p>
    <w:p>
      <w:pPr>
        <w:pStyle w:val="BodyText"/>
        <w:spacing w:before="224" w:line="213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以下表格对比核拨制下典型成本分布(基于假设数据，单位：百万美元/年):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-10"/>
        </w:rPr>
        <w:t>成本类别</w:t>
      </w:r>
      <w:r>
        <w:rPr>
          <w:sz w:val="23"/>
          <w:szCs w:val="23"/>
          <w:spacing w:val="-10"/>
        </w:rPr>
        <w:t xml:space="preserve">  </w:t>
      </w:r>
      <w:r>
        <w:rPr>
          <w:sz w:val="23"/>
          <w:szCs w:val="23"/>
          <w:b/>
          <w:bCs/>
          <w:spacing w:val="-10"/>
        </w:rPr>
        <w:t>核拨制占比(</w:t>
      </w:r>
      <w:r>
        <w:rPr>
          <w:sz w:val="23"/>
          <w:szCs w:val="23"/>
          <w:spacing w:val="-10"/>
        </w:rPr>
        <w:t>%)</w:t>
      </w:r>
      <w:r>
        <w:rPr>
          <w:sz w:val="23"/>
          <w:szCs w:val="23"/>
          <w:spacing w:val="39"/>
        </w:rPr>
        <w:t xml:space="preserve">  </w:t>
      </w:r>
      <w:r>
        <w:rPr>
          <w:sz w:val="23"/>
          <w:szCs w:val="23"/>
          <w:b/>
          <w:bCs/>
          <w:spacing w:val="-10"/>
        </w:rPr>
        <w:t>典型值(假设)</w:t>
      </w:r>
      <w:r>
        <w:rPr>
          <w:sz w:val="23"/>
          <w:szCs w:val="23"/>
          <w:spacing w:val="41"/>
        </w:rPr>
        <w:t xml:space="preserve">  </w:t>
      </w:r>
      <w:r>
        <w:rPr>
          <w:sz w:val="23"/>
          <w:szCs w:val="23"/>
          <w:b/>
          <w:bCs/>
          <w:spacing w:val="-11"/>
        </w:rPr>
        <w:t>潜在问题</w:t>
      </w:r>
    </w:p>
    <w:p>
      <w:pPr>
        <w:pStyle w:val="BodyText"/>
        <w:spacing w:before="297" w:line="222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建设成本</w:t>
      </w:r>
      <w:r>
        <w:rPr>
          <w:sz w:val="23"/>
          <w:szCs w:val="23"/>
          <w:spacing w:val="1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40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200                                       </w:t>
      </w:r>
      <w:r>
        <w:rPr>
          <w:sz w:val="23"/>
          <w:szCs w:val="23"/>
          <w:spacing w:val="-6"/>
        </w:rPr>
        <w:t>资金碎片化，延误项目</w:t>
      </w:r>
    </w:p>
    <w:p>
      <w:pPr>
        <w:spacing w:line="57" w:lineRule="exact"/>
        <w:rPr/>
      </w:pPr>
      <w:r/>
    </w:p>
    <w:tbl>
      <w:tblPr>
        <w:tblStyle w:val="TableNormal"/>
        <w:tblW w:w="684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0"/>
        <w:gridCol w:w="1082"/>
        <w:gridCol w:w="1715"/>
        <w:gridCol w:w="3092"/>
      </w:tblGrid>
      <w:tr>
        <w:trPr>
          <w:trHeight w:val="608" w:hRule="atLeast"/>
        </w:trPr>
        <w:tc>
          <w:tcPr>
            <w:tcW w:w="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74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5"/>
              </w:rPr>
              <w:t>运营成本</w:t>
            </w:r>
          </w:p>
        </w:tc>
        <w:tc>
          <w:tcPr>
            <w:tcW w:w="10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9"/>
              <w:spacing w:before="273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4"/>
              </w:rPr>
              <w:t>30</w:t>
            </w:r>
          </w:p>
        </w:tc>
        <w:tc>
          <w:tcPr>
            <w:tcW w:w="17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747"/>
              <w:spacing w:before="4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5"/>
              </w:rPr>
              <w:t>150</w:t>
            </w:r>
          </w:p>
        </w:tc>
        <w:tc>
          <w:tcPr>
            <w:tcW w:w="3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52"/>
              <w:spacing w:before="262" w:line="213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1"/>
              </w:rPr>
              <w:t>效率低下，</w:t>
            </w:r>
            <w:r>
              <w:rPr>
                <w:rFonts w:ascii="SimSun" w:hAnsi="SimSun" w:eastAsia="SimSun" w:cs="SimSun"/>
                <w:sz w:val="23"/>
                <w:szCs w:val="23"/>
              </w:rPr>
              <w:t>NRW</w:t>
            </w:r>
            <w:r>
              <w:rPr>
                <w:rFonts w:ascii="SimSun" w:hAnsi="SimSun" w:eastAsia="SimSun" w:cs="SimSun"/>
                <w:sz w:val="23"/>
                <w:szCs w:val="23"/>
                <w:spacing w:val="43"/>
              </w:rPr>
              <w:t xml:space="preserve"> </w:t>
            </w:r>
            <w:r>
              <w:rPr>
                <w:rFonts w:ascii="SimHei" w:hAnsi="SimHei" w:eastAsia="SimHei" w:cs="SimHei"/>
                <w:sz w:val="23"/>
                <w:szCs w:val="23"/>
                <w:spacing w:val="1"/>
              </w:rPr>
              <w:t>达30%</w:t>
            </w:r>
          </w:p>
        </w:tc>
      </w:tr>
      <w:tr>
        <w:trPr>
          <w:trHeight w:val="603" w:hRule="atLeast"/>
        </w:trPr>
        <w:tc>
          <w:tcPr>
            <w:tcW w:w="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80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5"/>
              </w:rPr>
              <w:t>维护成本</w:t>
            </w:r>
          </w:p>
        </w:tc>
        <w:tc>
          <w:tcPr>
            <w:tcW w:w="10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9"/>
              <w:spacing w:before="279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>15</w:t>
            </w:r>
          </w:p>
        </w:tc>
        <w:tc>
          <w:tcPr>
            <w:tcW w:w="17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747"/>
              <w:spacing w:before="46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75</w:t>
            </w:r>
          </w:p>
        </w:tc>
        <w:tc>
          <w:tcPr>
            <w:tcW w:w="3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752"/>
              <w:spacing w:before="279" w:line="221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7"/>
              </w:rPr>
              <w:t>预防性维护不足</w:t>
            </w:r>
          </w:p>
        </w:tc>
      </w:tr>
      <w:tr>
        <w:trPr>
          <w:trHeight w:val="608" w:hRule="atLeast"/>
        </w:trPr>
        <w:tc>
          <w:tcPr>
            <w:tcW w:w="96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before="272" w:line="222" w:lineRule="auto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5"/>
              </w:rPr>
              <w:t>改造成本</w:t>
            </w:r>
          </w:p>
        </w:tc>
        <w:tc>
          <w:tcPr>
            <w:tcW w:w="108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29"/>
              <w:spacing w:before="271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-7"/>
              </w:rPr>
              <w:t>10</w:t>
            </w:r>
          </w:p>
        </w:tc>
        <w:tc>
          <w:tcPr>
            <w:tcW w:w="171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ind w:left="747"/>
              <w:spacing w:before="4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spacing w:val="-2"/>
              </w:rPr>
              <w:t>50</w:t>
            </w:r>
          </w:p>
        </w:tc>
        <w:tc>
          <w:tcPr>
            <w:tcW w:w="309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right="1"/>
              <w:spacing w:before="261" w:line="213" w:lineRule="auto"/>
              <w:jc w:val="right"/>
              <w:rPr>
                <w:rFonts w:ascii="SimHei" w:hAnsi="SimHei" w:eastAsia="SimHei" w:cs="SimHei"/>
                <w:sz w:val="23"/>
                <w:szCs w:val="23"/>
              </w:rPr>
            </w:pPr>
            <w:r>
              <w:rPr>
                <w:rFonts w:ascii="SimHei" w:hAnsi="SimHei" w:eastAsia="SimHei" w:cs="SimHei"/>
                <w:sz w:val="23"/>
                <w:szCs w:val="23"/>
                <w:spacing w:val="-19"/>
              </w:rPr>
              <w:t>适应性弱，忽略</w:t>
            </w:r>
            <w:r>
              <w:rPr>
                <w:rFonts w:ascii="SimHei" w:hAnsi="SimHei" w:eastAsia="SimHei" w:cs="SimHei"/>
                <w:sz w:val="23"/>
                <w:szCs w:val="23"/>
                <w:spacing w:val="-18"/>
              </w:rPr>
              <w:t>气候变</w:t>
            </w:r>
            <w:r>
              <w:rPr>
                <w:rFonts w:ascii="SimHei" w:hAnsi="SimHei" w:eastAsia="SimHei" w:cs="SimHei"/>
                <w:sz w:val="23"/>
                <w:szCs w:val="23"/>
                <w:spacing w:val="-11"/>
              </w:rPr>
              <w:t>化</w:t>
            </w:r>
          </w:p>
        </w:tc>
      </w:tr>
    </w:tbl>
    <w:p>
      <w:pPr>
        <w:pStyle w:val="BodyText"/>
        <w:spacing w:before="268" w:line="222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应急成本</w:t>
      </w:r>
      <w:r>
        <w:rPr>
          <w:sz w:val="23"/>
          <w:szCs w:val="23"/>
          <w:spacing w:val="9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5               </w:t>
      </w:r>
      <w:r>
        <w:rPr>
          <w:rFonts w:ascii="Times New Roman" w:hAnsi="Times New Roman" w:eastAsia="Times New Roman" w:cs="Times New Roman"/>
          <w:sz w:val="16"/>
          <w:szCs w:val="16"/>
          <w:spacing w:val="-6"/>
          <w:position w:val="-1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spacing w:val="-7"/>
          <w:position w:val="-1"/>
        </w:rPr>
        <w:t xml:space="preserve">                                          </w:t>
      </w:r>
      <w:r>
        <w:rPr>
          <w:sz w:val="23"/>
          <w:szCs w:val="23"/>
          <w:spacing w:val="-7"/>
        </w:rPr>
        <w:t>响应迟缓，灾害放大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2"/>
        </w:rPr>
        <w:t>1.1.2现状评估的流程图描述</w:t>
      </w:r>
    </w:p>
    <w:p>
      <w:pPr>
        <w:pStyle w:val="BodyText"/>
        <w:ind w:right="256"/>
        <w:spacing w:before="226" w:line="336" w:lineRule="auto"/>
        <w:rPr>
          <w:sz w:val="23"/>
          <w:szCs w:val="23"/>
        </w:rPr>
      </w:pPr>
      <w:r>
        <w:rPr>
          <w:sz w:val="23"/>
          <w:szCs w:val="23"/>
          <w:spacing w:val="12"/>
        </w:rPr>
        <w:t>水务管理流程可描述为：需求评估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12"/>
        </w:rPr>
        <w:t>→</w:t>
      </w:r>
      <w:r>
        <w:rPr>
          <w:sz w:val="23"/>
          <w:szCs w:val="23"/>
          <w:spacing w:val="-85"/>
        </w:rPr>
        <w:t xml:space="preserve"> </w:t>
      </w:r>
      <w:r>
        <w:rPr>
          <w:sz w:val="23"/>
          <w:szCs w:val="23"/>
          <w:spacing w:val="12"/>
        </w:rPr>
        <w:t>预算申请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12"/>
        </w:rPr>
        <w:t>→核拨执行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12"/>
        </w:rPr>
        <w:t>→监测反馈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12"/>
        </w:rPr>
        <w:t>→</w:t>
      </w:r>
      <w:r>
        <w:rPr>
          <w:sz w:val="23"/>
          <w:szCs w:val="23"/>
          <w:spacing w:val="-87"/>
        </w:rPr>
        <w:t xml:space="preserve"> </w:t>
      </w:r>
      <w:r>
        <w:rPr>
          <w:sz w:val="23"/>
          <w:szCs w:val="23"/>
          <w:spacing w:val="12"/>
        </w:rPr>
        <w:t>调整优化。在核拨制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下，反馈环节往往薄弱，导致循环不闭合。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1.2批判性评估：正反辩证讨论</w:t>
      </w:r>
    </w:p>
    <w:p>
      <w:pPr>
        <w:pStyle w:val="BodyText"/>
        <w:ind w:right="16"/>
        <w:spacing w:before="201" w:line="335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一方面，核拨制确保公共服务公平性；另一方面，其局限性在</w:t>
      </w:r>
      <w:r>
        <w:rPr>
          <w:sz w:val="23"/>
          <w:szCs w:val="23"/>
          <w:spacing w:val="10"/>
        </w:rPr>
        <w:t>于缺乏激励机制，易导致低效。正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3"/>
        </w:rPr>
        <w:t>如</w:t>
      </w:r>
      <w:r>
        <w:rPr>
          <w:rFonts w:ascii="Arial" w:hAnsi="Arial" w:eastAsia="Arial" w:cs="Arial"/>
          <w:sz w:val="23"/>
          <w:szCs w:val="23"/>
        </w:rPr>
        <w:t>OECD</w:t>
      </w:r>
      <w:r>
        <w:rPr>
          <w:rFonts w:ascii="Arial" w:hAnsi="Arial" w:eastAsia="Arial" w:cs="Arial"/>
          <w:sz w:val="23"/>
          <w:szCs w:val="23"/>
          <w:spacing w:val="-27"/>
        </w:rPr>
        <w:t xml:space="preserve"> </w:t>
      </w:r>
      <w:r>
        <w:rPr>
          <w:sz w:val="23"/>
          <w:szCs w:val="23"/>
          <w:spacing w:val="13"/>
        </w:rPr>
        <w:t>原则8所建议，有必要探讨绩效导向替代，以实现效率提升，但</w:t>
      </w:r>
      <w:r>
        <w:rPr>
          <w:sz w:val="23"/>
          <w:szCs w:val="23"/>
          <w:spacing w:val="12"/>
        </w:rPr>
        <w:t>需警惕私有化风险。在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某种程度上，该模式适用于财政充裕地区，但对发展中城市而言，值得进一步研</w:t>
      </w:r>
      <w:r>
        <w:rPr>
          <w:sz w:val="23"/>
          <w:szCs w:val="23"/>
          <w:spacing w:val="9"/>
        </w:rPr>
        <w:t>究其可持续性。</w:t>
      </w:r>
    </w:p>
    <w:p>
      <w:pPr>
        <w:pStyle w:val="BodyText"/>
        <w:ind w:left="3"/>
        <w:spacing w:before="244" w:line="221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1"/>
        </w:rPr>
        <w:t>1.2.1效率不足的具体表现</w:t>
      </w:r>
    </w:p>
    <w:p>
      <w:pPr>
        <w:pStyle w:val="BodyText"/>
        <w:spacing w:before="228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世界银行批评核拨制补贴未能激励绩效，导致融资缺口巨大。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1.2.2风险与适用条件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76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潜在风险包括财政负担加重和腐败隐患，适用条件限于稳定经济体。</w:t>
      </w:r>
    </w:p>
    <w:p>
      <w:pPr>
        <w:spacing w:line="213" w:lineRule="auto"/>
        <w:sectPr>
          <w:pgSz w:w="12240" w:h="15840"/>
          <w:pgMar w:top="857" w:right="113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65"/>
        <w:spacing w:before="72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第二章：高效方案的提出与设计</w:t>
      </w:r>
    </w:p>
    <w:p>
      <w:pPr>
        <w:pStyle w:val="BodyText"/>
        <w:ind w:right="488"/>
        <w:spacing w:before="230" w:line="33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为应对核拨制不足，本纲要提出“水务韧性-效率-可持续性三维模型”</w:t>
      </w:r>
      <w:r>
        <w:rPr>
          <w:rFonts w:ascii="SimSun" w:hAnsi="SimSun" w:eastAsia="SimSun" w:cs="SimSun"/>
          <w:sz w:val="23"/>
          <w:szCs w:val="23"/>
        </w:rPr>
        <w:t>RES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7"/>
        </w:rPr>
        <w:t>模型),整合</w:t>
      </w:r>
      <w:r>
        <w:rPr>
          <w:rFonts w:ascii="SimSun" w:hAnsi="SimSun" w:eastAsia="SimSun" w:cs="SimSun"/>
          <w:sz w:val="23"/>
          <w:szCs w:val="23"/>
        </w:rPr>
        <w:t>IWRM</w:t>
      </w:r>
      <w:r>
        <w:rPr>
          <w:rFonts w:ascii="SimSun" w:hAnsi="SimSun" w:eastAsia="SimSun" w:cs="SimSun"/>
          <w:sz w:val="23"/>
          <w:szCs w:val="23"/>
          <w:spacing w:val="7"/>
        </w:rPr>
        <w:t>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PBC</w:t>
      </w: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 xml:space="preserve"> </w:t>
      </w:r>
      <w:r>
        <w:rPr>
          <w:sz w:val="23"/>
          <w:szCs w:val="23"/>
          <w:spacing w:val="9"/>
        </w:rPr>
        <w:t>和智慧水务数字孪生。该方案创新性地强调雨污系统协同，旨在降低全生命周期成本。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2.1方案核心原则</w:t>
      </w:r>
    </w:p>
    <w:p>
      <w:pPr>
        <w:pStyle w:val="BodyText"/>
        <w:ind w:right="136"/>
        <w:spacing w:before="214" w:line="36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基于</w:t>
      </w:r>
      <w:r>
        <w:rPr>
          <w:rFonts w:ascii="SimSun" w:hAnsi="SimSun" w:eastAsia="SimSun" w:cs="SimSun"/>
          <w:sz w:val="23"/>
          <w:szCs w:val="23"/>
        </w:rPr>
        <w:t>OECD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8"/>
        </w:rPr>
        <w:t>水治理原则，方案强调效率导向融资和多级合作。联合国报告指出，</w:t>
      </w:r>
      <w:r>
        <w:rPr>
          <w:sz w:val="23"/>
          <w:szCs w:val="23"/>
          <w:spacing w:val="-2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IWRM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8"/>
        </w:rPr>
        <w:t>可加速城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"/>
        </w:rPr>
        <w:t>市转型。</w:t>
      </w:r>
    </w:p>
    <w:p>
      <w:pPr>
        <w:pStyle w:val="BodyText"/>
        <w:ind w:left="3"/>
        <w:spacing w:before="163" w:line="222" w:lineRule="auto"/>
        <w:outlineLvl w:val="4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2.1.1</w:t>
      </w:r>
      <w:r>
        <w:rPr>
          <w:rFonts w:ascii="SimSun" w:hAnsi="SimSun" w:eastAsia="SimSun" w:cs="SimSun"/>
          <w:sz w:val="23"/>
          <w:szCs w:val="23"/>
          <w:spacing w:val="1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</w:rPr>
        <w:t>IWRM</w:t>
      </w:r>
      <w:r>
        <w:rPr>
          <w:sz w:val="23"/>
          <w:szCs w:val="23"/>
          <w:b/>
          <w:bCs/>
          <w:spacing w:val="1"/>
        </w:rPr>
        <w:t>在城市中的应用</w:t>
      </w:r>
    </w:p>
    <w:p>
      <w:pPr>
        <w:pStyle w:val="BodyText"/>
        <w:spacing w:before="224" w:line="213" w:lineRule="auto"/>
        <w:rPr>
          <w:sz w:val="23"/>
          <w:szCs w:val="23"/>
        </w:rPr>
      </w:pPr>
      <w:r>
        <w:rPr>
          <w:sz w:val="23"/>
          <w:szCs w:val="23"/>
          <w:spacing w:val="6"/>
        </w:rPr>
        <w:t>学界普遍认为，</w:t>
      </w:r>
      <w:r>
        <w:rPr>
          <w:sz w:val="23"/>
          <w:szCs w:val="23"/>
          <w:spacing w:val="-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IWRM</w:t>
      </w:r>
      <w:r>
        <w:rPr>
          <w:rFonts w:ascii="Times New Roman" w:hAnsi="Times New Roman" w:eastAsia="Times New Roman" w:cs="Times New Roman"/>
          <w:sz w:val="23"/>
          <w:szCs w:val="23"/>
          <w:spacing w:val="-23"/>
        </w:rPr>
        <w:t xml:space="preserve"> </w:t>
      </w:r>
      <w:r>
        <w:rPr>
          <w:sz w:val="23"/>
          <w:szCs w:val="23"/>
          <w:spacing w:val="6"/>
        </w:rPr>
        <w:t>促进跨部门协同，如雨污系统整合。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3" w:lineRule="auto"/>
        <w:outlineLvl w:val="4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2.1.2</w:t>
      </w:r>
      <w:r>
        <w:rPr>
          <w:rFonts w:ascii="SimSun" w:hAnsi="SimSun" w:eastAsia="SimSun" w:cs="SimSun"/>
          <w:sz w:val="23"/>
          <w:szCs w:val="23"/>
          <w:spacing w:val="80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PBC</w:t>
      </w:r>
      <w:r>
        <w:rPr>
          <w:sz w:val="23"/>
          <w:szCs w:val="23"/>
          <w:b/>
          <w:bCs/>
          <w:spacing w:val="-1"/>
        </w:rPr>
        <w:t>与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PPP</w:t>
      </w:r>
      <w:r>
        <w:rPr>
          <w:rFonts w:ascii="SimSun" w:hAnsi="SimSun" w:eastAsia="SimSun" w:cs="SimSun"/>
          <w:sz w:val="23"/>
          <w:szCs w:val="23"/>
          <w:spacing w:val="26"/>
        </w:rPr>
        <w:t xml:space="preserve"> </w:t>
      </w:r>
      <w:r>
        <w:rPr>
          <w:sz w:val="23"/>
          <w:szCs w:val="23"/>
          <w:b/>
          <w:bCs/>
          <w:spacing w:val="-1"/>
        </w:rPr>
        <w:t>的融入</w:t>
      </w:r>
    </w:p>
    <w:p>
      <w:pPr>
        <w:pStyle w:val="BodyText"/>
        <w:spacing w:before="232" w:line="221" w:lineRule="auto"/>
        <w:rPr>
          <w:sz w:val="23"/>
          <w:szCs w:val="23"/>
        </w:rPr>
      </w:pPr>
      <w:r>
        <w:rPr>
          <w:rFonts w:ascii="Arial" w:hAnsi="Arial" w:eastAsia="Arial" w:cs="Arial"/>
          <w:sz w:val="23"/>
          <w:szCs w:val="23"/>
        </w:rPr>
        <w:t>OECD</w:t>
      </w:r>
      <w:r>
        <w:rPr>
          <w:rFonts w:ascii="Arial" w:hAnsi="Arial" w:eastAsia="Arial" w:cs="Arial"/>
          <w:sz w:val="23"/>
          <w:szCs w:val="23"/>
          <w:spacing w:val="-14"/>
        </w:rPr>
        <w:t xml:space="preserve"> </w:t>
      </w:r>
      <w:r>
        <w:rPr>
          <w:sz w:val="23"/>
          <w:szCs w:val="23"/>
          <w:spacing w:val="11"/>
        </w:rPr>
        <w:t>建议采用</w:t>
      </w:r>
      <w:r>
        <w:rPr>
          <w:rFonts w:ascii="Arial" w:hAnsi="Arial" w:eastAsia="Arial" w:cs="Arial"/>
          <w:sz w:val="23"/>
          <w:szCs w:val="23"/>
        </w:rPr>
        <w:t>PBC</w:t>
      </w:r>
      <w:r>
        <w:rPr>
          <w:sz w:val="23"/>
          <w:szCs w:val="23"/>
          <w:spacing w:val="11"/>
        </w:rPr>
        <w:t>以实现效率获益。世界银行推广</w:t>
      </w:r>
      <w:r>
        <w:rPr>
          <w:rFonts w:ascii="Arial" w:hAnsi="Arial" w:eastAsia="Arial" w:cs="Arial"/>
          <w:sz w:val="23"/>
          <w:szCs w:val="23"/>
        </w:rPr>
        <w:t>PPP</w:t>
      </w:r>
      <w:r>
        <w:rPr>
          <w:sz w:val="23"/>
          <w:szCs w:val="23"/>
          <w:spacing w:val="11"/>
        </w:rPr>
        <w:t>以桥接私营创新。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2.2创新概念：</w:t>
      </w:r>
      <w:r>
        <w:rPr>
          <w:rFonts w:ascii="Arial" w:hAnsi="Arial" w:eastAsia="Arial" w:cs="Arial"/>
          <w:sz w:val="30"/>
          <w:szCs w:val="30"/>
          <w:b/>
          <w:bCs/>
        </w:rPr>
        <w:t>RES</w:t>
      </w:r>
      <w:r>
        <w:rPr>
          <w:sz w:val="30"/>
          <w:szCs w:val="30"/>
          <w:b/>
          <w:bCs/>
        </w:rPr>
        <w:t>三维模型</w:t>
      </w:r>
    </w:p>
    <w:p>
      <w:pPr>
        <w:pStyle w:val="BodyText"/>
        <w:spacing w:before="224" w:line="346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RES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 xml:space="preserve"> </w:t>
      </w:r>
      <w:r>
        <w:rPr>
          <w:sz w:val="23"/>
          <w:szCs w:val="23"/>
          <w:spacing w:val="18"/>
        </w:rPr>
        <w:t>模型定义为：韧性(应对灾害)、效率(资源优化)、可持续性(循环利用)。框图描述：韧性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轴(应急响应)</w:t>
      </w:r>
      <w:r>
        <w:rPr>
          <w:sz w:val="23"/>
          <w:szCs w:val="23"/>
          <w:spacing w:val="-69"/>
        </w:rPr>
        <w:t xml:space="preserve"> </w:t>
      </w:r>
      <w:r>
        <w:rPr>
          <w:sz w:val="23"/>
          <w:szCs w:val="23"/>
          <w:spacing w:val="7"/>
        </w:rPr>
        <w:t>→</w:t>
      </w:r>
      <w:r>
        <w:rPr>
          <w:sz w:val="23"/>
          <w:szCs w:val="23"/>
          <w:spacing w:val="-75"/>
        </w:rPr>
        <w:t xml:space="preserve"> </w:t>
      </w:r>
      <w:r>
        <w:rPr>
          <w:sz w:val="23"/>
          <w:szCs w:val="23"/>
          <w:spacing w:val="7"/>
        </w:rPr>
        <w:t>效率轴</w:t>
      </w:r>
      <w:r>
        <w:rPr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7"/>
        </w:rPr>
        <w:t>(</w:t>
      </w:r>
      <w:r>
        <w:rPr>
          <w:rFonts w:ascii="SimSun" w:hAnsi="SimSun" w:eastAsia="SimSun" w:cs="SimSun"/>
          <w:sz w:val="23"/>
          <w:szCs w:val="23"/>
        </w:rPr>
        <w:t>LCC</w:t>
      </w:r>
      <w:r>
        <w:rPr>
          <w:rFonts w:ascii="SimSun" w:hAnsi="SimSun" w:eastAsia="SimSun" w:cs="SimSun"/>
          <w:sz w:val="23"/>
          <w:szCs w:val="23"/>
          <w:spacing w:val="74"/>
        </w:rPr>
        <w:t xml:space="preserve"> </w:t>
      </w:r>
      <w:r>
        <w:rPr>
          <w:sz w:val="23"/>
          <w:szCs w:val="23"/>
          <w:spacing w:val="7"/>
        </w:rPr>
        <w:t>核算)</w:t>
      </w:r>
      <w:r>
        <w:rPr>
          <w:sz w:val="23"/>
          <w:szCs w:val="23"/>
          <w:spacing w:val="-79"/>
        </w:rPr>
        <w:t xml:space="preserve"> </w:t>
      </w:r>
      <w:r>
        <w:rPr>
          <w:sz w:val="23"/>
          <w:szCs w:val="23"/>
          <w:spacing w:val="7"/>
        </w:rPr>
        <w:t>→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spacing w:val="7"/>
        </w:rPr>
        <w:t>可持续</w:t>
      </w:r>
      <w:r>
        <w:rPr>
          <w:sz w:val="23"/>
          <w:szCs w:val="23"/>
          <w:spacing w:val="6"/>
        </w:rPr>
        <w:t>性轴</w:t>
      </w:r>
      <w:r>
        <w:rPr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(</w:t>
      </w:r>
      <w:r>
        <w:rPr>
          <w:rFonts w:ascii="SimSun" w:hAnsi="SimSun" w:eastAsia="SimSun" w:cs="SimSun"/>
          <w:sz w:val="23"/>
          <w:szCs w:val="23"/>
        </w:rPr>
        <w:t>BGI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sz w:val="23"/>
          <w:szCs w:val="23"/>
          <w:spacing w:val="6"/>
        </w:rPr>
        <w:t>整合)。</w:t>
      </w:r>
    </w:p>
    <w:p>
      <w:pPr>
        <w:pStyle w:val="BodyText"/>
        <w:ind w:left="3"/>
        <w:spacing w:before="195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4"/>
        </w:rPr>
        <w:t>2.2.1模型组件详解</w:t>
      </w:r>
    </w:p>
    <w:p>
      <w:pPr>
        <w:pStyle w:val="BodyText"/>
        <w:spacing w:before="236" w:line="221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韧性组件包括数字孪生模拟。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11"/>
        </w:rPr>
        <w:t>2.2.2雨污系统协同理念</w:t>
      </w:r>
    </w:p>
    <w:p>
      <w:pPr>
        <w:pStyle w:val="BodyText"/>
        <w:ind w:right="28"/>
        <w:spacing w:before="219" w:line="35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方案论及雨水与污水协同，通过</w:t>
      </w:r>
      <w:r>
        <w:rPr>
          <w:rFonts w:ascii="SimSun" w:hAnsi="SimSun" w:eastAsia="SimSun" w:cs="SimSun"/>
          <w:sz w:val="23"/>
          <w:szCs w:val="23"/>
        </w:rPr>
        <w:t>BGI</w:t>
      </w:r>
      <w:r>
        <w:rPr>
          <w:sz w:val="23"/>
          <w:szCs w:val="23"/>
          <w:spacing w:val="7"/>
        </w:rPr>
        <w:t>如生物滞留池</w:t>
      </w:r>
      <w:r>
        <w:rPr>
          <w:sz w:val="23"/>
          <w:szCs w:val="23"/>
          <w:spacing w:val="6"/>
        </w:rPr>
        <w:t>，实现渗透与再利用。</w:t>
      </w:r>
      <w:r>
        <w:rPr>
          <w:sz w:val="23"/>
          <w:szCs w:val="23"/>
          <w:spacing w:val="6"/>
        </w:rPr>
        <w:t xml:space="preserve">  </w:t>
      </w:r>
      <w:r>
        <w:rPr>
          <w:sz w:val="23"/>
          <w:szCs w:val="23"/>
          <w:spacing w:val="6"/>
        </w:rPr>
        <w:t>正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spacing w:val="6"/>
        </w:rPr>
        <w:t>如</w:t>
      </w:r>
      <w:r>
        <w:rPr>
          <w:rFonts w:ascii="SimSun" w:hAnsi="SimSun" w:eastAsia="SimSun" w:cs="SimSun"/>
          <w:sz w:val="23"/>
          <w:szCs w:val="23"/>
        </w:rPr>
        <w:t>Nature</w:t>
      </w:r>
      <w:r>
        <w:rPr>
          <w:rFonts w:ascii="SimSun" w:hAnsi="SimSun" w:eastAsia="SimSun" w:cs="SimSun"/>
          <w:sz w:val="23"/>
          <w:szCs w:val="23"/>
          <w:spacing w:val="-34"/>
        </w:rPr>
        <w:t xml:space="preserve"> </w:t>
      </w:r>
      <w:r>
        <w:rPr>
          <w:sz w:val="23"/>
          <w:szCs w:val="23"/>
          <w:spacing w:val="6"/>
        </w:rPr>
        <w:t>文章所述，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8"/>
        </w:rPr>
        <w:t>去中心化系统可回收80%水资源。</w:t>
      </w:r>
    </w:p>
    <w:p>
      <w:pPr>
        <w:pStyle w:val="BodyText"/>
        <w:ind w:left="4"/>
        <w:spacing w:before="315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4"/>
        </w:rPr>
        <w:t>2.3方案设计与成本优化</w:t>
      </w:r>
    </w:p>
    <w:p>
      <w:pPr>
        <w:pStyle w:val="BodyText"/>
        <w:ind w:right="95"/>
        <w:spacing w:before="204" w:line="36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方案采用</w:t>
      </w:r>
      <w:r>
        <w:rPr>
          <w:rFonts w:ascii="Arial" w:hAnsi="Arial" w:eastAsia="Arial" w:cs="Arial"/>
          <w:sz w:val="23"/>
          <w:szCs w:val="23"/>
        </w:rPr>
        <w:t>PBC</w:t>
      </w:r>
      <w:r>
        <w:rPr>
          <w:rFonts w:ascii="Arial" w:hAnsi="Arial" w:eastAsia="Arial" w:cs="Arial"/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10"/>
        </w:rPr>
        <w:t>框架，覆盖建设、运营、维护、改造、应急成本。通过数字孪生优化运营，如</w:t>
      </w:r>
      <w:r>
        <w:rPr>
          <w:sz w:val="23"/>
          <w:szCs w:val="23"/>
          <w:spacing w:val="9"/>
        </w:rPr>
        <w:t>实时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泄漏检测。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2.3.1对比表格：核拨制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vs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5"/>
          <w:w w:val="101"/>
        </w:rPr>
        <w:t xml:space="preserve">  </w:t>
      </w:r>
      <w:r>
        <w:rPr>
          <w:sz w:val="23"/>
          <w:szCs w:val="23"/>
          <w:b/>
          <w:bCs/>
          <w:spacing w:val="6"/>
        </w:rPr>
        <w:t>高效方案</w:t>
      </w:r>
    </w:p>
    <w:p>
      <w:pPr>
        <w:spacing w:before="57"/>
        <w:rPr/>
      </w:pPr>
      <w:r/>
    </w:p>
    <w:tbl>
      <w:tblPr>
        <w:tblStyle w:val="TableNormal"/>
        <w:tblW w:w="746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80"/>
        <w:gridCol w:w="1970"/>
        <w:gridCol w:w="2223"/>
        <w:gridCol w:w="2296"/>
      </w:tblGrid>
      <w:tr>
        <w:trPr>
          <w:trHeight w:val="405" w:hRule="atLeast"/>
        </w:trPr>
        <w:tc>
          <w:tcPr>
            <w:tcW w:w="980" w:type="dxa"/>
            <w:vAlign w:val="top"/>
          </w:tcPr>
          <w:p>
            <w:pPr>
              <w:pStyle w:val="TableText"/>
              <w:spacing w:line="221" w:lineRule="auto"/>
              <w:rPr/>
            </w:pPr>
            <w:r>
              <w:rPr>
                <w:spacing w:val="-8"/>
              </w:rPr>
              <w:t>维度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560"/>
              <w:spacing w:line="221" w:lineRule="auto"/>
              <w:rPr/>
            </w:pPr>
            <w:r>
              <w:rPr>
                <w:spacing w:val="-8"/>
              </w:rPr>
              <w:t>核拨制</w:t>
            </w:r>
          </w:p>
        </w:tc>
        <w:tc>
          <w:tcPr>
            <w:tcW w:w="2223" w:type="dxa"/>
            <w:vAlign w:val="top"/>
          </w:tcPr>
          <w:p>
            <w:pPr>
              <w:pStyle w:val="TableText"/>
              <w:ind w:left="159"/>
              <w:spacing w:before="1" w:line="220" w:lineRule="auto"/>
              <w:rPr>
                <w:rFonts w:ascii="SimSun" w:hAnsi="SimSun" w:eastAsia="SimSun" w:cs="SimSun"/>
              </w:rPr>
            </w:pPr>
            <w:r>
              <w:rPr>
                <w:spacing w:val="-7"/>
              </w:rPr>
              <w:t>高效方案</w:t>
            </w:r>
            <w:r>
              <w:rPr>
                <w:rFonts w:ascii="SimSun" w:hAnsi="SimSun" w:eastAsia="SimSun" w:cs="SimSun"/>
                <w:spacing w:val="-7"/>
              </w:rPr>
              <w:t>(RES+PBC)</w:t>
            </w:r>
          </w:p>
        </w:tc>
        <w:tc>
          <w:tcPr>
            <w:tcW w:w="2296" w:type="dxa"/>
            <w:vAlign w:val="top"/>
          </w:tcPr>
          <w:p>
            <w:pPr>
              <w:pStyle w:val="TableText"/>
              <w:ind w:left="196"/>
              <w:spacing w:line="223" w:lineRule="auto"/>
              <w:rPr/>
            </w:pPr>
            <w:r>
              <w:rPr>
                <w:spacing w:val="-14"/>
              </w:rPr>
              <w:t>优势/局限</w:t>
            </w:r>
          </w:p>
        </w:tc>
      </w:tr>
      <w:tr>
        <w:trPr>
          <w:trHeight w:val="417" w:hRule="atLeast"/>
        </w:trPr>
        <w:tc>
          <w:tcPr>
            <w:tcW w:w="980" w:type="dxa"/>
            <w:vAlign w:val="top"/>
          </w:tcPr>
          <w:p>
            <w:pPr>
              <w:pStyle w:val="TableText"/>
              <w:spacing w:before="171" w:line="189" w:lineRule="auto"/>
              <w:rPr/>
            </w:pPr>
            <w:r>
              <w:rPr>
                <w:spacing w:val="-8"/>
              </w:rPr>
              <w:t>效率</w:t>
            </w:r>
          </w:p>
        </w:tc>
        <w:tc>
          <w:tcPr>
            <w:tcW w:w="1970" w:type="dxa"/>
            <w:vAlign w:val="top"/>
          </w:tcPr>
          <w:p>
            <w:pPr>
              <w:pStyle w:val="TableText"/>
              <w:ind w:left="550"/>
              <w:spacing w:before="171" w:line="189" w:lineRule="auto"/>
              <w:rPr/>
            </w:pPr>
            <w:r>
              <w:rPr>
                <w:spacing w:val="-5"/>
              </w:rPr>
              <w:t>低</w:t>
            </w:r>
            <w:r>
              <w:rPr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pacing w:val="-5"/>
              </w:rPr>
              <w:t>(NRW</w:t>
            </w:r>
            <w:r>
              <w:rPr>
                <w:spacing w:val="-5"/>
              </w:rPr>
              <w:t>高)</w:t>
            </w:r>
          </w:p>
        </w:tc>
        <w:tc>
          <w:tcPr>
            <w:tcW w:w="2223" w:type="dxa"/>
            <w:vAlign w:val="top"/>
          </w:tcPr>
          <w:p>
            <w:pPr>
              <w:pStyle w:val="TableText"/>
              <w:ind w:left="159"/>
              <w:spacing w:before="171" w:line="189" w:lineRule="auto"/>
              <w:rPr/>
            </w:pPr>
            <w:r>
              <w:rPr>
                <w:spacing w:val="18"/>
              </w:rPr>
              <w:t>高(回收率90%)</w:t>
            </w:r>
          </w:p>
        </w:tc>
        <w:tc>
          <w:tcPr>
            <w:tcW w:w="2296" w:type="dxa"/>
            <w:vAlign w:val="top"/>
          </w:tcPr>
          <w:p>
            <w:pPr>
              <w:pStyle w:val="TableText"/>
              <w:spacing w:before="171" w:line="189" w:lineRule="auto"/>
              <w:jc w:val="right"/>
              <w:rPr/>
            </w:pPr>
            <w:r>
              <w:rPr>
                <w:spacing w:val="-23"/>
              </w:rPr>
              <w:t>激励</w:t>
            </w:r>
            <w:r>
              <w:rPr>
                <w:spacing w:val="-22"/>
              </w:rPr>
              <w:t>机制强，但需监</w:t>
            </w:r>
            <w:r>
              <w:rPr>
                <w:spacing w:val="-10"/>
              </w:rPr>
              <w:t>管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913" w:right="1066" w:bottom="0" w:left="97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0"/>
        <w:spacing w:before="51" w:line="222" w:lineRule="auto"/>
        <w:rPr>
          <w:sz w:val="23"/>
          <w:szCs w:val="23"/>
        </w:rPr>
      </w:pPr>
      <w:r>
        <w:rPr>
          <w:sz w:val="23"/>
          <w:szCs w:val="23"/>
          <w:u w:val="single" w:color="auto"/>
          <w:spacing w:val="-6"/>
          <w:position w:val="2"/>
        </w:rPr>
        <w:t>成本</w:t>
      </w:r>
      <w:r>
        <w:rPr>
          <w:sz w:val="23"/>
          <w:szCs w:val="23"/>
          <w:u w:val="single" w:color="auto"/>
          <w:spacing w:val="-28"/>
          <w:position w:val="2"/>
        </w:rPr>
        <w:t xml:space="preserve"> </w:t>
      </w:r>
      <w:r>
        <w:rPr>
          <w:rFonts w:ascii="Arial" w:hAnsi="Arial" w:eastAsia="Arial" w:cs="Arial"/>
          <w:sz w:val="23"/>
          <w:szCs w:val="23"/>
          <w:u w:val="single" w:color="auto"/>
          <w:spacing w:val="-6"/>
          <w:position w:val="2"/>
        </w:rPr>
        <w:t>(LCC)     </w:t>
      </w:r>
      <w:r>
        <w:rPr>
          <w:sz w:val="23"/>
          <w:szCs w:val="23"/>
          <w:u w:val="single" w:color="auto"/>
          <w:spacing w:val="-6"/>
          <w:position w:val="2"/>
        </w:rPr>
        <w:t>高(碎片化)</w:t>
      </w:r>
      <w:r>
        <w:rPr>
          <w:sz w:val="23"/>
          <w:szCs w:val="23"/>
          <w:u w:val="single" w:color="auto"/>
          <w:spacing w:val="-6"/>
          <w:position w:val="2"/>
        </w:rPr>
        <w:t xml:space="preserve">  </w:t>
      </w:r>
      <w:r>
        <w:rPr>
          <w:sz w:val="21"/>
          <w:szCs w:val="21"/>
          <w:u w:val="single" w:color="auto"/>
          <w:spacing w:val="-6"/>
        </w:rPr>
        <w:t>低</w:t>
      </w:r>
      <w:r>
        <w:rPr>
          <w:sz w:val="21"/>
          <w:szCs w:val="21"/>
          <w:u w:val="single" w:color="auto"/>
          <w:spacing w:val="19"/>
        </w:rPr>
        <w:t xml:space="preserve"> </w:t>
      </w:r>
      <w:r>
        <w:rPr>
          <w:sz w:val="21"/>
          <w:szCs w:val="21"/>
          <w:u w:val="single" w:color="auto"/>
          <w:spacing w:val="-6"/>
        </w:rPr>
        <w:t>(</w:t>
      </w:r>
      <w:r>
        <w:rPr>
          <w:sz w:val="21"/>
          <w:szCs w:val="21"/>
          <w:u w:val="single" w:color="auto"/>
          <w:spacing w:val="-23"/>
        </w:rPr>
        <w:t xml:space="preserve"> </w:t>
      </w:r>
      <w:r>
        <w:rPr>
          <w:sz w:val="21"/>
          <w:szCs w:val="21"/>
          <w:u w:val="single" w:color="auto"/>
          <w:spacing w:val="-6"/>
        </w:rPr>
        <w:t>优</w:t>
      </w:r>
      <w:r>
        <w:rPr>
          <w:sz w:val="21"/>
          <w:szCs w:val="21"/>
          <w:u w:val="single" w:color="auto"/>
          <w:spacing w:val="-6"/>
        </w:rPr>
        <w:t xml:space="preserve"> </w:t>
      </w:r>
      <w:r>
        <w:rPr>
          <w:sz w:val="21"/>
          <w:szCs w:val="21"/>
          <w:u w:val="single" w:color="auto"/>
          <w:spacing w:val="-6"/>
        </w:rPr>
        <w:t>化</w:t>
      </w:r>
      <w:r>
        <w:rPr>
          <w:sz w:val="21"/>
          <w:szCs w:val="21"/>
          <w:u w:val="single" w:color="auto"/>
          <w:spacing w:val="-22"/>
        </w:rPr>
        <w:t xml:space="preserve"> </w:t>
      </w:r>
      <w:r>
        <w:rPr>
          <w:sz w:val="21"/>
          <w:szCs w:val="21"/>
          <w:u w:val="single" w:color="auto"/>
          <w:spacing w:val="-6"/>
        </w:rPr>
        <w:t>2</w:t>
      </w:r>
      <w:r>
        <w:rPr>
          <w:sz w:val="21"/>
          <w:szCs w:val="21"/>
          <w:u w:val="single" w:color="auto"/>
          <w:spacing w:val="-22"/>
        </w:rPr>
        <w:t xml:space="preserve"> </w:t>
      </w:r>
      <w:r>
        <w:rPr>
          <w:sz w:val="21"/>
          <w:szCs w:val="21"/>
          <w:u w:val="single" w:color="auto"/>
          <w:spacing w:val="-6"/>
        </w:rPr>
        <w:t>0</w:t>
      </w:r>
      <w:r>
        <w:rPr>
          <w:sz w:val="21"/>
          <w:szCs w:val="21"/>
          <w:u w:val="single" w:color="auto"/>
          <w:spacing w:val="-24"/>
        </w:rPr>
        <w:t xml:space="preserve"> </w:t>
      </w:r>
      <w:r>
        <w:rPr>
          <w:sz w:val="21"/>
          <w:szCs w:val="21"/>
          <w:u w:val="single" w:color="auto"/>
          <w:spacing w:val="-6"/>
        </w:rPr>
        <w:t>%</w:t>
      </w:r>
      <w:r>
        <w:rPr>
          <w:sz w:val="21"/>
          <w:szCs w:val="21"/>
          <w:u w:val="single" w:color="auto"/>
          <w:spacing w:val="-24"/>
        </w:rPr>
        <w:t xml:space="preserve"> </w:t>
      </w:r>
      <w:r>
        <w:rPr>
          <w:sz w:val="21"/>
          <w:szCs w:val="21"/>
          <w:u w:val="single" w:color="auto"/>
          <w:spacing w:val="-6"/>
        </w:rPr>
        <w:t>)</w:t>
      </w:r>
      <w:r>
        <w:rPr>
          <w:sz w:val="21"/>
          <w:szCs w:val="21"/>
          <w:u w:val="single" w:color="auto"/>
          <w:spacing w:val="-6"/>
        </w:rPr>
        <w:t xml:space="preserve">      </w:t>
      </w:r>
      <w:r>
        <w:rPr>
          <w:sz w:val="23"/>
          <w:szCs w:val="23"/>
          <w:u w:val="single" w:color="auto"/>
          <w:spacing w:val="-6"/>
        </w:rPr>
        <w:t>初</w:t>
      </w:r>
      <w:r>
        <w:rPr>
          <w:sz w:val="23"/>
          <w:szCs w:val="23"/>
          <w:u w:val="single" w:color="auto"/>
          <w:spacing w:val="-7"/>
        </w:rPr>
        <w:t xml:space="preserve"> </w:t>
      </w:r>
      <w:r>
        <w:rPr>
          <w:sz w:val="23"/>
          <w:szCs w:val="23"/>
          <w:u w:val="single" w:color="auto"/>
          <w:spacing w:val="-7"/>
        </w:rPr>
        <w:t>始</w:t>
      </w:r>
      <w:r>
        <w:rPr>
          <w:sz w:val="23"/>
          <w:szCs w:val="23"/>
          <w:u w:val="single" w:color="auto"/>
          <w:spacing w:val="-7"/>
        </w:rPr>
        <w:t xml:space="preserve"> </w:t>
      </w:r>
      <w:r>
        <w:rPr>
          <w:sz w:val="23"/>
          <w:szCs w:val="23"/>
          <w:u w:val="single" w:color="auto"/>
          <w:spacing w:val="-7"/>
        </w:rPr>
        <w:t>投</w:t>
      </w:r>
      <w:r>
        <w:rPr>
          <w:sz w:val="23"/>
          <w:szCs w:val="23"/>
          <w:u w:val="single" w:color="auto"/>
          <w:spacing w:val="-7"/>
        </w:rPr>
        <w:t xml:space="preserve"> </w:t>
      </w:r>
      <w:r>
        <w:rPr>
          <w:sz w:val="23"/>
          <w:szCs w:val="23"/>
          <w:u w:val="single" w:color="auto"/>
          <w:spacing w:val="-7"/>
        </w:rPr>
        <w:t>资</w:t>
      </w:r>
      <w:r>
        <w:rPr>
          <w:sz w:val="23"/>
          <w:szCs w:val="23"/>
          <w:u w:val="single" w:color="auto"/>
          <w:spacing w:val="-7"/>
        </w:rPr>
        <w:t xml:space="preserve"> </w:t>
      </w:r>
      <w:r>
        <w:rPr>
          <w:sz w:val="23"/>
          <w:szCs w:val="23"/>
          <w:u w:val="single" w:color="auto"/>
          <w:spacing w:val="-7"/>
        </w:rPr>
        <w:t>大</w:t>
      </w:r>
      <w:r>
        <w:rPr>
          <w:sz w:val="23"/>
          <w:szCs w:val="23"/>
          <w:u w:val="single" w:color="auto"/>
        </w:rPr>
        <w:t xml:space="preserve">        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5" w:line="231" w:lineRule="auto"/>
        <w:rPr>
          <w:sz w:val="23"/>
          <w:szCs w:val="23"/>
        </w:rPr>
      </w:pPr>
      <w:r>
        <w:rPr>
          <w:sz w:val="23"/>
          <w:szCs w:val="23"/>
          <w:spacing w:val="-10"/>
        </w:rPr>
        <w:t>可持续性</w:t>
      </w:r>
      <w:r>
        <w:rPr>
          <w:sz w:val="23"/>
          <w:szCs w:val="23"/>
          <w:spacing w:val="6"/>
        </w:rPr>
        <w:t xml:space="preserve">      </w:t>
      </w:r>
      <w:r>
        <w:rPr>
          <w:sz w:val="23"/>
          <w:szCs w:val="23"/>
          <w:spacing w:val="-10"/>
        </w:rPr>
        <w:t>中等</w:t>
      </w:r>
      <w:r>
        <w:rPr>
          <w:sz w:val="23"/>
          <w:szCs w:val="23"/>
          <w:spacing w:val="12"/>
        </w:rPr>
        <w:t xml:space="preserve">         </w:t>
      </w:r>
      <w:r>
        <w:rPr>
          <w:sz w:val="23"/>
          <w:szCs w:val="23"/>
          <w:spacing w:val="-10"/>
        </w:rPr>
        <w:t>高(循环经济)</w:t>
      </w:r>
      <w:r>
        <w:rPr>
          <w:sz w:val="23"/>
          <w:szCs w:val="23"/>
          <w:spacing w:val="-10"/>
        </w:rPr>
        <w:t xml:space="preserve">        </w:t>
      </w:r>
      <w:r>
        <w:rPr>
          <w:sz w:val="23"/>
          <w:szCs w:val="23"/>
          <w:spacing w:val="-10"/>
        </w:rPr>
        <w:t>依赖技术成熟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1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9"/>
        </w:rPr>
        <w:t>2.3.2实施流程图描述</w:t>
      </w:r>
    </w:p>
    <w:p>
      <w:pPr>
        <w:pStyle w:val="BodyText"/>
        <w:spacing w:before="257" w:line="221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启动</w:t>
      </w:r>
      <w:r>
        <w:rPr>
          <w:sz w:val="23"/>
          <w:szCs w:val="23"/>
          <w:spacing w:val="-52"/>
        </w:rPr>
        <w:t xml:space="preserve"> </w:t>
      </w:r>
      <w:r>
        <w:rPr>
          <w:sz w:val="23"/>
          <w:szCs w:val="23"/>
          <w:spacing w:val="4"/>
        </w:rPr>
        <w:t>→</w:t>
      </w:r>
      <w:r>
        <w:rPr>
          <w:sz w:val="23"/>
          <w:szCs w:val="23"/>
          <w:spacing w:val="-76"/>
        </w:rPr>
        <w:t xml:space="preserve"> </w:t>
      </w:r>
      <w:r>
        <w:rPr>
          <w:sz w:val="23"/>
          <w:szCs w:val="23"/>
          <w:spacing w:val="4"/>
        </w:rPr>
        <w:t>评估</w:t>
      </w:r>
      <w:r>
        <w:rPr>
          <w:rFonts w:ascii="SimSun" w:hAnsi="SimSun" w:eastAsia="SimSun" w:cs="SimSun"/>
          <w:sz w:val="23"/>
          <w:szCs w:val="23"/>
        </w:rPr>
        <w:t>LCC</w:t>
      </w:r>
      <w:r>
        <w:rPr>
          <w:rFonts w:ascii="SimSun" w:hAnsi="SimSun" w:eastAsia="SimSun" w:cs="SimSun"/>
          <w:sz w:val="23"/>
          <w:szCs w:val="23"/>
          <w:spacing w:val="4"/>
        </w:rPr>
        <w:t>→</w:t>
      </w:r>
      <w:r>
        <w:rPr>
          <w:rFonts w:ascii="SimSun" w:hAnsi="SimSun" w:eastAsia="SimSun" w:cs="SimSun"/>
          <w:sz w:val="23"/>
          <w:szCs w:val="23"/>
          <w:spacing w:val="77"/>
        </w:rPr>
        <w:t xml:space="preserve"> </w:t>
      </w:r>
      <w:r>
        <w:rPr>
          <w:sz w:val="23"/>
          <w:szCs w:val="23"/>
          <w:spacing w:val="4"/>
        </w:rPr>
        <w:t>引</w:t>
      </w:r>
      <w:r>
        <w:rPr>
          <w:sz w:val="23"/>
          <w:szCs w:val="23"/>
          <w:spacing w:val="-28"/>
        </w:rPr>
        <w:t xml:space="preserve"> </w:t>
      </w:r>
      <w:r>
        <w:rPr>
          <w:sz w:val="23"/>
          <w:szCs w:val="23"/>
          <w:spacing w:val="4"/>
        </w:rPr>
        <w:t>入</w:t>
      </w:r>
      <w:r>
        <w:rPr>
          <w:rFonts w:ascii="SimSun" w:hAnsi="SimSun" w:eastAsia="SimSun" w:cs="SimSun"/>
          <w:sz w:val="23"/>
          <w:szCs w:val="23"/>
        </w:rPr>
        <w:t>PBC</w:t>
      </w:r>
      <w:r>
        <w:rPr>
          <w:rFonts w:ascii="SimSun" w:hAnsi="SimSun" w:eastAsia="SimSun" w:cs="SimSun"/>
          <w:sz w:val="23"/>
          <w:szCs w:val="23"/>
          <w:spacing w:val="4"/>
        </w:rPr>
        <w:t>/</w:t>
      </w:r>
      <w:r>
        <w:rPr>
          <w:rFonts w:ascii="SimSun" w:hAnsi="SimSun" w:eastAsia="SimSun" w:cs="SimSun"/>
          <w:sz w:val="23"/>
          <w:szCs w:val="23"/>
        </w:rPr>
        <w:t>PPP</w:t>
      </w:r>
      <w:r>
        <w:rPr>
          <w:rFonts w:ascii="SimSun" w:hAnsi="SimSun" w:eastAsia="SimSun" w:cs="SimSun"/>
          <w:sz w:val="23"/>
          <w:szCs w:val="23"/>
          <w:spacing w:val="4"/>
        </w:rPr>
        <w:t>→</w:t>
      </w:r>
      <w:r>
        <w:rPr>
          <w:rFonts w:ascii="SimSun" w:hAnsi="SimSun" w:eastAsia="SimSun" w:cs="SimSun"/>
          <w:sz w:val="23"/>
          <w:szCs w:val="23"/>
          <w:spacing w:val="40"/>
        </w:rPr>
        <w:t xml:space="preserve">  </w:t>
      </w:r>
      <w:r>
        <w:rPr>
          <w:sz w:val="23"/>
          <w:szCs w:val="23"/>
          <w:spacing w:val="4"/>
        </w:rPr>
        <w:t>整合</w:t>
      </w:r>
      <w:r>
        <w:rPr>
          <w:rFonts w:ascii="SimSun" w:hAnsi="SimSun" w:eastAsia="SimSun" w:cs="SimSun"/>
          <w:sz w:val="23"/>
          <w:szCs w:val="23"/>
        </w:rPr>
        <w:t>BGI</w:t>
      </w:r>
      <w:r>
        <w:rPr>
          <w:rFonts w:ascii="SimSun" w:hAnsi="SimSun" w:eastAsia="SimSun" w:cs="SimSun"/>
          <w:sz w:val="23"/>
          <w:szCs w:val="23"/>
          <w:spacing w:val="-36"/>
        </w:rPr>
        <w:t xml:space="preserve"> </w:t>
      </w:r>
      <w:r>
        <w:rPr>
          <w:sz w:val="23"/>
          <w:szCs w:val="23"/>
          <w:spacing w:val="4"/>
        </w:rPr>
        <w:t>与数字孪生</w:t>
      </w:r>
      <w:r>
        <w:rPr>
          <w:sz w:val="23"/>
          <w:szCs w:val="23"/>
          <w:spacing w:val="-83"/>
        </w:rPr>
        <w:t xml:space="preserve"> </w:t>
      </w:r>
      <w:r>
        <w:rPr>
          <w:sz w:val="23"/>
          <w:szCs w:val="23"/>
          <w:spacing w:val="4"/>
        </w:rPr>
        <w:t>→监测与调整。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2"/>
        </w:rPr>
        <w:t>2.4批判性延伸：方案的正反辩证</w:t>
      </w:r>
    </w:p>
    <w:p>
      <w:pPr>
        <w:pStyle w:val="BodyText"/>
        <w:ind w:right="331"/>
        <w:spacing w:before="204" w:line="350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一方面，方案提升效率；另一方面，其局限性在于初始成本高和监管复杂。应当考</w:t>
      </w:r>
      <w:r>
        <w:rPr>
          <w:sz w:val="23"/>
          <w:szCs w:val="23"/>
          <w:spacing w:val="10"/>
        </w:rPr>
        <w:t>虑气候适应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1"/>
        </w:rPr>
        <w:t>性，如</w:t>
      </w:r>
      <w:r>
        <w:rPr>
          <w:rFonts w:ascii="SimSun" w:hAnsi="SimSun" w:eastAsia="SimSun" w:cs="SimSun"/>
          <w:sz w:val="23"/>
          <w:szCs w:val="23"/>
        </w:rPr>
        <w:t>GCA</w:t>
      </w:r>
      <w:r>
        <w:rPr>
          <w:rFonts w:ascii="SimSun" w:hAnsi="SimSun" w:eastAsia="SimSun" w:cs="SimSun"/>
          <w:sz w:val="23"/>
          <w:szCs w:val="23"/>
          <w:spacing w:val="80"/>
        </w:rPr>
        <w:t xml:space="preserve"> </w:t>
      </w:r>
      <w:r>
        <w:rPr>
          <w:sz w:val="23"/>
          <w:szCs w:val="23"/>
          <w:spacing w:val="11"/>
        </w:rPr>
        <w:t>程序强调的自然基解决方案。值得进一步研究其在脆弱城市的适用性。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第三章：实施路径与风险管理</w:t>
      </w:r>
    </w:p>
    <w:p>
      <w:pPr>
        <w:pStyle w:val="BodyText"/>
        <w:spacing w:before="218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实施路径包括政策改革、能力建设和融资创新。风险管理需辩证看待，如</w:t>
      </w:r>
      <w:r>
        <w:rPr>
          <w:rFonts w:ascii="Times New Roman" w:hAnsi="Times New Roman" w:eastAsia="Times New Roman" w:cs="Times New Roman"/>
          <w:sz w:val="23"/>
          <w:szCs w:val="23"/>
        </w:rPr>
        <w:t>PPP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sz w:val="23"/>
          <w:szCs w:val="23"/>
          <w:spacing w:val="9"/>
        </w:rPr>
        <w:t>的私有化争议。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</w:rPr>
        <w:t>3.1路径设计</w:t>
      </w:r>
    </w:p>
    <w:p>
      <w:pPr>
        <w:pStyle w:val="BodyText"/>
        <w:spacing w:before="211" w:line="213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分阶段推进：短期评估，中期试点，长期扩展。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3.1.1能力建设模块</w:t>
      </w:r>
    </w:p>
    <w:p>
      <w:pPr>
        <w:pStyle w:val="BodyText"/>
        <w:spacing w:before="236" w:line="221" w:lineRule="auto"/>
        <w:rPr>
          <w:sz w:val="23"/>
          <w:szCs w:val="23"/>
        </w:rPr>
      </w:pPr>
      <w:r>
        <w:rPr>
          <w:sz w:val="23"/>
          <w:szCs w:val="23"/>
          <w:spacing w:val="4"/>
        </w:rPr>
        <w:t>培训数字孪生应用。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5" w:line="222" w:lineRule="auto"/>
        <w:outlineLvl w:val="4"/>
        <w:rPr>
          <w:sz w:val="23"/>
          <w:szCs w:val="23"/>
        </w:rPr>
      </w:pPr>
      <w:r>
        <w:rPr>
          <w:sz w:val="23"/>
          <w:szCs w:val="23"/>
          <w:b/>
          <w:bCs/>
          <w:spacing w:val="6"/>
        </w:rPr>
        <w:t>3.1.2融资机制</w:t>
      </w:r>
    </w:p>
    <w:p>
      <w:pPr>
        <w:pStyle w:val="BodyText"/>
        <w:spacing w:before="247" w:line="213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采用创新模型，如</w:t>
      </w:r>
      <w:r>
        <w:rPr>
          <w:rFonts w:ascii="SimSun" w:hAnsi="SimSun" w:eastAsia="SimSun" w:cs="SimSun"/>
          <w:sz w:val="23"/>
          <w:szCs w:val="23"/>
        </w:rPr>
        <w:t>OECD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sz w:val="23"/>
          <w:szCs w:val="23"/>
          <w:spacing w:val="7"/>
        </w:rPr>
        <w:t>建议的混合融资。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9"/>
        </w:rPr>
        <w:t>3.2风险评估</w:t>
      </w:r>
    </w:p>
    <w:p>
      <w:pPr>
        <w:pStyle w:val="BodyText"/>
        <w:spacing w:before="241" w:line="222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潜在风险包括技术失败和公平性问题。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第四章：战略延伸：宏大视野下的水务革新</w:t>
      </w:r>
    </w:p>
    <w:p>
      <w:pPr>
        <w:pStyle w:val="BodyText"/>
        <w:spacing w:before="201" w:line="356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在气候变化背景下，方案可延伸至循环经济，如雨污协同支持垂直农业。</w:t>
      </w:r>
      <w:r>
        <w:rPr>
          <w:sz w:val="23"/>
          <w:szCs w:val="23"/>
          <w:spacing w:val="56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GCA</w:t>
      </w:r>
      <w:r>
        <w:rPr>
          <w:rFonts w:ascii="SimSun" w:hAnsi="SimSun" w:eastAsia="SimSun" w:cs="SimSun"/>
          <w:sz w:val="23"/>
          <w:szCs w:val="23"/>
          <w:spacing w:val="96"/>
        </w:rPr>
        <w:t xml:space="preserve"> </w:t>
      </w:r>
      <w:r>
        <w:rPr>
          <w:sz w:val="23"/>
          <w:szCs w:val="23"/>
          <w:spacing w:val="7"/>
        </w:rPr>
        <w:t>强调城市水务需融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入智慧城市框架。</w:t>
      </w:r>
    </w:p>
    <w:p>
      <w:pPr>
        <w:spacing w:line="356" w:lineRule="auto"/>
        <w:sectPr>
          <w:pgSz w:w="12240" w:h="15840"/>
          <w:pgMar w:top="1282" w:right="1061" w:bottom="0" w:left="970" w:header="0" w:footer="0" w:gutter="0"/>
        </w:sectPr>
        <w:rPr>
          <w:sz w:val="23"/>
          <w:szCs w:val="23"/>
        </w:rPr>
      </w:pPr>
    </w:p>
    <w:p>
      <w:pPr>
        <w:pStyle w:val="BodyText"/>
        <w:ind w:left="4"/>
        <w:spacing w:before="61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4.1气候适应性整合</w:t>
      </w:r>
    </w:p>
    <w:p>
      <w:pPr>
        <w:pStyle w:val="BodyText"/>
        <w:spacing w:before="232" w:line="224" w:lineRule="auto"/>
        <w:rPr/>
      </w:pPr>
      <w:r>
        <w:rPr>
          <w:rFonts w:ascii="SimSun" w:hAnsi="SimSun" w:eastAsia="SimSun" w:cs="SimSun"/>
          <w:spacing w:val="-6"/>
        </w:rPr>
        <w:t>IWRM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spacing w:val="-6"/>
        </w:rPr>
        <w:t>与</w:t>
      </w:r>
      <w:r>
        <w:rPr>
          <w:rFonts w:ascii="SimSun" w:hAnsi="SimSun" w:eastAsia="SimSun" w:cs="SimSun"/>
          <w:spacing w:val="-6"/>
        </w:rPr>
        <w:t>CCA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-6"/>
        </w:rPr>
        <w:t>结合。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outlineLvl w:val="3"/>
        <w:rPr/>
      </w:pPr>
      <w:r>
        <w:rPr>
          <w:rFonts w:ascii="Arial" w:hAnsi="Arial" w:eastAsia="Arial" w:cs="Arial"/>
          <w:b/>
          <w:bCs/>
          <w:spacing w:val="-6"/>
        </w:rPr>
        <w:t>4.1.1 BGI</w:t>
      </w:r>
      <w:r>
        <w:rPr>
          <w:b/>
          <w:bCs/>
          <w:spacing w:val="-6"/>
        </w:rPr>
        <w:t>的作用</w:t>
      </w:r>
    </w:p>
    <w:p>
      <w:pPr>
        <w:pStyle w:val="BodyText"/>
        <w:spacing w:before="214" w:line="222" w:lineRule="auto"/>
        <w:rPr/>
      </w:pPr>
      <w:r>
        <w:rPr>
          <w:rFonts w:ascii="Times New Roman" w:hAnsi="Times New Roman" w:eastAsia="Times New Roman" w:cs="Times New Roman"/>
          <w:spacing w:val="-5"/>
        </w:rPr>
        <w:t>BGI</w:t>
      </w:r>
      <w:r>
        <w:rPr>
          <w:spacing w:val="-5"/>
        </w:rPr>
        <w:t>提供热岛缓解与洪水管理。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7783"/>
        <w:spacing w:before="78" w:line="408" w:lineRule="auto"/>
        <w:rPr>
          <w:rFonts w:ascii="SimSun" w:hAnsi="SimSun" w:eastAsia="SimSun" w:cs="SimSun"/>
        </w:rPr>
      </w:pPr>
      <w:r>
        <w:rPr>
          <w:spacing w:val="-1"/>
        </w:rPr>
        <w:t>4.1.2循环经济视角</w:t>
      </w:r>
      <w:r>
        <w:rPr>
          <w:spacing w:val="7"/>
        </w:rPr>
        <w:t xml:space="preserve"> </w:t>
      </w:r>
      <w:r>
        <w:rPr>
          <w:spacing w:val="-2"/>
        </w:rPr>
        <w:t>资源回收优化</w:t>
      </w:r>
      <w:r>
        <w:rPr>
          <w:rFonts w:ascii="SimSun" w:hAnsi="SimSun" w:eastAsia="SimSun" w:cs="SimSun"/>
          <w:spacing w:val="-2"/>
        </w:rPr>
        <w:t>LCC。</w:t>
      </w:r>
    </w:p>
    <w:p>
      <w:pPr>
        <w:pStyle w:val="BodyText"/>
        <w:ind w:left="4"/>
        <w:spacing w:before="229" w:line="222" w:lineRule="auto"/>
        <w:outlineLvl w:val="2"/>
        <w:rPr>
          <w:sz w:val="30"/>
          <w:szCs w:val="30"/>
        </w:rPr>
      </w:pPr>
      <w:r>
        <w:rPr>
          <w:sz w:val="30"/>
          <w:szCs w:val="30"/>
          <w:b/>
          <w:bCs/>
          <w:spacing w:val="3"/>
        </w:rPr>
        <w:t>4.2智慧城市协同</w:t>
      </w:r>
    </w:p>
    <w:p>
      <w:pPr>
        <w:pStyle w:val="BodyText"/>
        <w:spacing w:before="219" w:line="221" w:lineRule="auto"/>
        <w:rPr/>
      </w:pPr>
      <w:r>
        <w:rPr>
          <w:spacing w:val="-1"/>
        </w:rPr>
        <w:t>数字孪生案例显示效率提升。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1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6"/>
        </w:rPr>
        <w:t>结论：向高效水务转型的战略呼吁</w:t>
      </w:r>
    </w:p>
    <w:p>
      <w:pPr>
        <w:pStyle w:val="BodyText"/>
        <w:spacing w:before="213" w:line="213" w:lineRule="auto"/>
        <w:jc w:val="right"/>
        <w:rPr/>
      </w:pPr>
      <w:r>
        <w:rPr/>
        <w:t>本纲要建议在审慎态度下推进改革，以实现可</w:t>
      </w:r>
      <w:r>
        <w:rPr>
          <w:spacing w:val="-1"/>
        </w:rPr>
        <w:t>持续水务。未来值得进一步研究全球最佳实践。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4" w:line="223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3"/>
        </w:rPr>
        <w:t>关键引用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359"/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·World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Bank  Water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Strategy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359"/>
        <w:spacing w:before="69" w:line="19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·OECD  Principles  on  Water  Governance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59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·Progress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4"/>
        </w:rPr>
        <w:t>on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4"/>
        </w:rPr>
        <w:t>IWRM</w:t>
      </w:r>
    </w:p>
    <w:p>
      <w:pPr>
        <w:ind w:left="359"/>
        <w:spacing w:before="25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1"/>
        </w:rPr>
        <w:t>·BGI</w:t>
      </w:r>
      <w:r>
        <w:rPr>
          <w:rFonts w:ascii="Arial" w:hAnsi="Arial" w:eastAsia="Arial" w:cs="Arial"/>
          <w:sz w:val="24"/>
          <w:szCs w:val="24"/>
          <w:spacing w:val="25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for</w:t>
      </w:r>
      <w:r>
        <w:rPr>
          <w:rFonts w:ascii="Arial" w:hAnsi="Arial" w:eastAsia="Arial" w:cs="Arial"/>
          <w:sz w:val="24"/>
          <w:szCs w:val="24"/>
          <w:spacing w:val="21"/>
          <w:position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Stormwater</w:t>
      </w:r>
    </w:p>
    <w:p>
      <w:pPr>
        <w:spacing w:line="327" w:lineRule="exact"/>
        <w:sectPr>
          <w:pgSz w:w="12240" w:h="15840"/>
          <w:pgMar w:top="936" w:right="1439" w:bottom="0" w:left="98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before="47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2"/>
        </w:rPr>
        <w:t>·Decentralized</w:t>
      </w:r>
      <w:r>
        <w:rPr>
          <w:rFonts w:ascii="Arial" w:hAnsi="Arial" w:eastAsia="Arial" w:cs="Arial"/>
          <w:sz w:val="25"/>
          <w:szCs w:val="25"/>
          <w:spacing w:val="66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Water</w:t>
      </w:r>
      <w:r>
        <w:rPr>
          <w:rFonts w:ascii="Arial" w:hAnsi="Arial" w:eastAsia="Arial" w:cs="Arial"/>
          <w:sz w:val="25"/>
          <w:szCs w:val="25"/>
          <w:spacing w:val="60"/>
        </w:rPr>
        <w:t xml:space="preserve"> </w:t>
      </w:r>
      <w:r>
        <w:rPr>
          <w:rFonts w:ascii="Arial" w:hAnsi="Arial" w:eastAsia="Arial" w:cs="Arial"/>
          <w:sz w:val="25"/>
          <w:szCs w:val="25"/>
          <w:spacing w:val="-2"/>
        </w:rPr>
        <w:t>Systems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before="71" w:line="198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5"/>
        </w:rPr>
        <w:t>·IWRM</w:t>
      </w:r>
      <w:r>
        <w:rPr>
          <w:rFonts w:ascii="Arial" w:hAnsi="Arial" w:eastAsia="Arial" w:cs="Arial"/>
          <w:sz w:val="25"/>
          <w:szCs w:val="25"/>
          <w:spacing w:val="60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</w:rPr>
        <w:t>in</w:t>
      </w:r>
      <w:r>
        <w:rPr>
          <w:rFonts w:ascii="Arial" w:hAnsi="Arial" w:eastAsia="Arial" w:cs="Arial"/>
          <w:sz w:val="25"/>
          <w:szCs w:val="25"/>
          <w:spacing w:val="49"/>
        </w:rPr>
        <w:t xml:space="preserve"> </w:t>
      </w:r>
      <w:r>
        <w:rPr>
          <w:rFonts w:ascii="Arial" w:hAnsi="Arial" w:eastAsia="Arial" w:cs="Arial"/>
          <w:sz w:val="25"/>
          <w:szCs w:val="25"/>
          <w:spacing w:val="-5"/>
        </w:rPr>
        <w:t>Cities</w:t>
      </w:r>
    </w:p>
    <w:p>
      <w:pPr>
        <w:spacing w:before="218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  <w:position w:val="4"/>
        </w:rPr>
        <w:t>·Innovative</w:t>
      </w:r>
      <w:r>
        <w:rPr>
          <w:rFonts w:ascii="Arial" w:hAnsi="Arial" w:eastAsia="Arial" w:cs="Arial"/>
          <w:sz w:val="25"/>
          <w:szCs w:val="25"/>
          <w:spacing w:val="31"/>
          <w:position w:val="4"/>
        </w:rPr>
        <w:t xml:space="preserve">  </w:t>
      </w:r>
      <w:r>
        <w:rPr>
          <w:rFonts w:ascii="Arial" w:hAnsi="Arial" w:eastAsia="Arial" w:cs="Arial"/>
          <w:sz w:val="25"/>
          <w:szCs w:val="25"/>
          <w:spacing w:val="-3"/>
          <w:position w:val="4"/>
        </w:rPr>
        <w:t>Financing</w:t>
      </w:r>
    </w:p>
    <w:p>
      <w:pPr>
        <w:spacing w:before="209" w:line="340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4"/>
          <w:position w:val="1"/>
        </w:rPr>
        <w:t>·GCA</w:t>
      </w:r>
      <w:r>
        <w:rPr>
          <w:rFonts w:ascii="Arial" w:hAnsi="Arial" w:eastAsia="Arial" w:cs="Arial"/>
          <w:sz w:val="25"/>
          <w:szCs w:val="25"/>
          <w:spacing w:val="38"/>
          <w:w w:val="101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Water</w:t>
      </w:r>
      <w:r>
        <w:rPr>
          <w:rFonts w:ascii="Arial" w:hAnsi="Arial" w:eastAsia="Arial" w:cs="Arial"/>
          <w:sz w:val="25"/>
          <w:szCs w:val="25"/>
          <w:spacing w:val="28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and</w:t>
      </w:r>
      <w:r>
        <w:rPr>
          <w:rFonts w:ascii="Arial" w:hAnsi="Arial" w:eastAsia="Arial" w:cs="Arial"/>
          <w:sz w:val="25"/>
          <w:szCs w:val="25"/>
          <w:spacing w:val="43"/>
          <w:position w:val="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4"/>
          <w:position w:val="1"/>
        </w:rPr>
        <w:t>Urban</w:t>
      </w:r>
    </w:p>
    <w:p>
      <w:pPr>
        <w:spacing w:before="278" w:line="196" w:lineRule="auto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z w:val="25"/>
          <w:szCs w:val="25"/>
          <w:spacing w:val="-3"/>
        </w:rPr>
        <w:t>·Digital</w:t>
      </w:r>
      <w:r>
        <w:rPr>
          <w:rFonts w:ascii="Arial" w:hAnsi="Arial" w:eastAsia="Arial" w:cs="Arial"/>
          <w:sz w:val="25"/>
          <w:szCs w:val="25"/>
          <w:spacing w:val="4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Twins</w:t>
      </w:r>
      <w:r>
        <w:rPr>
          <w:rFonts w:ascii="Arial" w:hAnsi="Arial" w:eastAsia="Arial" w:cs="Arial"/>
          <w:sz w:val="25"/>
          <w:szCs w:val="25"/>
          <w:spacing w:val="45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in</w:t>
      </w:r>
      <w:r>
        <w:rPr>
          <w:rFonts w:ascii="Arial" w:hAnsi="Arial" w:eastAsia="Arial" w:cs="Arial"/>
          <w:sz w:val="25"/>
          <w:szCs w:val="25"/>
          <w:spacing w:val="31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spacing w:val="-3"/>
        </w:rPr>
        <w:t>Water</w:t>
      </w:r>
    </w:p>
    <w:sectPr>
      <w:pgSz w:w="12240" w:h="15840"/>
      <w:pgMar w:top="1275" w:right="1836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2026-03-15T23:57:17Z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2026-03-15T23:57:18</vt:filetime>
  </property>
  <property fmtid="{D5CDD505-2E9C-101B-9397-08002B2CF9AE}" pid="4" name="UsrData">
    <vt:lpwstr>69b6d6db1ac7a6001fbdacd7wl</vt:lpwstr>
  </property>
</Properties>
</file>