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8"/>
        </w:rPr>
        <w:t>市政污水收集处理效率提升方案简报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现行主要问题</w:t>
      </w:r>
    </w:p>
    <w:p>
      <w:pPr>
        <w:pStyle w:val="BodyText"/>
        <w:spacing w:before="197" w:line="213" w:lineRule="auto"/>
        <w:rPr/>
      </w:pPr>
      <w:r>
        <w:rPr/>
        <w:t>当前财政核拨制下，市政污水收集处理存在资金使用低效、激励机制缺失、运营管理滞后等问</w:t>
      </w:r>
    </w:p>
    <w:p>
      <w:pPr>
        <w:pStyle w:val="BodyText"/>
        <w:spacing w:before="135" w:line="313" w:lineRule="auto"/>
        <w:rPr/>
      </w:pPr>
      <w:r>
        <w:rPr>
          <w:spacing w:val="7"/>
        </w:rPr>
        <w:t>题。主要表现为：拨款依赖导致设施建设缓慢、运行维护不力，污水处理率不足70%(部分城市</w:t>
      </w:r>
      <w:r>
        <w:rPr>
          <w:spacing w:val="11"/>
        </w:rPr>
        <w:t xml:space="preserve"> </w:t>
      </w:r>
      <w:r>
        <w:rPr>
          <w:spacing w:val="3"/>
        </w:rPr>
        <w:t>更低),管网混接严重，成本控制弱，难以适应城市化需求。结果是环境污染加剧，公共资金效益</w:t>
      </w:r>
      <w:r>
        <w:rPr>
          <w:spacing w:val="18"/>
        </w:rPr>
        <w:t xml:space="preserve"> </w:t>
      </w:r>
      <w:r>
        <w:rPr>
          <w:spacing w:val="-11"/>
        </w:rPr>
        <w:t>低下，无法快速响应国家“双碳”目标和水环境治理要求。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9"/>
        </w:rPr>
        <w:t>核心解决方案</w:t>
      </w:r>
    </w:p>
    <w:p>
      <w:pPr>
        <w:pStyle w:val="BodyText"/>
        <w:ind w:right="58"/>
        <w:spacing w:before="192" w:line="335" w:lineRule="auto"/>
        <w:jc w:val="both"/>
        <w:rPr/>
      </w:pPr>
      <w:r>
        <w:rPr/>
        <w:t>提出引入公私合作</w:t>
      </w:r>
      <w:r>
        <w:rPr/>
        <w:t xml:space="preserve"> </w:t>
      </w:r>
      <w:r>
        <w:rPr>
          <w:rFonts w:ascii="SimSun" w:hAnsi="SimSun" w:eastAsia="SimSun" w:cs="SimSun"/>
        </w:rPr>
        <w:t>(PPP)  </w:t>
      </w:r>
      <w:r>
        <w:rPr/>
        <w:t>框架下的特许经营模式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(BOT/TOT)</w:t>
      </w:r>
      <w:r>
        <w:rPr>
          <w:rFonts w:ascii="SimSun" w:hAnsi="SimSun" w:eastAsia="SimSun" w:cs="SimSun"/>
          <w:spacing w:val="56"/>
        </w:rPr>
        <w:t xml:space="preserve">  </w:t>
      </w:r>
      <w:r>
        <w:rPr>
          <w:spacing w:val="-1"/>
        </w:rPr>
        <w:t>和绩效合同机制，取代纯财政核</w:t>
      </w:r>
      <w:r>
        <w:rPr/>
        <w:t xml:space="preserve"> </w:t>
      </w:r>
      <w:r>
        <w:rPr>
          <w:spacing w:val="3"/>
        </w:rPr>
        <w:t>拨，实现市场化运营，提升效率。重点聚焦污水系统，简要协同雨水设施共享(如管网共用，节</w:t>
      </w:r>
      <w:r>
        <w:rPr>
          <w:spacing w:val="18"/>
        </w:rPr>
        <w:t xml:space="preserve"> </w:t>
      </w:r>
      <w:r>
        <w:rPr>
          <w:spacing w:val="23"/>
        </w:rPr>
        <w:t>省20%-30%投资)以优化整体成本。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新模式具体内容</w:t>
      </w:r>
    </w:p>
    <w:p>
      <w:pPr>
        <w:pStyle w:val="BodyText"/>
        <w:ind w:left="668" w:right="58" w:hanging="329"/>
        <w:spacing w:before="215" w:line="289" w:lineRule="auto"/>
        <w:rPr/>
      </w:pPr>
      <w:r>
        <w:rPr>
          <w:rFonts w:ascii="SimSun" w:hAnsi="SimSun" w:eastAsia="SimSun" w:cs="SimSun"/>
          <w:spacing w:val="5"/>
        </w:rPr>
        <w:t>1.</w:t>
      </w:r>
      <w:r>
        <w:rPr>
          <w:rFonts w:ascii="SimSun" w:hAnsi="SimSun" w:eastAsia="SimSun" w:cs="SimSun"/>
        </w:rPr>
        <w:t>BOT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5"/>
        </w:rPr>
        <w:t>模式(建设-运营-移交):适用于新建污水处理厂和管网。私营企业通过招标获得特许</w:t>
      </w:r>
      <w:r>
        <w:rPr>
          <w:spacing w:val="11"/>
        </w:rPr>
        <w:t xml:space="preserve"> </w:t>
      </w:r>
      <w:r>
        <w:rPr>
          <w:spacing w:val="9"/>
        </w:rPr>
        <w:t>权，负责融资、设计、建设、运营(特许期20-30年),期满无偿移交政府。合同明确处理</w:t>
      </w:r>
      <w:r>
        <w:rPr/>
        <w:t xml:space="preserve"> </w:t>
      </w:r>
      <w:r>
        <w:rPr>
          <w:spacing w:val="13"/>
        </w:rPr>
        <w:t>量、污染物减排标准(如</w:t>
      </w:r>
      <w:r>
        <w:rPr>
          <w:rFonts w:ascii="SimSun" w:hAnsi="SimSun" w:eastAsia="SimSun" w:cs="SimSun"/>
        </w:rPr>
        <w:t>COD</w:t>
      </w:r>
      <w:r>
        <w:rPr>
          <w:rFonts w:ascii="SimSun" w:hAnsi="SimSun" w:eastAsia="SimSun" w:cs="SimSun"/>
          <w:spacing w:val="13"/>
        </w:rPr>
        <w:t>/</w:t>
      </w:r>
      <w:r>
        <w:rPr>
          <w:rFonts w:ascii="SimSun" w:hAnsi="SimSun" w:eastAsia="SimSun" w:cs="SimSun"/>
        </w:rPr>
        <w:t>BOD</w:t>
      </w:r>
      <w:r>
        <w:rPr>
          <w:rFonts w:ascii="SimSun" w:hAnsi="SimSun" w:eastAsia="SimSun" w:cs="SimSun"/>
          <w:spacing w:val="58"/>
        </w:rPr>
        <w:t xml:space="preserve">  </w:t>
      </w:r>
      <w:r>
        <w:rPr>
          <w:spacing w:val="13"/>
        </w:rPr>
        <w:t>削减率&gt;90%),并设置水价调整机制。</w:t>
      </w:r>
    </w:p>
    <w:p>
      <w:pPr>
        <w:pStyle w:val="BodyText"/>
        <w:ind w:left="668" w:right="60" w:hanging="329"/>
        <w:spacing w:before="230" w:line="272" w:lineRule="auto"/>
        <w:rPr/>
      </w:pPr>
      <w:r>
        <w:rPr>
          <w:rFonts w:ascii="Times New Roman" w:hAnsi="Times New Roman" w:eastAsia="Times New Roman" w:cs="Times New Roman"/>
          <w:spacing w:val="6"/>
        </w:rPr>
        <w:t>2.</w:t>
      </w:r>
      <w:r>
        <w:rPr>
          <w:rFonts w:ascii="Times New Roman" w:hAnsi="Times New Roman" w:eastAsia="Times New Roman" w:cs="Times New Roman"/>
        </w:rPr>
        <w:t>TOT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 </w:t>
      </w:r>
      <w:r>
        <w:rPr>
          <w:spacing w:val="6"/>
        </w:rPr>
        <w:t>模式(移交-运营-移交):适用于现有设施。私营企业接管运营，投资升</w:t>
      </w:r>
      <w:r>
        <w:rPr>
          <w:spacing w:val="5"/>
        </w:rPr>
        <w:t>级改造，特许</w:t>
      </w:r>
      <w:r>
        <w:rPr/>
        <w:t xml:space="preserve"> </w:t>
      </w:r>
      <w:r>
        <w:rPr>
          <w:spacing w:val="4"/>
        </w:rPr>
        <w:t>期15-25年，期满移交。合同重点约定设施升级目标，如提升处理效率15%以上。</w:t>
      </w:r>
    </w:p>
    <w:p>
      <w:pPr>
        <w:pStyle w:val="BodyText"/>
        <w:ind w:left="668" w:right="175" w:hanging="329"/>
        <w:spacing w:before="284" w:line="281" w:lineRule="auto"/>
        <w:rPr/>
      </w:pPr>
      <w:r>
        <w:rPr>
          <w:rFonts w:ascii="SimSun" w:hAnsi="SimSun" w:eastAsia="SimSun" w:cs="SimSun"/>
        </w:rPr>
        <w:t>3.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绩效合同：嵌入</w:t>
      </w:r>
      <w:r>
        <w:rPr>
          <w:rFonts w:ascii="SimSun" w:hAnsi="SimSun" w:eastAsia="SimSun" w:cs="SimSun"/>
        </w:rPr>
        <w:t>BOT/TOT</w:t>
      </w:r>
      <w:r>
        <w:rPr>
          <w:rFonts w:ascii="SimSun" w:hAnsi="SimSun" w:eastAsia="SimSun" w:cs="SimSun"/>
          <w:spacing w:val="104"/>
        </w:rPr>
        <w:t xml:space="preserve"> </w:t>
      </w:r>
      <w:r>
        <w:rPr/>
        <w:t>中，基于环境绩效付费。合同分阶段签约：前期评估污染物基</w:t>
      </w:r>
      <w:r>
        <w:rPr/>
        <w:t xml:space="preserve">  </w:t>
      </w:r>
      <w:r>
        <w:rPr>
          <w:spacing w:val="7"/>
        </w:rPr>
        <w:t>线，中期按减排量(如每吨污染物削减付费标准)结算，后期</w:t>
      </w:r>
      <w:r>
        <w:rPr>
          <w:spacing w:val="6"/>
        </w:rPr>
        <w:t>审计整体效果。示例：借鉴</w:t>
      </w:r>
      <w:r>
        <w:rPr/>
        <w:t xml:space="preserve"> </w:t>
      </w:r>
      <w:r>
        <w:rPr>
          <w:spacing w:val="-2"/>
        </w:rPr>
        <w:t>上海浦东新区模式，按水质达标率和能耗控制付费。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1"/>
        </w:rPr>
        <w:t>政府角色与职责</w:t>
      </w:r>
    </w:p>
    <w:p>
      <w:pPr>
        <w:pStyle w:val="BodyText"/>
        <w:ind w:right="99"/>
        <w:spacing w:before="204" w:line="321" w:lineRule="auto"/>
        <w:jc w:val="both"/>
        <w:rPr/>
      </w:pPr>
      <w:r>
        <w:rPr>
          <w:spacing w:val="1"/>
        </w:rPr>
        <w:t>政府从直接运营转向监管与付费方。具体包括</w:t>
      </w:r>
      <w:r>
        <w:rPr/>
        <w:t>：制定排放标准和绩效指标；组织公开招标选定私</w:t>
      </w:r>
      <w:r>
        <w:rPr/>
        <w:t xml:space="preserve"> </w:t>
      </w:r>
      <w:r>
        <w:rPr>
          <w:spacing w:val="7"/>
        </w:rPr>
        <w:t>营伙伴；按合同付费(用户付费+财政补贴结合);监督运营，通过</w:t>
      </w:r>
      <w:r>
        <w:rPr>
          <w:spacing w:val="6"/>
        </w:rPr>
        <w:t>第三方审计评估绩效；提供土</w:t>
      </w:r>
      <w:r>
        <w:rPr/>
        <w:t xml:space="preserve"> </w:t>
      </w:r>
      <w:r>
        <w:rPr>
          <w:spacing w:val="3"/>
        </w:rPr>
        <w:t>地划拨和政策优惠(如用电补贴)。不参与日常运营，确保公共利益优先。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1"/>
        </w:rPr>
        <w:t>激励与奖惩机制</w:t>
      </w:r>
    </w:p>
    <w:p>
      <w:pPr>
        <w:spacing w:line="222" w:lineRule="auto"/>
        <w:sectPr>
          <w:pgSz w:w="12240" w:h="15840"/>
          <w:pgMar w:top="1147" w:right="1031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spacing w:before="43" w:line="340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机制设计注重风险分担和绩效导向。私营方承担融资与运营风险，获利通过效率提升(如成本控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25"/>
        </w:rPr>
        <w:t>制获7%-10%回报率)。关键机制：绩效挂钩付费(达标全额支付，未达扣减10%-30%);奖金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21"/>
        </w:rPr>
        <w:t>制度(超标减排奖励额外5%费用);罚款与退出条款(连续违规可终止合同，政府收回设施)。通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9"/>
        </w:rPr>
        <w:t>过竞争招标和示范项目(如中央补贴优先),激励私营</w:t>
      </w:r>
      <w:r>
        <w:rPr>
          <w:sz w:val="23"/>
          <w:szCs w:val="23"/>
          <w:spacing w:val="18"/>
        </w:rPr>
        <w:t>创新技术，优化资金效益(如</w:t>
      </w:r>
      <w:r>
        <w:rPr>
          <w:rFonts w:ascii="Times New Roman" w:hAnsi="Times New Roman" w:eastAsia="Times New Roman" w:cs="Times New Roman"/>
          <w:sz w:val="23"/>
          <w:szCs w:val="23"/>
        </w:rPr>
        <w:t>PPP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18"/>
        </w:rPr>
        <w:t>项目平均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降低成本15%,提升处理效率0.011单位/项目)。</w:t>
      </w:r>
    </w:p>
    <w:p>
      <w:pPr>
        <w:pStyle w:val="BodyText"/>
        <w:spacing w:before="124" w:line="221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运作示意图(文本描述流程图):</w:t>
      </w:r>
    </w:p>
    <w:p>
      <w:pPr>
        <w:pStyle w:val="BodyText"/>
        <w:ind w:left="349"/>
        <w:spacing w:before="254" w:line="213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·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spacing w:val="11"/>
        </w:rPr>
        <w:t>步骤1:政府招标(发布</w:t>
      </w:r>
      <w:r>
        <w:rPr>
          <w:rFonts w:ascii="Times New Roman" w:hAnsi="Times New Roman" w:eastAsia="Times New Roman" w:cs="Times New Roman"/>
          <w:sz w:val="23"/>
          <w:szCs w:val="23"/>
        </w:rPr>
        <w:t>PPP</w:t>
      </w:r>
      <w:r>
        <w:rPr>
          <w:rFonts w:ascii="Times New Roman" w:hAnsi="Times New Roman" w:eastAsia="Times New Roman" w:cs="Times New Roman"/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11"/>
        </w:rPr>
        <w:t>项目，评估财政承受力</w:t>
      </w:r>
      <w:r>
        <w:rPr>
          <w:sz w:val="23"/>
          <w:szCs w:val="23"/>
          <w:spacing w:val="10"/>
        </w:rPr>
        <w:t>)。</w:t>
      </w:r>
    </w:p>
    <w:p>
      <w:pPr>
        <w:pStyle w:val="BodyText"/>
        <w:ind w:left="349"/>
        <w:spacing w:before="254" w:line="213" w:lineRule="auto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sz w:val="25"/>
          <w:szCs w:val="25"/>
          <w:spacing w:val="-97"/>
        </w:rPr>
        <w:t xml:space="preserve"> </w:t>
      </w:r>
      <w:r>
        <w:rPr>
          <w:sz w:val="25"/>
          <w:szCs w:val="25"/>
        </w:rPr>
        <w:t>步骤2:</w:t>
      </w:r>
      <w:r>
        <w:rPr>
          <w:sz w:val="25"/>
          <w:szCs w:val="25"/>
          <w:spacing w:val="-68"/>
        </w:rPr>
        <w:t xml:space="preserve"> </w:t>
      </w:r>
      <w:r>
        <w:rPr>
          <w:sz w:val="25"/>
          <w:szCs w:val="25"/>
        </w:rPr>
        <w:t>私营中标(签订特许合同，明确</w:t>
      </w:r>
      <w:r>
        <w:rPr>
          <w:rFonts w:ascii="Times New Roman" w:hAnsi="Times New Roman" w:eastAsia="Times New Roman" w:cs="Times New Roman"/>
          <w:sz w:val="25"/>
          <w:szCs w:val="25"/>
        </w:rPr>
        <w:t>KPI</w:t>
      </w:r>
      <w:r>
        <w:rPr>
          <w:sz w:val="25"/>
          <w:szCs w:val="25"/>
        </w:rPr>
        <w:t>如处理率&gt;9</w:t>
      </w:r>
      <w:r>
        <w:rPr>
          <w:sz w:val="25"/>
          <w:szCs w:val="25"/>
          <w:spacing w:val="-1"/>
        </w:rPr>
        <w:t>5%)。</w:t>
      </w:r>
    </w:p>
    <w:p>
      <w:pPr>
        <w:pStyle w:val="BodyText"/>
        <w:ind w:left="349"/>
        <w:spacing w:before="282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8"/>
        </w:rPr>
        <w:t>步骤3:</w:t>
      </w:r>
      <w:r>
        <w:rPr>
          <w:sz w:val="23"/>
          <w:szCs w:val="23"/>
          <w:spacing w:val="-35"/>
        </w:rPr>
        <w:t xml:space="preserve"> </w:t>
      </w:r>
      <w:r>
        <w:rPr>
          <w:sz w:val="23"/>
          <w:szCs w:val="23"/>
          <w:spacing w:val="8"/>
        </w:rPr>
        <w:t>融资建设/改造(私营负责，政府提供支持)。</w:t>
      </w:r>
    </w:p>
    <w:p>
      <w:pPr>
        <w:pStyle w:val="BodyText"/>
        <w:ind w:left="349"/>
        <w:spacing w:before="275" w:line="21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72"/>
        </w:rPr>
        <w:t xml:space="preserve"> </w:t>
      </w:r>
      <w:r>
        <w:rPr>
          <w:sz w:val="23"/>
          <w:szCs w:val="23"/>
          <w:spacing w:val="10"/>
        </w:rPr>
        <w:t>步骤4: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10"/>
        </w:rPr>
        <w:t>运营与付费(绩效评估，每季度结算，第三方监督)。</w:t>
      </w:r>
    </w:p>
    <w:p>
      <w:pPr>
        <w:pStyle w:val="BodyText"/>
        <w:ind w:left="349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71"/>
        </w:rPr>
        <w:t xml:space="preserve"> </w:t>
      </w:r>
      <w:r>
        <w:rPr>
          <w:sz w:val="23"/>
          <w:szCs w:val="23"/>
          <w:spacing w:val="13"/>
        </w:rPr>
        <w:t>步骤5:期满移交(资产完整移交，政府审计)。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政府行动清单</w:t>
      </w:r>
    </w:p>
    <w:p>
      <w:pPr>
        <w:pStyle w:val="BodyText"/>
        <w:ind w:left="678" w:right="86" w:hanging="329"/>
        <w:spacing w:before="228" w:line="27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1. </w:t>
      </w:r>
      <w:r>
        <w:rPr>
          <w:sz w:val="23"/>
          <w:szCs w:val="23"/>
          <w:spacing w:val="9"/>
        </w:rPr>
        <w:t>法规修改：修订《市政公用事业特许经营管理办法》,增加</w:t>
      </w:r>
      <w:r>
        <w:rPr>
          <w:rFonts w:ascii="SimSun" w:hAnsi="SimSun" w:eastAsia="SimSun" w:cs="SimSun"/>
          <w:sz w:val="23"/>
          <w:szCs w:val="23"/>
        </w:rPr>
        <w:t>PPP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9"/>
        </w:rPr>
        <w:t>污水项目条</w:t>
      </w:r>
      <w:r>
        <w:rPr>
          <w:sz w:val="23"/>
          <w:szCs w:val="23"/>
          <w:spacing w:val="8"/>
        </w:rPr>
        <w:t>款，支持绩效付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费；调整污水处理费标准，确保全成本回收。</w:t>
      </w:r>
    </w:p>
    <w:p>
      <w:pPr>
        <w:pStyle w:val="BodyText"/>
        <w:ind w:left="678" w:right="201" w:hanging="329"/>
        <w:spacing w:before="274" w:line="28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2.</w:t>
      </w:r>
      <w:r>
        <w:rPr>
          <w:rFonts w:ascii="SimSun" w:hAnsi="SimSun" w:eastAsia="SimSun" w:cs="SimSun"/>
          <w:sz w:val="23"/>
          <w:szCs w:val="23"/>
          <w:spacing w:val="-24"/>
        </w:rPr>
        <w:t xml:space="preserve"> </w:t>
      </w:r>
      <w:r>
        <w:rPr>
          <w:sz w:val="23"/>
          <w:szCs w:val="23"/>
          <w:spacing w:val="10"/>
        </w:rPr>
        <w:t>机构设立：成立市级</w:t>
      </w:r>
      <w:r>
        <w:rPr>
          <w:rFonts w:ascii="SimSun" w:hAnsi="SimSun" w:eastAsia="SimSun" w:cs="SimSun"/>
          <w:sz w:val="23"/>
          <w:szCs w:val="23"/>
        </w:rPr>
        <w:t>PPP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10"/>
        </w:rPr>
        <w:t>中心，负责项目评估、招标和监督；引入第三方审计</w:t>
      </w:r>
      <w:r>
        <w:rPr>
          <w:sz w:val="23"/>
          <w:szCs w:val="23"/>
          <w:spacing w:val="9"/>
        </w:rPr>
        <w:t>机构，确保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透明。</w:t>
      </w:r>
    </w:p>
    <w:p>
      <w:pPr>
        <w:pStyle w:val="BodyText"/>
        <w:ind w:left="829" w:right="272" w:hanging="480"/>
        <w:spacing w:before="254" w:line="280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3. </w:t>
      </w:r>
      <w:r>
        <w:rPr>
          <w:sz w:val="23"/>
          <w:szCs w:val="23"/>
          <w:spacing w:val="15"/>
        </w:rPr>
        <w:t>能力培养：培训水务部门人员(合同管理、绩效评估),预</w:t>
      </w:r>
      <w:r>
        <w:rPr>
          <w:sz w:val="23"/>
          <w:szCs w:val="23"/>
          <w:spacing w:val="14"/>
        </w:rPr>
        <w:t>算100万元/年；开展试点项目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1"/>
        </w:rPr>
        <w:t>(如1-2个区县),积累经验。</w:t>
      </w:r>
    </w:p>
    <w:p>
      <w:pPr>
        <w:pStyle w:val="BodyText"/>
        <w:ind w:left="678" w:right="152" w:hanging="329"/>
        <w:spacing w:before="240" w:line="293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4.  </w:t>
      </w:r>
      <w:r>
        <w:rPr>
          <w:sz w:val="23"/>
          <w:szCs w:val="23"/>
          <w:spacing w:val="8"/>
        </w:rPr>
        <w:t>财政准备：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8"/>
        </w:rPr>
        <w:t>进行物有所值评估</w:t>
      </w:r>
      <w:r>
        <w:rPr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VFM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)    </w:t>
      </w:r>
      <w:r>
        <w:rPr>
          <w:sz w:val="23"/>
          <w:szCs w:val="23"/>
          <w:spacing w:val="8"/>
        </w:rPr>
        <w:t>和财政承受</w:t>
      </w:r>
      <w:r>
        <w:rPr>
          <w:sz w:val="23"/>
          <w:szCs w:val="23"/>
          <w:spacing w:val="7"/>
        </w:rPr>
        <w:t>力论证；设立专项基金，用于补贴和风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险缓冲。</w:t>
      </w:r>
    </w:p>
    <w:p>
      <w:pPr>
        <w:pStyle w:val="BodyText"/>
        <w:ind w:left="349"/>
        <w:spacing w:before="243" w:line="21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5. </w:t>
      </w:r>
      <w:r>
        <w:rPr>
          <w:sz w:val="23"/>
          <w:szCs w:val="23"/>
          <w:spacing w:val="9"/>
        </w:rPr>
        <w:t>启动步骤：立即选定1-2个试点污水处理厂，3个月</w:t>
      </w:r>
      <w:r>
        <w:rPr>
          <w:sz w:val="23"/>
          <w:szCs w:val="23"/>
          <w:spacing w:val="8"/>
        </w:rPr>
        <w:t>内完成招标，6个月内签订合同。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预期效益与风险</w:t>
      </w:r>
    </w:p>
    <w:p>
      <w:pPr>
        <w:pStyle w:val="BodyText"/>
        <w:spacing w:before="220" w:line="213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效益：快速见效，提升污水处理效率20%以上，成本降低10%-15%(通过私营管理和技术创</w:t>
      </w:r>
    </w:p>
    <w:p>
      <w:pPr>
        <w:pStyle w:val="BodyText"/>
        <w:ind w:right="40"/>
        <w:spacing w:before="156" w:line="334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新);资金效益优化，财政从一次性拨款转为绩效分期支付，吸引社会资本200</w:t>
      </w:r>
      <w:r>
        <w:rPr>
          <w:sz w:val="23"/>
          <w:szCs w:val="23"/>
          <w:spacing w:val="14"/>
        </w:rPr>
        <w:t>亿元以上；环境改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2"/>
        </w:rPr>
        <w:t>善，污染物减排显著,支持可持续发展。雨水协同可额外节省基础设施投资。</w:t>
      </w:r>
    </w:p>
    <w:p>
      <w:pPr>
        <w:spacing w:line="334" w:lineRule="auto"/>
        <w:sectPr>
          <w:pgSz w:w="12240" w:h="15840"/>
          <w:pgMar w:top="1241" w:right="1020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49" w:line="324" w:lineRule="auto"/>
        <w:rPr/>
      </w:pPr>
      <w:r>
        <w:rPr>
          <w:spacing w:val="14"/>
        </w:rPr>
        <w:t>风险：合同纠纷(私营违约);财政压力(补贴超支);市场化不足(东部地区效果更好)。防控措</w:t>
      </w:r>
      <w:r>
        <w:rPr>
          <w:spacing w:val="12"/>
        </w:rPr>
        <w:t xml:space="preserve"> </w:t>
      </w:r>
      <w:r>
        <w:rPr>
          <w:spacing w:val="-1"/>
        </w:rPr>
        <w:t>施：加强合同审查、设置风险分担条款、优</w:t>
      </w:r>
      <w:r>
        <w:rPr>
          <w:spacing w:val="-2"/>
        </w:rPr>
        <w:t>先高市场化区域试点。</w:t>
      </w:r>
    </w:p>
    <w:p>
      <w:pPr>
        <w:pStyle w:val="BodyText"/>
        <w:ind w:right="261"/>
        <w:spacing w:before="117" w:line="338" w:lineRule="auto"/>
        <w:rPr/>
      </w:pPr>
      <w:r>
        <w:rPr>
          <w:spacing w:val="4"/>
        </w:rPr>
        <w:t>此方案基于国家政策和成功案例(如昌熟农村</w:t>
      </w:r>
      <w:r>
        <w:rPr>
          <w:rFonts w:ascii="SimSun" w:hAnsi="SimSun" w:eastAsia="SimSun" w:cs="SimSun"/>
        </w:rPr>
        <w:t>PPP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4"/>
        </w:rPr>
        <w:t>太湖流域</w:t>
      </w:r>
      <w:r>
        <w:rPr>
          <w:rFonts w:ascii="SimSun" w:hAnsi="SimSun" w:eastAsia="SimSun" w:cs="SimSun"/>
        </w:rPr>
        <w:t>BOT</w:t>
      </w:r>
      <w:r>
        <w:rPr>
          <w:rFonts w:ascii="SimSun" w:hAnsi="SimSun" w:eastAsia="SimSun" w:cs="SimSun"/>
          <w:spacing w:val="4"/>
        </w:rPr>
        <w:t>),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pacing w:val="4"/>
        </w:rPr>
        <w:t>可立即推行，</w:t>
      </w:r>
      <w:r>
        <w:rPr>
          <w:spacing w:val="3"/>
        </w:rPr>
        <w:t>确保高效落</w:t>
      </w:r>
      <w:r>
        <w:rPr/>
        <w:t xml:space="preserve"> </w:t>
      </w:r>
      <w:r>
        <w:rPr>
          <w:spacing w:val="-3"/>
        </w:rPr>
        <w:t>地。</w:t>
      </w:r>
    </w:p>
    <w:p>
      <w:pPr>
        <w:spacing w:before="10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Key Citations:</w:t>
      </w:r>
    </w:p>
    <w:p>
      <w:pPr>
        <w:ind w:left="508" w:right="442" w:hanging="89"/>
        <w:spacing w:before="241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·Potential  benefits  of  public-private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partnerships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improve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efficiency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urban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wastewater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treatment</w:t>
      </w:r>
    </w:p>
    <w:p>
      <w:pPr>
        <w:ind w:left="359"/>
        <w:spacing w:before="24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·Analyzing  the  effect  of  public  private  partnership  mode  on  sewage  trea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tment</w:t>
      </w:r>
    </w:p>
    <w:p>
      <w:pPr>
        <w:ind w:left="359"/>
        <w:spacing w:before="287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·Public-Private  Partnerships  in  China's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Urban  Water  Sector</w:t>
      </w:r>
    </w:p>
    <w:p>
      <w:pPr>
        <w:ind w:left="359"/>
        <w:spacing w:before="23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·Public-Private  Partnerships  for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 xml:space="preserve">  Wastewater  Treatment  in</w:t>
      </w:r>
      <w:r>
        <w:rPr>
          <w:rFonts w:ascii="Arial" w:hAnsi="Arial" w:eastAsia="Arial" w:cs="Arial"/>
          <w:sz w:val="24"/>
          <w:szCs w:val="24"/>
          <w:spacing w:val="1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Rural</w:t>
      </w:r>
      <w:r>
        <w:rPr>
          <w:rFonts w:ascii="Arial" w:hAnsi="Arial" w:eastAsia="Arial" w:cs="Arial"/>
          <w:sz w:val="24"/>
          <w:szCs w:val="24"/>
          <w:spacing w:val="2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Areas</w:t>
      </w:r>
    </w:p>
    <w:p>
      <w:pPr>
        <w:pStyle w:val="BodyText"/>
        <w:ind w:left="359"/>
        <w:spacing w:before="268" w:line="222" w:lineRule="auto"/>
        <w:rPr/>
      </w:pPr>
      <w:r>
        <w:rPr>
          <w:spacing w:val="-8"/>
        </w:rPr>
        <w:t>·</w:t>
      </w:r>
      <w:r>
        <w:rPr>
          <w:spacing w:val="-80"/>
        </w:rPr>
        <w:t xml:space="preserve"> </w:t>
      </w:r>
      <w:r>
        <w:rPr>
          <w:spacing w:val="-8"/>
        </w:rPr>
        <w:t>中国污水处理</w:t>
      </w:r>
      <w:r>
        <w:rPr>
          <w:rFonts w:ascii="Arial" w:hAnsi="Arial" w:eastAsia="Arial" w:cs="Arial"/>
          <w:spacing w:val="-8"/>
        </w:rPr>
        <w:t>BOT</w:t>
      </w:r>
      <w:r>
        <w:rPr>
          <w:spacing w:val="-8"/>
        </w:rPr>
        <w:t>项目市场分析报告</w:t>
      </w:r>
    </w:p>
    <w:p>
      <w:pPr>
        <w:pStyle w:val="BodyText"/>
        <w:ind w:left="359"/>
        <w:spacing w:before="241" w:line="221" w:lineRule="auto"/>
        <w:rPr/>
      </w:pPr>
      <w:r>
        <w:rPr>
          <w:spacing w:val="-6"/>
        </w:rPr>
        <w:t>·水务市场化运作的十种模式及其适用性</w:t>
      </w:r>
    </w:p>
    <w:p>
      <w:pPr>
        <w:pStyle w:val="BodyText"/>
        <w:ind w:left="359"/>
        <w:spacing w:before="253" w:line="222" w:lineRule="auto"/>
        <w:rPr/>
      </w:pPr>
      <w:r>
        <w:rPr>
          <w:rFonts w:ascii="Times New Roman" w:hAnsi="Times New Roman" w:eastAsia="Times New Roman" w:cs="Times New Roman"/>
          <w:spacing w:val="-2"/>
        </w:rPr>
        <w:t>·BOT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模式投资中国城市污水处理设施研究</w:t>
      </w:r>
    </w:p>
    <w:sectPr>
      <w:pgSz w:w="12240" w:h="15840"/>
      <w:pgMar w:top="1239" w:right="103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2026-03-15T23:57:18</vt:filetime>
  </property>
  <property fmtid="{D5CDD505-2E9C-101B-9397-08002B2CF9AE}" pid="4" name="UsrData">
    <vt:lpwstr>69b6d6ddd3e451001fc5bd9fwl</vt:lpwstr>
  </property>
</Properties>
</file>