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6A210">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10C889F0">
      <w:pPr>
        <w:spacing w:before="315" w:after="105" w:line="360" w:lineRule="auto"/>
        <w:ind w:left="-30"/>
        <w:jc w:val="left"/>
      </w:pPr>
      <w:bookmarkStart w:id="0" w:name="一_问题概述_核拨制下的效率症结"/>
      <w:r>
        <w:rPr>
          <w:rFonts w:ascii="Georgia" w:hAnsi="Georgia" w:eastAsia="Georgia" w:cs="Georgia"/>
          <w:b/>
          <w:color w:val="000000"/>
          <w:sz w:val="24"/>
        </w:rPr>
        <w:t>一、问题概述：核拨制下的效率症结</w:t>
      </w:r>
      <w:bookmarkEnd w:id="0"/>
    </w:p>
    <w:p w14:paraId="67E00D19">
      <w:pPr>
        <w:spacing w:after="210" w:line="360" w:lineRule="auto"/>
      </w:pPr>
      <w:r>
        <w:rPr>
          <w:rFonts w:ascii="Georgia" w:hAnsi="Georgia" w:eastAsia="Georgia" w:cs="Georgia"/>
          <w:color w:val="000000"/>
        </w:rPr>
        <w:t>在传统核拨制下，污水系统的建设和运行经费主要由财政按年度、按项目统一安排，与服务质量、运行效率的直接挂钩较弱。 在水务等公用事业领域，国际经验表明，仅靠费用报销式的行政拨款，往往难以形成持续的节约与提效动力。</w:t>
      </w:r>
      <w:bookmarkStart w:id="1" w:name="fnref3"/>
      <w:bookmarkEnd w:id="1"/>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bookmarkStart w:id="2" w:name="fnref1_1"/>
      <w:bookmarkEnd w:id="2"/>
      <w:r>
        <w:fldChar w:fldCharType="begin"/>
      </w:r>
      <w:r>
        <w:instrText xml:space="preserve"> HYPERLINK \l "fn1" \h </w:instrText>
      </w:r>
      <w:r>
        <w:fldChar w:fldCharType="separate"/>
      </w:r>
      <w:r>
        <w:rPr>
          <w:rFonts w:ascii="helvetica neue" w:hAnsi="helvetica neue" w:eastAsia="helvetica neue" w:cs="helvetica neue"/>
          <w:color w:val="000000"/>
          <w:u w:val="single"/>
          <w:vertAlign w:val="superscript"/>
        </w:rPr>
        <w:t>[1]</w:t>
      </w:r>
      <w:r>
        <w:rPr>
          <w:rFonts w:ascii="helvetica neue" w:hAnsi="helvetica neue" w:eastAsia="helvetica neue" w:cs="helvetica neue"/>
          <w:color w:val="000000"/>
          <w:u w:val="single"/>
          <w:vertAlign w:val="superscript"/>
        </w:rPr>
        <w:fldChar w:fldCharType="end"/>
      </w:r>
    </w:p>
    <w:p w14:paraId="3BB6028F">
      <w:pPr>
        <w:spacing w:after="210" w:line="360" w:lineRule="auto"/>
      </w:pPr>
      <w:r>
        <w:rPr>
          <w:rFonts w:ascii="Georgia" w:hAnsi="Georgia" w:eastAsia="Georgia" w:cs="Georgia"/>
          <w:color w:val="000000"/>
        </w:rPr>
        <w:t>主要表现包括：</w:t>
      </w:r>
      <w:bookmarkStart w:id="107" w:name="_GoBack"/>
      <w:bookmarkEnd w:id="107"/>
    </w:p>
    <w:p w14:paraId="67C4D1AA">
      <w:pPr>
        <w:numPr>
          <w:ilvl w:val="0"/>
          <w:numId w:val="1"/>
        </w:numPr>
        <w:spacing w:after="210" w:line="360" w:lineRule="auto"/>
      </w:pPr>
      <w:r>
        <w:rPr>
          <w:rFonts w:ascii="Georgia" w:hAnsi="Georgia" w:eastAsia="Georgia" w:cs="Georgia"/>
          <w:b/>
          <w:color w:val="000000"/>
          <w:sz w:val="21"/>
        </w:rPr>
        <w:t>资金使用结构不优，重建轻运维、重扩建轻提质</w:t>
      </w:r>
      <w:r>
        <w:rPr>
          <w:rFonts w:ascii="Georgia" w:hAnsi="Georgia" w:eastAsia="Georgia" w:cs="Georgia"/>
          <w:color w:val="000000"/>
          <w:sz w:val="21"/>
        </w:rPr>
        <w:br w:type="textWrapping"/>
      </w:r>
      <w:r>
        <w:rPr>
          <w:rFonts w:ascii="Georgia" w:hAnsi="Georgia" w:eastAsia="Georgia" w:cs="Georgia"/>
          <w:color w:val="000000"/>
          <w:sz w:val="21"/>
        </w:rPr>
        <w:t>多地经验表明，在财政主导投资模式下，容易优先保障新建、扩建项目，而日常运维、节能改造和精细化管理类支出则长期不足，导致设施“建得起、养不好”。 中国多项基于城市面板数据的研究显示，引入市场化（如PPP）后，在总投资差异不大的前提下，污水排放强度与达标率明显改善，侧面反映出既有核拨制模式下投资使用效率偏低。</w:t>
      </w:r>
      <w:bookmarkStart w:id="3" w:name="fnref4"/>
      <w:bookmarkEnd w:id="3"/>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bookmarkStart w:id="4" w:name="fnref5"/>
      <w:bookmarkEnd w:id="4"/>
      <w:r>
        <w:fldChar w:fldCharType="begin"/>
      </w:r>
      <w:r>
        <w:instrText xml:space="preserve"> HYPERLINK \l "fn5" \h </w:instrText>
      </w:r>
      <w:r>
        <w:fldChar w:fldCharType="separate"/>
      </w:r>
      <w:r>
        <w:rPr>
          <w:rFonts w:ascii="helvetica neue" w:hAnsi="helvetica neue" w:eastAsia="helvetica neue" w:cs="helvetica neue"/>
          <w:color w:val="000000"/>
          <w:sz w:val="21"/>
          <w:u w:val="single"/>
          <w:vertAlign w:val="superscript"/>
        </w:rPr>
        <w:t>[5]</w:t>
      </w:r>
      <w:r>
        <w:rPr>
          <w:rFonts w:ascii="helvetica neue" w:hAnsi="helvetica neue" w:eastAsia="helvetica neue" w:cs="helvetica neue"/>
          <w:color w:val="000000"/>
          <w:sz w:val="21"/>
          <w:u w:val="single"/>
          <w:vertAlign w:val="superscript"/>
        </w:rPr>
        <w:fldChar w:fldCharType="end"/>
      </w:r>
      <w:bookmarkStart w:id="5" w:name="fnref2_1"/>
      <w:bookmarkEnd w:id="5"/>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bookmarkStart w:id="6" w:name="fnref6"/>
      <w:bookmarkEnd w:id="6"/>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p>
    <w:p w14:paraId="119E5E1E">
      <w:pPr>
        <w:numPr>
          <w:ilvl w:val="0"/>
          <w:numId w:val="1"/>
        </w:numPr>
        <w:spacing w:after="210" w:line="360" w:lineRule="auto"/>
      </w:pPr>
      <w:r>
        <w:rPr>
          <w:rFonts w:ascii="Georgia" w:hAnsi="Georgia" w:eastAsia="Georgia" w:cs="Georgia"/>
          <w:b/>
          <w:color w:val="000000"/>
          <w:sz w:val="21"/>
        </w:rPr>
        <w:t>日常维护积极性不足，停留在“保运转”水平</w:t>
      </w:r>
      <w:r>
        <w:rPr>
          <w:rFonts w:ascii="Georgia" w:hAnsi="Georgia" w:eastAsia="Georgia" w:cs="Georgia"/>
          <w:color w:val="000000"/>
          <w:sz w:val="21"/>
        </w:rPr>
        <w:br w:type="textWrapping"/>
      </w:r>
      <w:r>
        <w:rPr>
          <w:rFonts w:ascii="Georgia" w:hAnsi="Georgia" w:eastAsia="Georgia" w:cs="Georgia"/>
          <w:color w:val="000000"/>
          <w:sz w:val="21"/>
        </w:rPr>
        <w:t>核拨制往往采取定员、定经费管理，运维单位完成与否与收入关系不大，考核也多停留在“是否按时运行”层面，缺少对能耗、药耗、事故率等关键指标的约束。 在某些县域污水项目案例中，由于运维经费紧张、人员有限，只能进行简单清掏和故障抢修，难以实施系统性的预防性维护，直接影响出水水质和设备寿命。</w:t>
      </w:r>
      <w:bookmarkStart w:id="7" w:name="fnref7"/>
      <w:bookmarkEnd w:id="7"/>
      <w:r>
        <w:fldChar w:fldCharType="begin"/>
      </w:r>
      <w:r>
        <w:instrText xml:space="preserve"> HYPERLINK \l "fn7" \h </w:instrText>
      </w:r>
      <w:r>
        <w:fldChar w:fldCharType="separate"/>
      </w:r>
      <w:r>
        <w:rPr>
          <w:rFonts w:ascii="helvetica neue" w:hAnsi="helvetica neue" w:eastAsia="helvetica neue" w:cs="helvetica neue"/>
          <w:color w:val="000000"/>
          <w:sz w:val="21"/>
          <w:u w:val="single"/>
          <w:vertAlign w:val="superscript"/>
        </w:rPr>
        <w:t>[7]</w:t>
      </w:r>
      <w:r>
        <w:rPr>
          <w:rFonts w:ascii="helvetica neue" w:hAnsi="helvetica neue" w:eastAsia="helvetica neue" w:cs="helvetica neue"/>
          <w:color w:val="000000"/>
          <w:sz w:val="21"/>
          <w:u w:val="single"/>
          <w:vertAlign w:val="superscript"/>
        </w:rPr>
        <w:fldChar w:fldCharType="end"/>
      </w:r>
      <w:bookmarkStart w:id="8" w:name="fnref6_1"/>
      <w:bookmarkEnd w:id="8"/>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9" w:name="fnref1_2"/>
      <w:bookmarkEnd w:id="9"/>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p>
    <w:p w14:paraId="71418756">
      <w:pPr>
        <w:numPr>
          <w:ilvl w:val="0"/>
          <w:numId w:val="1"/>
        </w:numPr>
        <w:spacing w:after="210" w:line="360" w:lineRule="auto"/>
      </w:pPr>
      <w:r>
        <w:rPr>
          <w:rFonts w:ascii="Georgia" w:hAnsi="Georgia" w:eastAsia="Georgia" w:cs="Georgia"/>
          <w:b/>
          <w:color w:val="000000"/>
          <w:sz w:val="21"/>
        </w:rPr>
        <w:t>技术更新和管理创新动力不足</w:t>
      </w:r>
      <w:r>
        <w:rPr>
          <w:rFonts w:ascii="Georgia" w:hAnsi="Georgia" w:eastAsia="Georgia" w:cs="Georgia"/>
          <w:color w:val="000000"/>
          <w:sz w:val="21"/>
        </w:rPr>
        <w:br w:type="textWrapping"/>
      </w:r>
      <w:r>
        <w:rPr>
          <w:rFonts w:ascii="Georgia" w:hAnsi="Georgia" w:eastAsia="Georgia" w:cs="Georgia"/>
          <w:color w:val="000000"/>
          <w:sz w:val="21"/>
        </w:rPr>
        <w:t>工艺升级、自动化改造、在线监控和实时控制等技术通常需要一次性较大投入，而核拨制下追加预算周期长、不确定性高，导致运维单位对创新和技改积极性不足。 相比之下，采用PPP或绩效监管模式的污水厂普遍通过合同和绩效指标推动能耗控制、设施更新和远程监控系统应用，以保证长期服务质量和收益。</w:t>
      </w:r>
      <w:bookmarkStart w:id="10" w:name="fnref5_1"/>
      <w:bookmarkEnd w:id="10"/>
      <w:r>
        <w:fldChar w:fldCharType="begin"/>
      </w:r>
      <w:r>
        <w:instrText xml:space="preserve"> HYPERLINK \l "fn5" \h </w:instrText>
      </w:r>
      <w:r>
        <w:fldChar w:fldCharType="separate"/>
      </w:r>
      <w:r>
        <w:rPr>
          <w:rFonts w:ascii="helvetica neue" w:hAnsi="helvetica neue" w:eastAsia="helvetica neue" w:cs="helvetica neue"/>
          <w:color w:val="000000"/>
          <w:sz w:val="21"/>
          <w:u w:val="single"/>
          <w:vertAlign w:val="superscript"/>
        </w:rPr>
        <w:t>[5]</w:t>
      </w:r>
      <w:r>
        <w:rPr>
          <w:rFonts w:ascii="helvetica neue" w:hAnsi="helvetica neue" w:eastAsia="helvetica neue" w:cs="helvetica neue"/>
          <w:color w:val="000000"/>
          <w:sz w:val="21"/>
          <w:u w:val="single"/>
          <w:vertAlign w:val="superscript"/>
        </w:rPr>
        <w:fldChar w:fldCharType="end"/>
      </w:r>
      <w:bookmarkStart w:id="11" w:name="fnref8"/>
      <w:bookmarkEnd w:id="11"/>
      <w:r>
        <w:fldChar w:fldCharType="begin"/>
      </w:r>
      <w:r>
        <w:instrText xml:space="preserve"> HYPERLINK \l "fn8" \h </w:instrText>
      </w:r>
      <w:r>
        <w:fldChar w:fldCharType="separate"/>
      </w:r>
      <w:r>
        <w:rPr>
          <w:rFonts w:ascii="helvetica neue" w:hAnsi="helvetica neue" w:eastAsia="helvetica neue" w:cs="helvetica neue"/>
          <w:color w:val="000000"/>
          <w:sz w:val="21"/>
          <w:u w:val="single"/>
          <w:vertAlign w:val="superscript"/>
        </w:rPr>
        <w:t>[8]</w:t>
      </w:r>
      <w:r>
        <w:rPr>
          <w:rFonts w:ascii="helvetica neue" w:hAnsi="helvetica neue" w:eastAsia="helvetica neue" w:cs="helvetica neue"/>
          <w:color w:val="000000"/>
          <w:sz w:val="21"/>
          <w:u w:val="single"/>
          <w:vertAlign w:val="superscript"/>
        </w:rPr>
        <w:fldChar w:fldCharType="end"/>
      </w:r>
      <w:bookmarkStart w:id="12" w:name="fnref2_2"/>
      <w:bookmarkEnd w:id="12"/>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bookmarkStart w:id="13" w:name="fnref9"/>
      <w:bookmarkEnd w:id="13"/>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bookmarkStart w:id="14" w:name="fnref7_1"/>
      <w:bookmarkEnd w:id="14"/>
      <w:r>
        <w:fldChar w:fldCharType="begin"/>
      </w:r>
      <w:r>
        <w:instrText xml:space="preserve"> HYPERLINK \l "fn7" \h </w:instrText>
      </w:r>
      <w:r>
        <w:fldChar w:fldCharType="separate"/>
      </w:r>
      <w:r>
        <w:rPr>
          <w:rFonts w:ascii="helvetica neue" w:hAnsi="helvetica neue" w:eastAsia="helvetica neue" w:cs="helvetica neue"/>
          <w:color w:val="000000"/>
          <w:sz w:val="21"/>
          <w:u w:val="single"/>
          <w:vertAlign w:val="superscript"/>
        </w:rPr>
        <w:t>[7]</w:t>
      </w:r>
      <w:r>
        <w:rPr>
          <w:rFonts w:ascii="helvetica neue" w:hAnsi="helvetica neue" w:eastAsia="helvetica neue" w:cs="helvetica neue"/>
          <w:color w:val="000000"/>
          <w:sz w:val="21"/>
          <w:u w:val="single"/>
          <w:vertAlign w:val="superscript"/>
        </w:rPr>
        <w:fldChar w:fldCharType="end"/>
      </w:r>
    </w:p>
    <w:p w14:paraId="6CE77BAA">
      <w:pPr>
        <w:numPr>
          <w:ilvl w:val="0"/>
          <w:numId w:val="1"/>
        </w:numPr>
        <w:spacing w:after="210" w:line="360" w:lineRule="auto"/>
      </w:pPr>
      <w:r>
        <w:rPr>
          <w:rFonts w:ascii="Georgia" w:hAnsi="Georgia" w:eastAsia="Georgia" w:cs="Georgia"/>
          <w:b/>
          <w:color w:val="000000"/>
          <w:sz w:val="21"/>
        </w:rPr>
        <w:t>与雨水系统缺乏统筹，整体排水效率欠佳</w:t>
      </w:r>
      <w:r>
        <w:rPr>
          <w:rFonts w:ascii="Georgia" w:hAnsi="Georgia" w:eastAsia="Georgia" w:cs="Georgia"/>
          <w:color w:val="000000"/>
          <w:sz w:val="21"/>
        </w:rPr>
        <w:br w:type="textWrapping"/>
      </w:r>
      <w:r>
        <w:rPr>
          <w:rFonts w:ascii="Georgia" w:hAnsi="Georgia" w:eastAsia="Georgia" w:cs="Georgia"/>
          <w:color w:val="000000"/>
          <w:sz w:val="21"/>
        </w:rPr>
        <w:t>核拨制往往按部门或设施类型分预算，雨污系统分属不同单位，容易造成管网、调蓄设施和污水厂之间缺乏整体优化设计和联合调度，出现一边雨水溢流、一边污水厂能力闲置等现象。 全球经验显示，将城市污水、雨水（含绿色基础设施）作为一体化系统进行规划和管控，可在不成比例增加投资的情况下，显著改善内涝与水质问题。</w:t>
      </w:r>
      <w:bookmarkStart w:id="15" w:name="fnref10"/>
      <w:bookmarkEnd w:id="15"/>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16" w:name="fnref11"/>
      <w:bookmarkEnd w:id="16"/>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17" w:name="fnref12"/>
      <w:bookmarkEnd w:id="17"/>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p>
    <w:p w14:paraId="6F9B8A22">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57D700AA">
      <w:pPr>
        <w:spacing w:before="315" w:after="105" w:line="360" w:lineRule="auto"/>
        <w:ind w:left="-30"/>
        <w:jc w:val="left"/>
      </w:pPr>
      <w:bookmarkStart w:id="18" w:name="二_可选管理与激励模式及运作方式"/>
      <w:r>
        <w:rPr>
          <w:rFonts w:ascii="Georgia" w:hAnsi="Georgia" w:eastAsia="Georgia" w:cs="Georgia"/>
          <w:b/>
          <w:color w:val="000000"/>
          <w:sz w:val="24"/>
        </w:rPr>
        <w:t>二、可选管理与激励模式及运作方式</w:t>
      </w:r>
      <w:bookmarkEnd w:id="18"/>
    </w:p>
    <w:p w14:paraId="44F3B697">
      <w:pPr>
        <w:spacing w:after="210" w:line="360" w:lineRule="auto"/>
      </w:pPr>
      <w:r>
        <w:rPr>
          <w:rFonts w:ascii="Georgia" w:hAnsi="Georgia" w:eastAsia="Georgia" w:cs="Georgia"/>
          <w:color w:val="000000"/>
        </w:rPr>
        <w:t>在保持政府对污水基础设施“公益性、底线性”把控的前提下，可以在传统核拨制基础上，引入多元化的资金安排和绩效激励机制，形成“基础保障 + 市场参与 + 绩效监管”的复合模式。 下表对几种典型模式作简要对比（可并行使用，并非互斥）。</w:t>
      </w:r>
      <w:bookmarkStart w:id="19" w:name="fnref2_3"/>
      <w:bookmarkEnd w:id="19"/>
      <w:r>
        <w:fldChar w:fldCharType="begin"/>
      </w:r>
      <w:r>
        <w:instrText xml:space="preserve"> HYPERLINK \l "fn2" \h </w:instrText>
      </w:r>
      <w:r>
        <w:fldChar w:fldCharType="separate"/>
      </w:r>
      <w:r>
        <w:rPr>
          <w:rFonts w:ascii="helvetica neue" w:hAnsi="helvetica neue" w:eastAsia="helvetica neue" w:cs="helvetica neue"/>
          <w:color w:val="000000"/>
          <w:u w:val="single"/>
          <w:vertAlign w:val="superscript"/>
        </w:rPr>
        <w:t>[2]</w:t>
      </w:r>
      <w:r>
        <w:rPr>
          <w:rFonts w:ascii="helvetica neue" w:hAnsi="helvetica neue" w:eastAsia="helvetica neue" w:cs="helvetica neue"/>
          <w:color w:val="000000"/>
          <w:u w:val="single"/>
          <w:vertAlign w:val="superscript"/>
        </w:rPr>
        <w:fldChar w:fldCharType="end"/>
      </w:r>
      <w:bookmarkStart w:id="20" w:name="fnref3_1"/>
      <w:bookmarkEnd w:id="20"/>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p>
    <w:p w14:paraId="6AEFEBF1">
      <w:pPr>
        <w:spacing w:before="315" w:after="105" w:line="360" w:lineRule="auto"/>
        <w:ind w:left="-30"/>
        <w:jc w:val="left"/>
      </w:pPr>
      <w:bookmarkStart w:id="21" w:name="若干污水管理与资金模式对比"/>
      <w:r>
        <w:rPr>
          <w:rFonts w:ascii="Georgia" w:hAnsi="Georgia" w:eastAsia="Georgia" w:cs="Georgia"/>
          <w:b/>
          <w:color w:val="000000"/>
          <w:sz w:val="24"/>
        </w:rPr>
        <w:t>若干污水管理与资金模式对比</w:t>
      </w:r>
      <w:bookmarkEnd w:id="21"/>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86"/>
        <w:gridCol w:w="2412"/>
        <w:gridCol w:w="1824"/>
        <w:gridCol w:w="1978"/>
        <w:gridCol w:w="2240"/>
      </w:tblGrid>
      <w:tr w14:paraId="6B8A544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7623FEB">
            <w:pPr>
              <w:spacing w:after="0" w:line="360" w:lineRule="auto"/>
            </w:pPr>
            <w:r>
              <w:rPr>
                <w:rFonts w:ascii="helvetica neue" w:hAnsi="helvetica neue" w:eastAsia="helvetica neue" w:cs="helvetica neue"/>
                <w:color w:val="000000"/>
                <w:sz w:val="17"/>
              </w:rPr>
              <w:t>模式</w:t>
            </w:r>
          </w:p>
        </w:tc>
        <w:tc>
          <w:tcPr>
            <w:tcBorders>
              <w:top w:val="single" w:color="000000" w:sz="0" w:space="0"/>
              <w:bottom w:val="single" w:color="000000" w:sz="0" w:space="0"/>
              <w:right w:val="single" w:color="000000" w:sz="0" w:space="0"/>
            </w:tcBorders>
          </w:tcPr>
          <w:p w14:paraId="5CDA6C0C">
            <w:pPr>
              <w:spacing w:after="0" w:line="360" w:lineRule="auto"/>
            </w:pPr>
            <w:r>
              <w:rPr>
                <w:rFonts w:ascii="helvetica neue" w:hAnsi="helvetica neue" w:eastAsia="helvetica neue" w:cs="helvetica neue"/>
                <w:color w:val="000000"/>
                <w:sz w:val="17"/>
              </w:rPr>
              <w:t>核心运作方式</w:t>
            </w:r>
          </w:p>
        </w:tc>
        <w:tc>
          <w:tcPr>
            <w:tcBorders>
              <w:top w:val="single" w:color="000000" w:sz="0" w:space="0"/>
              <w:bottom w:val="single" w:color="000000" w:sz="0" w:space="0"/>
              <w:right w:val="single" w:color="000000" w:sz="0" w:space="0"/>
            </w:tcBorders>
          </w:tcPr>
          <w:p w14:paraId="61D73174">
            <w:pPr>
              <w:spacing w:after="0" w:line="360" w:lineRule="auto"/>
            </w:pPr>
            <w:r>
              <w:rPr>
                <w:rFonts w:ascii="helvetica neue" w:hAnsi="helvetica neue" w:eastAsia="helvetica neue" w:cs="helvetica neue"/>
                <w:color w:val="000000"/>
                <w:sz w:val="17"/>
              </w:rPr>
              <w:t>主要优点</w:t>
            </w:r>
          </w:p>
        </w:tc>
        <w:tc>
          <w:tcPr>
            <w:tcBorders>
              <w:top w:val="single" w:color="000000" w:sz="0" w:space="0"/>
              <w:bottom w:val="single" w:color="000000" w:sz="0" w:space="0"/>
              <w:right w:val="single" w:color="000000" w:sz="0" w:space="0"/>
            </w:tcBorders>
          </w:tcPr>
          <w:p w14:paraId="71E4005F">
            <w:pPr>
              <w:spacing w:after="0" w:line="360" w:lineRule="auto"/>
            </w:pPr>
            <w:r>
              <w:rPr>
                <w:rFonts w:ascii="helvetica neue" w:hAnsi="helvetica neue" w:eastAsia="helvetica neue" w:cs="helvetica neue"/>
                <w:color w:val="000000"/>
                <w:sz w:val="17"/>
              </w:rPr>
              <w:t>主要风险及适用条件</w:t>
            </w:r>
          </w:p>
        </w:tc>
        <w:tc>
          <w:tcPr>
            <w:tcBorders>
              <w:top w:val="single" w:color="000000" w:sz="0" w:space="0"/>
              <w:bottom w:val="single" w:color="000000" w:sz="0" w:space="0"/>
            </w:tcBorders>
          </w:tcPr>
          <w:p w14:paraId="00F069B0">
            <w:pPr>
              <w:spacing w:after="0" w:line="360" w:lineRule="auto"/>
            </w:pPr>
            <w:r>
              <w:rPr>
                <w:rFonts w:ascii="helvetica neue" w:hAnsi="helvetica neue" w:eastAsia="helvetica neue" w:cs="helvetica neue"/>
                <w:color w:val="000000"/>
                <w:sz w:val="17"/>
              </w:rPr>
              <w:t>对效率的典型影响</w:t>
            </w:r>
          </w:p>
        </w:tc>
      </w:tr>
      <w:tr w14:paraId="50ED1DE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51EA3CC">
            <w:pPr>
              <w:spacing w:after="0" w:line="360" w:lineRule="auto"/>
            </w:pPr>
            <w:r>
              <w:rPr>
                <w:rFonts w:ascii="helvetica neue" w:hAnsi="helvetica neue" w:eastAsia="helvetica neue" w:cs="helvetica neue"/>
                <w:color w:val="000000"/>
                <w:sz w:val="17"/>
              </w:rPr>
              <w:t>传统核拨制</w:t>
            </w:r>
          </w:p>
        </w:tc>
        <w:tc>
          <w:tcPr>
            <w:tcBorders>
              <w:top w:val="single" w:color="000000" w:sz="0" w:space="0"/>
              <w:bottom w:val="single" w:color="000000" w:sz="0" w:space="0"/>
              <w:right w:val="single" w:color="000000" w:sz="0" w:space="0"/>
            </w:tcBorders>
          </w:tcPr>
          <w:p w14:paraId="71870410">
            <w:pPr>
              <w:spacing w:after="0" w:line="360" w:lineRule="auto"/>
            </w:pPr>
            <w:r>
              <w:rPr>
                <w:rFonts w:ascii="helvetica neue" w:hAnsi="helvetica neue" w:eastAsia="helvetica neue" w:cs="helvetica neue"/>
                <w:color w:val="000000"/>
                <w:sz w:val="17"/>
              </w:rPr>
              <w:t>由财政按年度、项目统一拨付建设和运维经费，费用报销为主</w:t>
            </w:r>
          </w:p>
        </w:tc>
        <w:tc>
          <w:tcPr>
            <w:tcBorders>
              <w:top w:val="single" w:color="000000" w:sz="0" w:space="0"/>
              <w:bottom w:val="single" w:color="000000" w:sz="0" w:space="0"/>
              <w:right w:val="single" w:color="000000" w:sz="0" w:space="0"/>
            </w:tcBorders>
          </w:tcPr>
          <w:p w14:paraId="71AAC8DB">
            <w:pPr>
              <w:spacing w:after="0" w:line="360" w:lineRule="auto"/>
            </w:pPr>
            <w:r>
              <w:rPr>
                <w:rFonts w:ascii="helvetica neue" w:hAnsi="helvetica neue" w:eastAsia="helvetica neue" w:cs="helvetica neue"/>
                <w:color w:val="000000"/>
                <w:sz w:val="17"/>
              </w:rPr>
              <w:t>公共属性明确，资金来源稳定，易于统一规划</w:t>
            </w:r>
          </w:p>
        </w:tc>
        <w:tc>
          <w:tcPr>
            <w:tcBorders>
              <w:top w:val="single" w:color="000000" w:sz="0" w:space="0"/>
              <w:bottom w:val="single" w:color="000000" w:sz="0" w:space="0"/>
              <w:right w:val="single" w:color="000000" w:sz="0" w:space="0"/>
            </w:tcBorders>
          </w:tcPr>
          <w:p w14:paraId="212E4267">
            <w:pPr>
              <w:spacing w:after="0" w:line="360" w:lineRule="auto"/>
            </w:pPr>
            <w:r>
              <w:rPr>
                <w:rFonts w:ascii="helvetica neue" w:hAnsi="helvetica neue" w:eastAsia="helvetica neue" w:cs="helvetica neue"/>
                <w:color w:val="000000"/>
                <w:sz w:val="17"/>
              </w:rPr>
              <w:t>激励不足、易重建设轻运维，对成本和服务质量关注度有限，适用于财力较强、系统较简单地区</w:t>
            </w:r>
          </w:p>
        </w:tc>
        <w:tc>
          <w:tcPr>
            <w:tcBorders>
              <w:top w:val="single" w:color="000000" w:sz="0" w:space="0"/>
              <w:bottom w:val="single" w:color="000000" w:sz="0" w:space="0"/>
            </w:tcBorders>
          </w:tcPr>
          <w:p w14:paraId="10215C12">
            <w:pPr>
              <w:spacing w:after="0" w:line="360" w:lineRule="auto"/>
            </w:pPr>
            <w:r>
              <w:rPr>
                <w:rFonts w:ascii="helvetica neue" w:hAnsi="helvetica neue" w:eastAsia="helvetica neue" w:cs="helvetica neue"/>
                <w:color w:val="000000"/>
                <w:sz w:val="17"/>
              </w:rPr>
              <w:t>容易出现设施利用率不高、能耗偏高和维护不足等情况</w:t>
            </w:r>
            <w:r>
              <w:fldChar w:fldCharType="begin"/>
            </w:r>
            <w:r>
              <w:instrText xml:space="preserve"> HYPERLINK \l "fn1" \h </w:instrText>
            </w:r>
            <w:r>
              <w:fldChar w:fldCharType="separate"/>
            </w:r>
            <w:r>
              <w:rPr>
                <w:rFonts w:ascii="helvetica neue" w:hAnsi="helvetica neue" w:eastAsia="helvetica neue" w:cs="helvetica neue"/>
                <w:color w:val="000000"/>
                <w:sz w:val="17"/>
                <w:u w:val="single"/>
                <w:vertAlign w:val="superscript"/>
              </w:rPr>
              <w:t>[1]</w:t>
            </w:r>
            <w:r>
              <w:rPr>
                <w:rFonts w:ascii="helvetica neue" w:hAnsi="helvetica neue" w:eastAsia="helvetica neue" w:cs="helvetica neue"/>
                <w:color w:val="000000"/>
                <w:sz w:val="17"/>
                <w:u w:val="single"/>
                <w:vertAlign w:val="superscript"/>
              </w:rPr>
              <w:fldChar w:fldCharType="end"/>
            </w:r>
            <w:r>
              <w:fldChar w:fldCharType="begin"/>
            </w:r>
            <w:r>
              <w:instrText xml:space="preserve"> HYPERLINK \l "fn6" \h </w:instrText>
            </w:r>
            <w:r>
              <w:fldChar w:fldCharType="separate"/>
            </w:r>
            <w:r>
              <w:rPr>
                <w:rFonts w:ascii="helvetica neue" w:hAnsi="helvetica neue" w:eastAsia="helvetica neue" w:cs="helvetica neue"/>
                <w:color w:val="000000"/>
                <w:sz w:val="17"/>
                <w:u w:val="single"/>
                <w:vertAlign w:val="superscript"/>
              </w:rPr>
              <w:t>[6]</w:t>
            </w:r>
            <w:r>
              <w:rPr>
                <w:rFonts w:ascii="helvetica neue" w:hAnsi="helvetica neue" w:eastAsia="helvetica neue" w:cs="helvetica neue"/>
                <w:color w:val="000000"/>
                <w:sz w:val="17"/>
                <w:u w:val="single"/>
                <w:vertAlign w:val="superscript"/>
              </w:rPr>
              <w:fldChar w:fldCharType="end"/>
            </w:r>
          </w:p>
        </w:tc>
      </w:tr>
      <w:tr w14:paraId="76EF642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89B3BB8">
            <w:pPr>
              <w:spacing w:after="0" w:line="360" w:lineRule="auto"/>
            </w:pPr>
            <w:r>
              <w:rPr>
                <w:rFonts w:ascii="helvetica neue" w:hAnsi="helvetica neue" w:eastAsia="helvetica neue" w:cs="helvetica neue"/>
                <w:color w:val="000000"/>
                <w:sz w:val="17"/>
              </w:rPr>
              <w:t>政府购买服务 / 委托运营</w:t>
            </w:r>
          </w:p>
        </w:tc>
        <w:tc>
          <w:tcPr>
            <w:tcBorders>
              <w:top w:val="single" w:color="000000" w:sz="0" w:space="0"/>
              <w:bottom w:val="single" w:color="000000" w:sz="0" w:space="0"/>
              <w:right w:val="single" w:color="000000" w:sz="0" w:space="0"/>
            </w:tcBorders>
          </w:tcPr>
          <w:p w14:paraId="4E307DAD">
            <w:pPr>
              <w:spacing w:after="0" w:line="360" w:lineRule="auto"/>
            </w:pPr>
            <w:r>
              <w:rPr>
                <w:rFonts w:ascii="helvetica neue" w:hAnsi="helvetica neue" w:eastAsia="helvetica neue" w:cs="helvetica neue"/>
                <w:color w:val="000000"/>
                <w:sz w:val="17"/>
              </w:rPr>
              <w:t>资产仍属政府，通过招标选择专业运营商，按服务量、服务质量支付服务费，可附加奖惩条款</w:t>
            </w:r>
          </w:p>
        </w:tc>
        <w:tc>
          <w:tcPr>
            <w:tcBorders>
              <w:top w:val="single" w:color="000000" w:sz="0" w:space="0"/>
              <w:bottom w:val="single" w:color="000000" w:sz="0" w:space="0"/>
              <w:right w:val="single" w:color="000000" w:sz="0" w:space="0"/>
            </w:tcBorders>
          </w:tcPr>
          <w:p w14:paraId="150CA787">
            <w:pPr>
              <w:spacing w:after="0" w:line="360" w:lineRule="auto"/>
            </w:pPr>
            <w:r>
              <w:rPr>
                <w:rFonts w:ascii="helvetica neue" w:hAnsi="helvetica neue" w:eastAsia="helvetica neue" w:cs="helvetica neue"/>
                <w:color w:val="000000"/>
                <w:sz w:val="17"/>
              </w:rPr>
              <w:t>引入专业化管理，便于以合同形式约定服务标准和考核指标，政府仍保有资产控制权</w:t>
            </w:r>
          </w:p>
        </w:tc>
        <w:tc>
          <w:tcPr>
            <w:tcBorders>
              <w:top w:val="single" w:color="000000" w:sz="0" w:space="0"/>
              <w:bottom w:val="single" w:color="000000" w:sz="0" w:space="0"/>
              <w:right w:val="single" w:color="000000" w:sz="0" w:space="0"/>
            </w:tcBorders>
          </w:tcPr>
          <w:p w14:paraId="4C0B643E">
            <w:pPr>
              <w:spacing w:after="0" w:line="360" w:lineRule="auto"/>
            </w:pPr>
            <w:r>
              <w:rPr>
                <w:rFonts w:ascii="helvetica neue" w:hAnsi="helvetica neue" w:eastAsia="helvetica neue" w:cs="helvetica neue"/>
                <w:color w:val="000000"/>
                <w:sz w:val="17"/>
              </w:rPr>
              <w:t>合同设计复杂，需要较强的采购与监管能力，适用于技术相对成熟、风险可控的厂网运维</w:t>
            </w:r>
          </w:p>
        </w:tc>
        <w:tc>
          <w:tcPr>
            <w:tcBorders>
              <w:top w:val="single" w:color="000000" w:sz="0" w:space="0"/>
              <w:bottom w:val="single" w:color="000000" w:sz="0" w:space="0"/>
            </w:tcBorders>
          </w:tcPr>
          <w:p w14:paraId="00E42FBF">
            <w:pPr>
              <w:spacing w:after="0" w:line="360" w:lineRule="auto"/>
            </w:pPr>
            <w:r>
              <w:rPr>
                <w:rFonts w:ascii="helvetica neue" w:hAnsi="helvetica neue" w:eastAsia="helvetica neue" w:cs="helvetica neue"/>
                <w:color w:val="000000"/>
                <w:sz w:val="17"/>
              </w:rPr>
              <w:t>实证表明专业化运维有利于提高出水稳定性和设备完好率，但运行成本略有上升</w:t>
            </w:r>
            <w:r>
              <w:fldChar w:fldCharType="begin"/>
            </w:r>
            <w:r>
              <w:instrText xml:space="preserve"> HYPERLINK \l "fn4" \h </w:instrText>
            </w:r>
            <w:r>
              <w:fldChar w:fldCharType="separate"/>
            </w:r>
            <w:r>
              <w:rPr>
                <w:rFonts w:ascii="helvetica neue" w:hAnsi="helvetica neue" w:eastAsia="helvetica neue" w:cs="helvetica neue"/>
                <w:color w:val="000000"/>
                <w:sz w:val="17"/>
                <w:u w:val="single"/>
                <w:vertAlign w:val="superscript"/>
              </w:rPr>
              <w:t>[4]</w:t>
            </w:r>
            <w:r>
              <w:rPr>
                <w:rFonts w:ascii="helvetica neue" w:hAnsi="helvetica neue" w:eastAsia="helvetica neue" w:cs="helvetica neue"/>
                <w:color w:val="000000"/>
                <w:sz w:val="17"/>
                <w:u w:val="single"/>
                <w:vertAlign w:val="superscript"/>
              </w:rPr>
              <w:fldChar w:fldCharType="end"/>
            </w:r>
            <w:r>
              <w:fldChar w:fldCharType="begin"/>
            </w:r>
            <w:r>
              <w:instrText xml:space="preserve"> HYPERLINK \l "fn2" \h </w:instrText>
            </w:r>
            <w:r>
              <w:fldChar w:fldCharType="separate"/>
            </w:r>
            <w:r>
              <w:rPr>
                <w:rFonts w:ascii="helvetica neue" w:hAnsi="helvetica neue" w:eastAsia="helvetica neue" w:cs="helvetica neue"/>
                <w:color w:val="000000"/>
                <w:sz w:val="17"/>
                <w:u w:val="single"/>
                <w:vertAlign w:val="superscript"/>
              </w:rPr>
              <w:t>[2]</w:t>
            </w:r>
            <w:r>
              <w:rPr>
                <w:rFonts w:ascii="helvetica neue" w:hAnsi="helvetica neue" w:eastAsia="helvetica neue" w:cs="helvetica neue"/>
                <w:color w:val="000000"/>
                <w:sz w:val="17"/>
                <w:u w:val="single"/>
                <w:vertAlign w:val="superscript"/>
              </w:rPr>
              <w:fldChar w:fldCharType="end"/>
            </w:r>
          </w:p>
        </w:tc>
      </w:tr>
      <w:tr w14:paraId="0F3886A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AF9F5EA">
            <w:pPr>
              <w:spacing w:after="0" w:line="360" w:lineRule="auto"/>
            </w:pPr>
            <w:r>
              <w:rPr>
                <w:rFonts w:ascii="helvetica neue" w:hAnsi="helvetica neue" w:eastAsia="helvetica neue" w:cs="helvetica neue"/>
                <w:color w:val="000000"/>
                <w:sz w:val="17"/>
              </w:rPr>
              <w:t>PPP / 特许经营模式</w:t>
            </w:r>
          </w:p>
        </w:tc>
        <w:tc>
          <w:tcPr>
            <w:tcBorders>
              <w:top w:val="single" w:color="000000" w:sz="0" w:space="0"/>
              <w:bottom w:val="single" w:color="000000" w:sz="0" w:space="0"/>
              <w:right w:val="single" w:color="000000" w:sz="0" w:space="0"/>
            </w:tcBorders>
          </w:tcPr>
          <w:p w14:paraId="734E4552">
            <w:pPr>
              <w:spacing w:after="0" w:line="360" w:lineRule="auto"/>
            </w:pPr>
            <w:r>
              <w:rPr>
                <w:rFonts w:ascii="helvetica neue" w:hAnsi="helvetica neue" w:eastAsia="helvetica neue" w:cs="helvetica neue"/>
                <w:color w:val="000000"/>
                <w:sz w:val="17"/>
              </w:rPr>
              <w:t>通过BOT、ROT等方式，引入社会资本负责投融资、建设和运营，政府按可用性、处理量和水质支付对价</w:t>
            </w:r>
          </w:p>
        </w:tc>
        <w:tc>
          <w:tcPr>
            <w:tcBorders>
              <w:top w:val="single" w:color="000000" w:sz="0" w:space="0"/>
              <w:bottom w:val="single" w:color="000000" w:sz="0" w:space="0"/>
              <w:right w:val="single" w:color="000000" w:sz="0" w:space="0"/>
            </w:tcBorders>
          </w:tcPr>
          <w:p w14:paraId="7DF41DAE">
            <w:pPr>
              <w:spacing w:after="0" w:line="360" w:lineRule="auto"/>
            </w:pPr>
            <w:r>
              <w:rPr>
                <w:rFonts w:ascii="helvetica neue" w:hAnsi="helvetica neue" w:eastAsia="helvetica neue" w:cs="helvetica neue"/>
                <w:color w:val="000000"/>
                <w:sz w:val="17"/>
              </w:rPr>
              <w:t>可缓解政府当期财政压力，引入长期绩效激励和全生命周期管理思维</w:t>
            </w:r>
          </w:p>
        </w:tc>
        <w:tc>
          <w:tcPr>
            <w:tcBorders>
              <w:top w:val="single" w:color="000000" w:sz="0" w:space="0"/>
              <w:bottom w:val="single" w:color="000000" w:sz="0" w:space="0"/>
              <w:right w:val="single" w:color="000000" w:sz="0" w:space="0"/>
            </w:tcBorders>
          </w:tcPr>
          <w:p w14:paraId="24D6A944">
            <w:pPr>
              <w:spacing w:after="0" w:line="360" w:lineRule="auto"/>
            </w:pPr>
            <w:r>
              <w:rPr>
                <w:rFonts w:ascii="helvetica neue" w:hAnsi="helvetica neue" w:eastAsia="helvetica neue" w:cs="helvetica neue"/>
                <w:color w:val="000000"/>
                <w:sz w:val="17"/>
              </w:rPr>
              <w:t>需合理分配风险，防止“重融资、轻绩效”；对制度环境和政商关系要求较高</w:t>
            </w:r>
            <w:r>
              <w:fldChar w:fldCharType="begin"/>
            </w:r>
            <w:r>
              <w:instrText xml:space="preserve"> HYPERLINK \l "fn2" \h </w:instrText>
            </w:r>
            <w:r>
              <w:fldChar w:fldCharType="separate"/>
            </w:r>
            <w:r>
              <w:rPr>
                <w:rFonts w:ascii="helvetica neue" w:hAnsi="helvetica neue" w:eastAsia="helvetica neue" w:cs="helvetica neue"/>
                <w:color w:val="000000"/>
                <w:sz w:val="17"/>
                <w:u w:val="single"/>
                <w:vertAlign w:val="superscript"/>
              </w:rPr>
              <w:t>[2]</w:t>
            </w:r>
            <w:r>
              <w:rPr>
                <w:rFonts w:ascii="helvetica neue" w:hAnsi="helvetica neue" w:eastAsia="helvetica neue" w:cs="helvetica neue"/>
                <w:color w:val="000000"/>
                <w:sz w:val="17"/>
                <w:u w:val="single"/>
                <w:vertAlign w:val="superscript"/>
              </w:rPr>
              <w:fldChar w:fldCharType="end"/>
            </w:r>
            <w:r>
              <w:fldChar w:fldCharType="begin"/>
            </w:r>
            <w:r>
              <w:instrText xml:space="preserve"> HYPERLINK \l "fn6" \h </w:instrText>
            </w:r>
            <w:r>
              <w:fldChar w:fldCharType="separate"/>
            </w:r>
            <w:r>
              <w:rPr>
                <w:rFonts w:ascii="helvetica neue" w:hAnsi="helvetica neue" w:eastAsia="helvetica neue" w:cs="helvetica neue"/>
                <w:color w:val="000000"/>
                <w:sz w:val="17"/>
                <w:u w:val="single"/>
                <w:vertAlign w:val="superscript"/>
              </w:rPr>
              <w:t>[6]</w:t>
            </w:r>
            <w:r>
              <w:rPr>
                <w:rFonts w:ascii="helvetica neue" w:hAnsi="helvetica neue" w:eastAsia="helvetica neue" w:cs="helvetica neue"/>
                <w:color w:val="000000"/>
                <w:sz w:val="17"/>
                <w:u w:val="single"/>
                <w:vertAlign w:val="superscript"/>
              </w:rPr>
              <w:fldChar w:fldCharType="end"/>
            </w:r>
          </w:p>
        </w:tc>
        <w:tc>
          <w:tcPr>
            <w:tcBorders>
              <w:top w:val="single" w:color="000000" w:sz="0" w:space="0"/>
              <w:bottom w:val="single" w:color="000000" w:sz="0" w:space="0"/>
            </w:tcBorders>
          </w:tcPr>
          <w:p w14:paraId="07975496">
            <w:pPr>
              <w:spacing w:after="0" w:line="360" w:lineRule="auto"/>
            </w:pPr>
            <w:r>
              <w:rPr>
                <w:rFonts w:ascii="helvetica neue" w:hAnsi="helvetica neue" w:eastAsia="helvetica neue" w:cs="helvetica neue"/>
                <w:color w:val="000000"/>
                <w:sz w:val="17"/>
              </w:rPr>
              <w:t>多个研究发现，中国污水PPP项目普遍降低了COD、氨氮排放强度，并提高达标率</w:t>
            </w:r>
            <w:r>
              <w:fldChar w:fldCharType="begin"/>
            </w:r>
            <w:r>
              <w:instrText xml:space="preserve"> HYPERLINK \l "fn4" \h </w:instrText>
            </w:r>
            <w:r>
              <w:fldChar w:fldCharType="separate"/>
            </w:r>
            <w:r>
              <w:rPr>
                <w:rFonts w:ascii="helvetica neue" w:hAnsi="helvetica neue" w:eastAsia="helvetica neue" w:cs="helvetica neue"/>
                <w:color w:val="000000"/>
                <w:sz w:val="17"/>
                <w:u w:val="single"/>
                <w:vertAlign w:val="superscript"/>
              </w:rPr>
              <w:t>[4]</w:t>
            </w:r>
            <w:r>
              <w:rPr>
                <w:rFonts w:ascii="helvetica neue" w:hAnsi="helvetica neue" w:eastAsia="helvetica neue" w:cs="helvetica neue"/>
                <w:color w:val="000000"/>
                <w:sz w:val="17"/>
                <w:u w:val="single"/>
                <w:vertAlign w:val="superscript"/>
              </w:rPr>
              <w:fldChar w:fldCharType="end"/>
            </w:r>
            <w:r>
              <w:fldChar w:fldCharType="begin"/>
            </w:r>
            <w:r>
              <w:instrText xml:space="preserve"> HYPERLINK \l "fn2" \h </w:instrText>
            </w:r>
            <w:r>
              <w:fldChar w:fldCharType="separate"/>
            </w:r>
            <w:r>
              <w:rPr>
                <w:rFonts w:ascii="helvetica neue" w:hAnsi="helvetica neue" w:eastAsia="helvetica neue" w:cs="helvetica neue"/>
                <w:color w:val="000000"/>
                <w:sz w:val="17"/>
                <w:u w:val="single"/>
                <w:vertAlign w:val="superscript"/>
              </w:rPr>
              <w:t>[2]</w:t>
            </w:r>
            <w:r>
              <w:rPr>
                <w:rFonts w:ascii="helvetica neue" w:hAnsi="helvetica neue" w:eastAsia="helvetica neue" w:cs="helvetica neue"/>
                <w:color w:val="000000"/>
                <w:sz w:val="17"/>
                <w:u w:val="single"/>
                <w:vertAlign w:val="superscript"/>
              </w:rPr>
              <w:fldChar w:fldCharType="end"/>
            </w:r>
            <w:r>
              <w:fldChar w:fldCharType="begin"/>
            </w:r>
            <w:r>
              <w:instrText xml:space="preserve"> HYPERLINK \l "fn5" \h </w:instrText>
            </w:r>
            <w:r>
              <w:fldChar w:fldCharType="separate"/>
            </w:r>
            <w:r>
              <w:rPr>
                <w:rFonts w:ascii="helvetica neue" w:hAnsi="helvetica neue" w:eastAsia="helvetica neue" w:cs="helvetica neue"/>
                <w:color w:val="000000"/>
                <w:sz w:val="17"/>
                <w:u w:val="single"/>
                <w:vertAlign w:val="superscript"/>
              </w:rPr>
              <w:t>[5]</w:t>
            </w:r>
            <w:r>
              <w:rPr>
                <w:rFonts w:ascii="helvetica neue" w:hAnsi="helvetica neue" w:eastAsia="helvetica neue" w:cs="helvetica neue"/>
                <w:color w:val="000000"/>
                <w:sz w:val="17"/>
                <w:u w:val="single"/>
                <w:vertAlign w:val="superscript"/>
              </w:rPr>
              <w:fldChar w:fldCharType="end"/>
            </w:r>
          </w:p>
        </w:tc>
      </w:tr>
      <w:tr w14:paraId="0D0824E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45574BB">
            <w:pPr>
              <w:spacing w:after="0" w:line="360" w:lineRule="auto"/>
            </w:pPr>
            <w:r>
              <w:rPr>
                <w:rFonts w:ascii="helvetica neue" w:hAnsi="helvetica neue" w:eastAsia="helvetica neue" w:cs="helvetica neue"/>
                <w:color w:val="000000"/>
                <w:sz w:val="17"/>
              </w:rPr>
              <w:t>绩效挂钩预算 / 绩效监管（PBR）</w:t>
            </w:r>
          </w:p>
        </w:tc>
        <w:tc>
          <w:tcPr>
            <w:tcBorders>
              <w:top w:val="single" w:color="000000" w:sz="0" w:space="0"/>
              <w:bottom w:val="single" w:color="000000" w:sz="0" w:space="0"/>
              <w:right w:val="single" w:color="000000" w:sz="0" w:space="0"/>
            </w:tcBorders>
          </w:tcPr>
          <w:p w14:paraId="2A1AFA96">
            <w:pPr>
              <w:spacing w:after="0" w:line="360" w:lineRule="auto"/>
            </w:pPr>
            <w:r>
              <w:rPr>
                <w:rFonts w:ascii="helvetica neue" w:hAnsi="helvetica neue" w:eastAsia="helvetica neue" w:cs="helvetica neue"/>
                <w:color w:val="000000"/>
                <w:sz w:val="17"/>
              </w:rPr>
              <w:t>为公营水务公司设定多年度成本、服务质量、水环境等目标，将部分收入或财政补贴与绩效挂钩</w:t>
            </w:r>
          </w:p>
        </w:tc>
        <w:tc>
          <w:tcPr>
            <w:tcBorders>
              <w:top w:val="single" w:color="000000" w:sz="0" w:space="0"/>
              <w:bottom w:val="single" w:color="000000" w:sz="0" w:space="0"/>
              <w:right w:val="single" w:color="000000" w:sz="0" w:space="0"/>
            </w:tcBorders>
          </w:tcPr>
          <w:p w14:paraId="57FBA115">
            <w:pPr>
              <w:spacing w:after="0" w:line="360" w:lineRule="auto"/>
            </w:pPr>
            <w:r>
              <w:rPr>
                <w:rFonts w:ascii="helvetica neue" w:hAnsi="helvetica neue" w:eastAsia="helvetica neue" w:cs="helvetica neue"/>
                <w:color w:val="000000"/>
                <w:sz w:val="17"/>
              </w:rPr>
              <w:t>在保底回报基础上引入超额收益分享，激励降本增效和服务改进，同时保持公有属性</w:t>
            </w:r>
          </w:p>
        </w:tc>
        <w:tc>
          <w:tcPr>
            <w:tcBorders>
              <w:top w:val="single" w:color="000000" w:sz="0" w:space="0"/>
              <w:bottom w:val="single" w:color="000000" w:sz="0" w:space="0"/>
              <w:right w:val="single" w:color="000000" w:sz="0" w:space="0"/>
            </w:tcBorders>
          </w:tcPr>
          <w:p w14:paraId="65377AD6">
            <w:pPr>
              <w:spacing w:after="0" w:line="360" w:lineRule="auto"/>
            </w:pPr>
            <w:r>
              <w:rPr>
                <w:rFonts w:ascii="helvetica neue" w:hAnsi="helvetica neue" w:eastAsia="helvetica neue" w:cs="helvetica neue"/>
                <w:color w:val="000000"/>
                <w:sz w:val="17"/>
              </w:rPr>
              <w:t>指标体系和数据质量要求高，需要独立监管和透明的信息披露</w:t>
            </w:r>
            <w:r>
              <w:fldChar w:fldCharType="begin"/>
            </w:r>
            <w:r>
              <w:instrText xml:space="preserve"> HYPERLINK \l "fn1" \h </w:instrText>
            </w:r>
            <w:r>
              <w:fldChar w:fldCharType="separate"/>
            </w:r>
            <w:r>
              <w:rPr>
                <w:rFonts w:ascii="helvetica neue" w:hAnsi="helvetica neue" w:eastAsia="helvetica neue" w:cs="helvetica neue"/>
                <w:color w:val="000000"/>
                <w:sz w:val="17"/>
                <w:u w:val="single"/>
                <w:vertAlign w:val="superscript"/>
              </w:rPr>
              <w:t>[1]</w:t>
            </w:r>
            <w:r>
              <w:rPr>
                <w:rFonts w:ascii="helvetica neue" w:hAnsi="helvetica neue" w:eastAsia="helvetica neue" w:cs="helvetica neue"/>
                <w:color w:val="000000"/>
                <w:sz w:val="17"/>
                <w:u w:val="single"/>
                <w:vertAlign w:val="superscript"/>
              </w:rPr>
              <w:fldChar w:fldCharType="end"/>
            </w:r>
            <w:r>
              <w:fldChar w:fldCharType="begin"/>
            </w:r>
            <w:r>
              <w:instrText xml:space="preserve"> HYPERLINK \l "fn3" \h </w:instrText>
            </w:r>
            <w:r>
              <w:fldChar w:fldCharType="separate"/>
            </w:r>
            <w:r>
              <w:rPr>
                <w:rFonts w:ascii="helvetica neue" w:hAnsi="helvetica neue" w:eastAsia="helvetica neue" w:cs="helvetica neue"/>
                <w:color w:val="000000"/>
                <w:sz w:val="17"/>
                <w:u w:val="single"/>
                <w:vertAlign w:val="superscript"/>
              </w:rPr>
              <w:t>[3]</w:t>
            </w:r>
            <w:r>
              <w:rPr>
                <w:rFonts w:ascii="helvetica neue" w:hAnsi="helvetica neue" w:eastAsia="helvetica neue" w:cs="helvetica neue"/>
                <w:color w:val="000000"/>
                <w:sz w:val="17"/>
                <w:u w:val="single"/>
                <w:vertAlign w:val="superscript"/>
              </w:rPr>
              <w:fldChar w:fldCharType="end"/>
            </w:r>
            <w:r>
              <w:fldChar w:fldCharType="begin"/>
            </w:r>
            <w:r>
              <w:instrText xml:space="preserve"> HYPERLINK \l "fn7" \h </w:instrText>
            </w:r>
            <w:r>
              <w:fldChar w:fldCharType="separate"/>
            </w:r>
            <w:r>
              <w:rPr>
                <w:rFonts w:ascii="helvetica neue" w:hAnsi="helvetica neue" w:eastAsia="helvetica neue" w:cs="helvetica neue"/>
                <w:color w:val="000000"/>
                <w:sz w:val="17"/>
                <w:u w:val="single"/>
                <w:vertAlign w:val="superscript"/>
              </w:rPr>
              <w:t>[7]</w:t>
            </w:r>
            <w:r>
              <w:rPr>
                <w:rFonts w:ascii="helvetica neue" w:hAnsi="helvetica neue" w:eastAsia="helvetica neue" w:cs="helvetica neue"/>
                <w:color w:val="000000"/>
                <w:sz w:val="17"/>
                <w:u w:val="single"/>
                <w:vertAlign w:val="superscript"/>
              </w:rPr>
              <w:fldChar w:fldCharType="end"/>
            </w:r>
          </w:p>
        </w:tc>
        <w:tc>
          <w:tcPr>
            <w:tcBorders>
              <w:top w:val="single" w:color="000000" w:sz="0" w:space="0"/>
              <w:bottom w:val="single" w:color="000000" w:sz="0" w:space="0"/>
            </w:tcBorders>
          </w:tcPr>
          <w:p w14:paraId="1FAE2123">
            <w:pPr>
              <w:spacing w:after="0" w:line="360" w:lineRule="auto"/>
            </w:pPr>
            <w:r>
              <w:rPr>
                <w:rFonts w:ascii="helvetica neue" w:hAnsi="helvetica neue" w:eastAsia="helvetica neue" w:cs="helvetica neue"/>
                <w:color w:val="000000"/>
                <w:sz w:val="17"/>
              </w:rPr>
              <w:t>在水务、公用事业领域已被用于控制成本、提升服务质量，实践表明能在降低监管成本的同时提升绩效</w:t>
            </w:r>
            <w:r>
              <w:fldChar w:fldCharType="begin"/>
            </w:r>
            <w:r>
              <w:instrText xml:space="preserve"> HYPERLINK \l "fn1" \h </w:instrText>
            </w:r>
            <w:r>
              <w:fldChar w:fldCharType="separate"/>
            </w:r>
            <w:r>
              <w:rPr>
                <w:rFonts w:ascii="helvetica neue" w:hAnsi="helvetica neue" w:eastAsia="helvetica neue" w:cs="helvetica neue"/>
                <w:color w:val="000000"/>
                <w:sz w:val="17"/>
                <w:u w:val="single"/>
                <w:vertAlign w:val="superscript"/>
              </w:rPr>
              <w:t>[1]</w:t>
            </w:r>
            <w:r>
              <w:rPr>
                <w:rFonts w:ascii="helvetica neue" w:hAnsi="helvetica neue" w:eastAsia="helvetica neue" w:cs="helvetica neue"/>
                <w:color w:val="000000"/>
                <w:sz w:val="17"/>
                <w:u w:val="single"/>
                <w:vertAlign w:val="superscript"/>
              </w:rPr>
              <w:fldChar w:fldCharType="end"/>
            </w:r>
            <w:r>
              <w:fldChar w:fldCharType="begin"/>
            </w:r>
            <w:r>
              <w:instrText xml:space="preserve"> HYPERLINK \l "fn8" \h </w:instrText>
            </w:r>
            <w:r>
              <w:fldChar w:fldCharType="separate"/>
            </w:r>
            <w:r>
              <w:rPr>
                <w:rFonts w:ascii="helvetica neue" w:hAnsi="helvetica neue" w:eastAsia="helvetica neue" w:cs="helvetica neue"/>
                <w:color w:val="000000"/>
                <w:sz w:val="17"/>
                <w:u w:val="single"/>
                <w:vertAlign w:val="superscript"/>
              </w:rPr>
              <w:t>[8]</w:t>
            </w:r>
            <w:r>
              <w:rPr>
                <w:rFonts w:ascii="helvetica neue" w:hAnsi="helvetica neue" w:eastAsia="helvetica neue" w:cs="helvetica neue"/>
                <w:color w:val="000000"/>
                <w:sz w:val="17"/>
                <w:u w:val="single"/>
                <w:vertAlign w:val="superscript"/>
              </w:rPr>
              <w:fldChar w:fldCharType="end"/>
            </w:r>
          </w:p>
        </w:tc>
      </w:tr>
      <w:tr w14:paraId="311A325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154D15F">
            <w:pPr>
              <w:spacing w:after="0" w:line="360" w:lineRule="auto"/>
            </w:pPr>
            <w:r>
              <w:rPr>
                <w:rFonts w:ascii="helvetica neue" w:hAnsi="helvetica neue" w:eastAsia="helvetica neue" w:cs="helvetica neue"/>
                <w:color w:val="000000"/>
                <w:sz w:val="17"/>
              </w:rPr>
              <w:t>内部绩效考核与准市场机制</w:t>
            </w:r>
          </w:p>
        </w:tc>
        <w:tc>
          <w:tcPr>
            <w:tcBorders>
              <w:top w:val="single" w:color="000000" w:sz="0" w:space="0"/>
              <w:bottom w:val="single" w:color="000000" w:sz="0" w:space="0"/>
              <w:right w:val="single" w:color="000000" w:sz="0" w:space="0"/>
            </w:tcBorders>
          </w:tcPr>
          <w:p w14:paraId="134813EE">
            <w:pPr>
              <w:spacing w:after="0" w:line="360" w:lineRule="auto"/>
            </w:pPr>
            <w:r>
              <w:rPr>
                <w:rFonts w:ascii="helvetica neue" w:hAnsi="helvetica neue" w:eastAsia="helvetica neue" w:cs="helvetica neue"/>
                <w:color w:val="000000"/>
                <w:sz w:val="17"/>
              </w:rPr>
              <w:t>在政府或国企内部，将管网、泵站、厂站等单元视为“内部服务提供者”，按处理量、水质、事故率等进行内部结算和排名</w:t>
            </w:r>
          </w:p>
        </w:tc>
        <w:tc>
          <w:tcPr>
            <w:tcBorders>
              <w:top w:val="single" w:color="000000" w:sz="0" w:space="0"/>
              <w:bottom w:val="single" w:color="000000" w:sz="0" w:space="0"/>
              <w:right w:val="single" w:color="000000" w:sz="0" w:space="0"/>
            </w:tcBorders>
          </w:tcPr>
          <w:p w14:paraId="70D1062E">
            <w:pPr>
              <w:spacing w:after="0" w:line="360" w:lineRule="auto"/>
            </w:pPr>
            <w:r>
              <w:rPr>
                <w:rFonts w:ascii="helvetica neue" w:hAnsi="helvetica neue" w:eastAsia="helvetica neue" w:cs="helvetica neue"/>
                <w:color w:val="000000"/>
                <w:sz w:val="17"/>
              </w:rPr>
              <w:t>无须复杂外部合同，即可引入“比较竞争”，培育成本意识和服务导向</w:t>
            </w:r>
          </w:p>
        </w:tc>
        <w:tc>
          <w:tcPr>
            <w:tcBorders>
              <w:top w:val="single" w:color="000000" w:sz="0" w:space="0"/>
              <w:bottom w:val="single" w:color="000000" w:sz="0" w:space="0"/>
              <w:right w:val="single" w:color="000000" w:sz="0" w:space="0"/>
            </w:tcBorders>
          </w:tcPr>
          <w:p w14:paraId="51201A04">
            <w:pPr>
              <w:spacing w:after="0" w:line="360" w:lineRule="auto"/>
            </w:pPr>
            <w:r>
              <w:rPr>
                <w:rFonts w:ascii="helvetica neue" w:hAnsi="helvetica neue" w:eastAsia="helvetica neue" w:cs="helvetica neue"/>
                <w:color w:val="000000"/>
                <w:sz w:val="17"/>
              </w:rPr>
              <w:t>仍需上级部门承诺结果与资源、晋升挂钩，数据必须可比、可核实</w:t>
            </w:r>
            <w:r>
              <w:fldChar w:fldCharType="begin"/>
            </w:r>
            <w:r>
              <w:instrText xml:space="preserve"> HYPERLINK \l "fn9" \h </w:instrText>
            </w:r>
            <w:r>
              <w:fldChar w:fldCharType="separate"/>
            </w:r>
            <w:r>
              <w:rPr>
                <w:rFonts w:ascii="helvetica neue" w:hAnsi="helvetica neue" w:eastAsia="helvetica neue" w:cs="helvetica neue"/>
                <w:color w:val="000000"/>
                <w:sz w:val="17"/>
                <w:u w:val="single"/>
                <w:vertAlign w:val="superscript"/>
              </w:rPr>
              <w:t>[9]</w:t>
            </w:r>
            <w:r>
              <w:rPr>
                <w:rFonts w:ascii="helvetica neue" w:hAnsi="helvetica neue" w:eastAsia="helvetica neue" w:cs="helvetica neue"/>
                <w:color w:val="000000"/>
                <w:sz w:val="17"/>
                <w:u w:val="single"/>
                <w:vertAlign w:val="superscript"/>
              </w:rPr>
              <w:fldChar w:fldCharType="end"/>
            </w:r>
          </w:p>
        </w:tc>
        <w:tc>
          <w:tcPr>
            <w:tcBorders>
              <w:top w:val="single" w:color="000000" w:sz="0" w:space="0"/>
              <w:bottom w:val="single" w:color="000000" w:sz="0" w:space="0"/>
            </w:tcBorders>
          </w:tcPr>
          <w:p w14:paraId="5CACE20E">
            <w:pPr>
              <w:spacing w:after="0" w:line="360" w:lineRule="auto"/>
            </w:pPr>
            <w:r>
              <w:rPr>
                <w:rFonts w:ascii="helvetica neue" w:hAnsi="helvetica neue" w:eastAsia="helvetica neue" w:cs="helvetica neue"/>
                <w:color w:val="000000"/>
                <w:sz w:val="17"/>
              </w:rPr>
              <w:t>配合信息化系统和绩效评估，可显著改善运维管理精细化程度</w:t>
            </w:r>
            <w:r>
              <w:fldChar w:fldCharType="begin"/>
            </w:r>
            <w:r>
              <w:instrText xml:space="preserve"> HYPERLINK \l "fn9" \h </w:instrText>
            </w:r>
            <w:r>
              <w:fldChar w:fldCharType="separate"/>
            </w:r>
            <w:r>
              <w:rPr>
                <w:rFonts w:ascii="helvetica neue" w:hAnsi="helvetica neue" w:eastAsia="helvetica neue" w:cs="helvetica neue"/>
                <w:color w:val="000000"/>
                <w:sz w:val="17"/>
                <w:u w:val="single"/>
                <w:vertAlign w:val="superscript"/>
              </w:rPr>
              <w:t>[9]</w:t>
            </w:r>
            <w:r>
              <w:rPr>
                <w:rFonts w:ascii="helvetica neue" w:hAnsi="helvetica neue" w:eastAsia="helvetica neue" w:cs="helvetica neue"/>
                <w:color w:val="000000"/>
                <w:sz w:val="17"/>
                <w:u w:val="single"/>
                <w:vertAlign w:val="superscript"/>
              </w:rPr>
              <w:fldChar w:fldCharType="end"/>
            </w:r>
            <w:r>
              <w:fldChar w:fldCharType="begin"/>
            </w:r>
            <w:r>
              <w:instrText xml:space="preserve"> HYPERLINK \l "fn7" \h </w:instrText>
            </w:r>
            <w:r>
              <w:fldChar w:fldCharType="separate"/>
            </w:r>
            <w:r>
              <w:rPr>
                <w:rFonts w:ascii="helvetica neue" w:hAnsi="helvetica neue" w:eastAsia="helvetica neue" w:cs="helvetica neue"/>
                <w:color w:val="000000"/>
                <w:sz w:val="17"/>
                <w:u w:val="single"/>
                <w:vertAlign w:val="superscript"/>
              </w:rPr>
              <w:t>[7]</w:t>
            </w:r>
            <w:r>
              <w:rPr>
                <w:rFonts w:ascii="helvetica neue" w:hAnsi="helvetica neue" w:eastAsia="helvetica neue" w:cs="helvetica neue"/>
                <w:color w:val="000000"/>
                <w:sz w:val="17"/>
                <w:u w:val="single"/>
                <w:vertAlign w:val="superscript"/>
              </w:rPr>
              <w:fldChar w:fldCharType="end"/>
            </w:r>
          </w:p>
        </w:tc>
      </w:tr>
    </w:tbl>
    <w:p w14:paraId="7CDAE468"/>
    <w:p w14:paraId="59697F6E">
      <w:pPr>
        <w:spacing w:before="315" w:after="105" w:line="360" w:lineRule="auto"/>
        <w:ind w:left="-30"/>
        <w:jc w:val="left"/>
      </w:pPr>
      <w:bookmarkStart w:id="22" w:name="各模式的简要运作说明"/>
      <w:r>
        <w:rPr>
          <w:rFonts w:ascii="Georgia" w:hAnsi="Georgia" w:eastAsia="Georgia" w:cs="Georgia"/>
          <w:b/>
          <w:color w:val="000000"/>
          <w:sz w:val="24"/>
        </w:rPr>
        <w:t>各模式的简要运作说明</w:t>
      </w:r>
      <w:bookmarkEnd w:id="22"/>
    </w:p>
    <w:p w14:paraId="6ED260CC">
      <w:pPr>
        <w:numPr>
          <w:ilvl w:val="0"/>
          <w:numId w:val="2"/>
        </w:numPr>
        <w:spacing w:after="210" w:line="360" w:lineRule="auto"/>
      </w:pPr>
      <w:r>
        <w:rPr>
          <w:rFonts w:ascii="Georgia" w:hAnsi="Georgia" w:eastAsia="Georgia" w:cs="Georgia"/>
          <w:b/>
          <w:color w:val="000000"/>
          <w:sz w:val="21"/>
        </w:rPr>
        <w:t>政府购买服务 / 委托运营模式</w:t>
      </w:r>
    </w:p>
    <w:p w14:paraId="2DBB0F90">
      <w:pPr>
        <w:numPr>
          <w:ilvl w:val="1"/>
          <w:numId w:val="2"/>
        </w:numPr>
        <w:spacing w:before="105" w:after="105" w:line="360" w:lineRule="auto"/>
      </w:pPr>
      <w:r>
        <w:rPr>
          <w:rFonts w:ascii="Georgia" w:hAnsi="Georgia" w:eastAsia="Georgia" w:cs="Georgia"/>
          <w:color w:val="000000"/>
          <w:sz w:val="21"/>
        </w:rPr>
        <w:t>由政府保留资产所有权，通过公开招标选择具有资质的运维公司，签订3–10年左右的运维合同。</w:t>
      </w:r>
    </w:p>
    <w:p w14:paraId="29351751">
      <w:pPr>
        <w:numPr>
          <w:ilvl w:val="1"/>
          <w:numId w:val="2"/>
        </w:numPr>
        <w:spacing w:before="105" w:after="105" w:line="360" w:lineRule="auto"/>
      </w:pPr>
      <w:r>
        <w:rPr>
          <w:rFonts w:ascii="Georgia" w:hAnsi="Georgia" w:eastAsia="Georgia" w:cs="Georgia"/>
          <w:color w:val="000000"/>
          <w:sz w:val="21"/>
        </w:rPr>
        <w:t>费用支付通常与处理水量、水质达标率、能耗指标等挂钩，并设立奖惩条款，政府负责监督和绩效考核。</w:t>
      </w:r>
      <w:bookmarkStart w:id="23" w:name="fnref4_3"/>
      <w:bookmarkEnd w:id="23"/>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bookmarkStart w:id="24" w:name="fnref2_7"/>
      <w:bookmarkEnd w:id="24"/>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5A0A6256">
      <w:pPr>
        <w:numPr>
          <w:ilvl w:val="0"/>
          <w:numId w:val="2"/>
        </w:numPr>
        <w:spacing w:after="210" w:line="360" w:lineRule="auto"/>
      </w:pPr>
      <w:r>
        <w:rPr>
          <w:rFonts w:ascii="Georgia" w:hAnsi="Georgia" w:eastAsia="Georgia" w:cs="Georgia"/>
          <w:b/>
          <w:color w:val="000000"/>
          <w:sz w:val="21"/>
        </w:rPr>
        <w:t>PPP / 特许经营模式</w:t>
      </w:r>
    </w:p>
    <w:p w14:paraId="2611121C">
      <w:pPr>
        <w:numPr>
          <w:ilvl w:val="1"/>
          <w:numId w:val="2"/>
        </w:numPr>
        <w:spacing w:before="105" w:after="105" w:line="360" w:lineRule="auto"/>
      </w:pPr>
      <w:r>
        <w:rPr>
          <w:rFonts w:ascii="Georgia" w:hAnsi="Georgia" w:eastAsia="Georgia" w:cs="Georgia"/>
          <w:color w:val="000000"/>
          <w:sz w:val="21"/>
        </w:rPr>
        <w:t>由社会资本出资建设或改造污水厂和部分管网，并在特许期内负责运营维护，通过“政府付费”“可行性缺口补助”等方式回收投资和获取合理收益。</w:t>
      </w:r>
      <w:bookmarkStart w:id="25" w:name="fnref6_4"/>
      <w:bookmarkEnd w:id="25"/>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26" w:name="fnref2_8"/>
      <w:bookmarkEnd w:id="26"/>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2FC18CAC">
      <w:pPr>
        <w:numPr>
          <w:ilvl w:val="1"/>
          <w:numId w:val="2"/>
        </w:numPr>
        <w:spacing w:before="105" w:after="105" w:line="360" w:lineRule="auto"/>
      </w:pPr>
      <w:r>
        <w:rPr>
          <w:rFonts w:ascii="Georgia" w:hAnsi="Georgia" w:eastAsia="Georgia" w:cs="Georgia"/>
          <w:color w:val="000000"/>
          <w:sz w:val="21"/>
        </w:rPr>
        <w:t>国内多项实证研究显示，污水PPP项目整体上降低了城市污水排放总量和强度，污染物超标概率下降。</w:t>
      </w:r>
      <w:bookmarkStart w:id="27" w:name="fnref5_3"/>
      <w:bookmarkEnd w:id="27"/>
      <w:r>
        <w:fldChar w:fldCharType="begin"/>
      </w:r>
      <w:r>
        <w:instrText xml:space="preserve"> HYPERLINK \l "fn5" \h </w:instrText>
      </w:r>
      <w:r>
        <w:fldChar w:fldCharType="separate"/>
      </w:r>
      <w:r>
        <w:rPr>
          <w:rFonts w:ascii="helvetica neue" w:hAnsi="helvetica neue" w:eastAsia="helvetica neue" w:cs="helvetica neue"/>
          <w:color w:val="000000"/>
          <w:sz w:val="21"/>
          <w:u w:val="single"/>
          <w:vertAlign w:val="superscript"/>
        </w:rPr>
        <w:t>[5]</w:t>
      </w:r>
      <w:r>
        <w:rPr>
          <w:rFonts w:ascii="helvetica neue" w:hAnsi="helvetica neue" w:eastAsia="helvetica neue" w:cs="helvetica neue"/>
          <w:color w:val="000000"/>
          <w:sz w:val="21"/>
          <w:u w:val="single"/>
          <w:vertAlign w:val="superscript"/>
        </w:rPr>
        <w:fldChar w:fldCharType="end"/>
      </w:r>
      <w:bookmarkStart w:id="28" w:name="fnref2_9"/>
      <w:bookmarkEnd w:id="28"/>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bookmarkStart w:id="29" w:name="fnref4_4"/>
      <w:bookmarkEnd w:id="29"/>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p>
    <w:p w14:paraId="671906D7">
      <w:pPr>
        <w:numPr>
          <w:ilvl w:val="0"/>
          <w:numId w:val="2"/>
        </w:numPr>
        <w:spacing w:after="210" w:line="360" w:lineRule="auto"/>
      </w:pPr>
      <w:r>
        <w:rPr>
          <w:rFonts w:ascii="Georgia" w:hAnsi="Georgia" w:eastAsia="Georgia" w:cs="Georgia"/>
          <w:b/>
          <w:color w:val="000000"/>
          <w:sz w:val="21"/>
        </w:rPr>
        <w:t>绩效挂钩预算 / 绩效监管（PBR）</w:t>
      </w:r>
    </w:p>
    <w:p w14:paraId="77A10DD8">
      <w:pPr>
        <w:numPr>
          <w:ilvl w:val="1"/>
          <w:numId w:val="2"/>
        </w:numPr>
        <w:spacing w:before="105" w:after="105" w:line="360" w:lineRule="auto"/>
      </w:pPr>
      <w:r>
        <w:rPr>
          <w:rFonts w:ascii="Georgia" w:hAnsi="Georgia" w:eastAsia="Georgia" w:cs="Georgia"/>
          <w:color w:val="000000"/>
          <w:sz w:val="21"/>
        </w:rPr>
        <w:t>在保持水务企业公有或控股属性前提下，采用多年度费率或预算安排，把部分收入与完成预定绩效指标（如成本控制、服务可靠性、水环境效果）挂钩。</w:t>
      </w:r>
      <w:bookmarkStart w:id="30" w:name="fnref1_6"/>
      <w:bookmarkEnd w:id="30"/>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bookmarkStart w:id="31" w:name="fnref3_3"/>
      <w:bookmarkEnd w:id="31"/>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p>
    <w:p w14:paraId="7A1A1DC6">
      <w:pPr>
        <w:numPr>
          <w:ilvl w:val="1"/>
          <w:numId w:val="2"/>
        </w:numPr>
        <w:spacing w:before="105" w:after="105" w:line="360" w:lineRule="auto"/>
      </w:pPr>
      <w:r>
        <w:rPr>
          <w:rFonts w:ascii="Georgia" w:hAnsi="Georgia" w:eastAsia="Georgia" w:cs="Georgia"/>
          <w:color w:val="000000"/>
          <w:sz w:val="21"/>
        </w:rPr>
        <w:t>部分城市已在自来水和废水业务中引入类似框架，通过设置服务质量指标和奖惩规则，对水价或服务费进行调整。</w:t>
      </w:r>
      <w:bookmarkStart w:id="32" w:name="fnref8_2"/>
      <w:bookmarkEnd w:id="32"/>
      <w:r>
        <w:fldChar w:fldCharType="begin"/>
      </w:r>
      <w:r>
        <w:instrText xml:space="preserve"> HYPERLINK \l "fn8" \h </w:instrText>
      </w:r>
      <w:r>
        <w:fldChar w:fldCharType="separate"/>
      </w:r>
      <w:r>
        <w:rPr>
          <w:rFonts w:ascii="helvetica neue" w:hAnsi="helvetica neue" w:eastAsia="helvetica neue" w:cs="helvetica neue"/>
          <w:color w:val="000000"/>
          <w:sz w:val="21"/>
          <w:u w:val="single"/>
          <w:vertAlign w:val="superscript"/>
        </w:rPr>
        <w:t>[8]</w:t>
      </w:r>
      <w:r>
        <w:rPr>
          <w:rFonts w:ascii="helvetica neue" w:hAnsi="helvetica neue" w:eastAsia="helvetica neue" w:cs="helvetica neue"/>
          <w:color w:val="000000"/>
          <w:sz w:val="21"/>
          <w:u w:val="single"/>
          <w:vertAlign w:val="superscript"/>
        </w:rPr>
        <w:fldChar w:fldCharType="end"/>
      </w:r>
      <w:bookmarkStart w:id="33" w:name="fnref7_4"/>
      <w:bookmarkEnd w:id="33"/>
      <w:r>
        <w:fldChar w:fldCharType="begin"/>
      </w:r>
      <w:r>
        <w:instrText xml:space="preserve"> HYPERLINK \l "fn7" \h </w:instrText>
      </w:r>
      <w:r>
        <w:fldChar w:fldCharType="separate"/>
      </w:r>
      <w:r>
        <w:rPr>
          <w:rFonts w:ascii="helvetica neue" w:hAnsi="helvetica neue" w:eastAsia="helvetica neue" w:cs="helvetica neue"/>
          <w:color w:val="000000"/>
          <w:sz w:val="21"/>
          <w:u w:val="single"/>
          <w:vertAlign w:val="superscript"/>
        </w:rPr>
        <w:t>[7]</w:t>
      </w:r>
      <w:r>
        <w:rPr>
          <w:rFonts w:ascii="helvetica neue" w:hAnsi="helvetica neue" w:eastAsia="helvetica neue" w:cs="helvetica neue"/>
          <w:color w:val="000000"/>
          <w:sz w:val="21"/>
          <w:u w:val="single"/>
          <w:vertAlign w:val="superscript"/>
        </w:rPr>
        <w:fldChar w:fldCharType="end"/>
      </w:r>
    </w:p>
    <w:p w14:paraId="0CFE91B9">
      <w:pPr>
        <w:numPr>
          <w:ilvl w:val="0"/>
          <w:numId w:val="2"/>
        </w:numPr>
        <w:spacing w:after="210" w:line="360" w:lineRule="auto"/>
      </w:pPr>
      <w:r>
        <w:rPr>
          <w:rFonts w:ascii="Georgia" w:hAnsi="Georgia" w:eastAsia="Georgia" w:cs="Georgia"/>
          <w:b/>
          <w:color w:val="000000"/>
          <w:sz w:val="21"/>
        </w:rPr>
        <w:t>内部准市场与绩效考核体系</w:t>
      </w:r>
    </w:p>
    <w:p w14:paraId="034CE584">
      <w:pPr>
        <w:numPr>
          <w:ilvl w:val="1"/>
          <w:numId w:val="2"/>
        </w:numPr>
        <w:spacing w:before="105" w:after="105" w:line="360" w:lineRule="auto"/>
      </w:pPr>
      <w:r>
        <w:rPr>
          <w:rFonts w:ascii="Georgia" w:hAnsi="Georgia" w:eastAsia="Georgia" w:cs="Georgia"/>
          <w:color w:val="000000"/>
          <w:sz w:val="21"/>
        </w:rPr>
        <w:t>适用于暂不宜大规模引入外部市场主体的地区，可在住建、水务系统内部将不同厂站、运维队作为“责任单元”，以可比指标进行考核和排名，优先向绩效好的单位倾斜设备更新、编制和培训资源。</w:t>
      </w:r>
      <w:bookmarkStart w:id="34" w:name="fnref9_3"/>
      <w:bookmarkEnd w:id="34"/>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p>
    <w:p w14:paraId="4C089472">
      <w:pPr>
        <w:numPr>
          <w:ilvl w:val="1"/>
          <w:numId w:val="2"/>
        </w:numPr>
        <w:spacing w:before="105" w:after="105" w:line="360" w:lineRule="auto"/>
      </w:pPr>
      <w:r>
        <w:rPr>
          <w:rFonts w:ascii="Georgia" w:hAnsi="Georgia" w:eastAsia="Georgia" w:cs="Georgia"/>
          <w:color w:val="000000"/>
          <w:sz w:val="21"/>
        </w:rPr>
        <w:t>配合数字化监控和绩效评价体系，可提高运维规范性和透明度。</w:t>
      </w:r>
      <w:bookmarkStart w:id="35" w:name="fnref7_5"/>
      <w:bookmarkEnd w:id="35"/>
      <w:r>
        <w:fldChar w:fldCharType="begin"/>
      </w:r>
      <w:r>
        <w:instrText xml:space="preserve"> HYPERLINK \l "fn7" \h </w:instrText>
      </w:r>
      <w:r>
        <w:fldChar w:fldCharType="separate"/>
      </w:r>
      <w:r>
        <w:rPr>
          <w:rFonts w:ascii="helvetica neue" w:hAnsi="helvetica neue" w:eastAsia="helvetica neue" w:cs="helvetica neue"/>
          <w:color w:val="000000"/>
          <w:sz w:val="21"/>
          <w:u w:val="single"/>
          <w:vertAlign w:val="superscript"/>
        </w:rPr>
        <w:t>[7]</w:t>
      </w:r>
      <w:r>
        <w:rPr>
          <w:rFonts w:ascii="helvetica neue" w:hAnsi="helvetica neue" w:eastAsia="helvetica neue" w:cs="helvetica neue"/>
          <w:color w:val="000000"/>
          <w:sz w:val="21"/>
          <w:u w:val="single"/>
          <w:vertAlign w:val="superscript"/>
        </w:rPr>
        <w:fldChar w:fldCharType="end"/>
      </w:r>
      <w:bookmarkStart w:id="36" w:name="fnref9_4"/>
      <w:bookmarkEnd w:id="36"/>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p>
    <w:p w14:paraId="3F820CB8">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42A1C30C">
      <w:pPr>
        <w:spacing w:before="315" w:after="105" w:line="360" w:lineRule="auto"/>
        <w:ind w:left="-30"/>
        <w:jc w:val="left"/>
      </w:pPr>
      <w:bookmarkStart w:id="37" w:name="三_成本与风险_从全生命周期视角看污水系统投资"/>
      <w:r>
        <w:rPr>
          <w:rFonts w:ascii="Georgia" w:hAnsi="Georgia" w:eastAsia="Georgia" w:cs="Georgia"/>
          <w:b/>
          <w:color w:val="000000"/>
          <w:sz w:val="24"/>
        </w:rPr>
        <w:t>三、成本与风险：从全生命周期视角看污水系统投资</w:t>
      </w:r>
      <w:bookmarkEnd w:id="37"/>
    </w:p>
    <w:p w14:paraId="33386765">
      <w:pPr>
        <w:spacing w:after="210" w:line="360" w:lineRule="auto"/>
      </w:pPr>
      <w:r>
        <w:rPr>
          <w:rFonts w:ascii="Georgia" w:hAnsi="Georgia" w:eastAsia="Georgia" w:cs="Georgia"/>
          <w:color w:val="000000"/>
        </w:rPr>
        <w:t>改进市政污水效率，必须从全生命周期和系统层面统筹各类成本与风险，而非只关注建设期投资。国际和国内案例表明，许多项目的问题出在后期运维和升级阶段，而不是最初建设本身。</w:t>
      </w:r>
      <w:bookmarkStart w:id="38" w:name="fnref11_1"/>
      <w:bookmarkEnd w:id="38"/>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bookmarkStart w:id="39" w:name="fnref6_5"/>
      <w:bookmarkEnd w:id="39"/>
      <w:r>
        <w:fldChar w:fldCharType="begin"/>
      </w:r>
      <w:r>
        <w:instrText xml:space="preserve"> HYPERLINK \l "fn6" \h </w:instrText>
      </w:r>
      <w:r>
        <w:fldChar w:fldCharType="separate"/>
      </w:r>
      <w:r>
        <w:rPr>
          <w:rFonts w:ascii="helvetica neue" w:hAnsi="helvetica neue" w:eastAsia="helvetica neue" w:cs="helvetica neue"/>
          <w:color w:val="000000"/>
          <w:u w:val="single"/>
          <w:vertAlign w:val="superscript"/>
        </w:rPr>
        <w:t>[6]</w:t>
      </w:r>
      <w:r>
        <w:rPr>
          <w:rFonts w:ascii="helvetica neue" w:hAnsi="helvetica neue" w:eastAsia="helvetica neue" w:cs="helvetica neue"/>
          <w:color w:val="000000"/>
          <w:u w:val="single"/>
          <w:vertAlign w:val="superscript"/>
        </w:rPr>
        <w:fldChar w:fldCharType="end"/>
      </w:r>
    </w:p>
    <w:p w14:paraId="123067F8">
      <w:pPr>
        <w:numPr>
          <w:ilvl w:val="0"/>
          <w:numId w:val="3"/>
        </w:numPr>
        <w:spacing w:after="210" w:line="360" w:lineRule="auto"/>
      </w:pPr>
      <w:r>
        <w:rPr>
          <w:rFonts w:ascii="Georgia" w:hAnsi="Georgia" w:eastAsia="Georgia" w:cs="Georgia"/>
          <w:b/>
          <w:color w:val="000000"/>
          <w:sz w:val="21"/>
        </w:rPr>
        <w:t>建设投资成本</w:t>
      </w:r>
    </w:p>
    <w:p w14:paraId="7E12F217">
      <w:pPr>
        <w:numPr>
          <w:ilvl w:val="1"/>
          <w:numId w:val="3"/>
        </w:numPr>
        <w:spacing w:before="105" w:after="105" w:line="360" w:lineRule="auto"/>
      </w:pPr>
      <w:r>
        <w:rPr>
          <w:rFonts w:ascii="Georgia" w:hAnsi="Georgia" w:eastAsia="Georgia" w:cs="Georgia"/>
          <w:color w:val="000000"/>
          <w:sz w:val="21"/>
        </w:rPr>
        <w:t>包括污水管网、泵站、污水处理厂主体工程、尾水排放及再生水利用设施等。</w:t>
      </w:r>
    </w:p>
    <w:p w14:paraId="2204EAE8">
      <w:pPr>
        <w:numPr>
          <w:ilvl w:val="1"/>
          <w:numId w:val="3"/>
        </w:numPr>
        <w:spacing w:before="105" w:after="105" w:line="360" w:lineRule="auto"/>
      </w:pPr>
      <w:r>
        <w:rPr>
          <w:rFonts w:ascii="Georgia" w:hAnsi="Georgia" w:eastAsia="Georgia" w:cs="Georgia"/>
          <w:color w:val="000000"/>
          <w:sz w:val="21"/>
        </w:rPr>
        <w:t>对于分散式污水处理设施，有案例显示早期建设成本较高，分摊到每户造价和吨水成本显著高于集中式方案，且后续运维压力更大，需要在规划阶段充分比较集中与分散、重力流与提升泵站等方案的长期成本。</w:t>
      </w:r>
      <w:bookmarkStart w:id="40" w:name="fnref12_1"/>
      <w:bookmarkEnd w:id="40"/>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bookmarkStart w:id="41" w:name="fnref6_6"/>
      <w:bookmarkEnd w:id="41"/>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p>
    <w:p w14:paraId="07CFC534">
      <w:pPr>
        <w:numPr>
          <w:ilvl w:val="0"/>
          <w:numId w:val="3"/>
        </w:numPr>
        <w:spacing w:after="210" w:line="360" w:lineRule="auto"/>
      </w:pPr>
      <w:r>
        <w:rPr>
          <w:rFonts w:ascii="Georgia" w:hAnsi="Georgia" w:eastAsia="Georgia" w:cs="Georgia"/>
          <w:b/>
          <w:color w:val="000000"/>
          <w:sz w:val="21"/>
        </w:rPr>
        <w:t>日常运行成本（OPEX）</w:t>
      </w:r>
    </w:p>
    <w:p w14:paraId="7263AD4E">
      <w:pPr>
        <w:numPr>
          <w:ilvl w:val="1"/>
          <w:numId w:val="3"/>
        </w:numPr>
        <w:spacing w:before="105" w:after="105" w:line="360" w:lineRule="auto"/>
      </w:pPr>
      <w:r>
        <w:rPr>
          <w:rFonts w:ascii="Georgia" w:hAnsi="Georgia" w:eastAsia="Georgia" w:cs="Georgia"/>
          <w:color w:val="000000"/>
          <w:sz w:val="21"/>
        </w:rPr>
        <w:t>主要包括电费、药剂费、人工、检修费、污泥处理处置费等。</w:t>
      </w:r>
    </w:p>
    <w:p w14:paraId="199AED3C">
      <w:pPr>
        <w:numPr>
          <w:ilvl w:val="1"/>
          <w:numId w:val="3"/>
        </w:numPr>
        <w:spacing w:before="105" w:after="105" w:line="360" w:lineRule="auto"/>
      </w:pPr>
      <w:r>
        <w:rPr>
          <w:rFonts w:ascii="Georgia" w:hAnsi="Georgia" w:eastAsia="Georgia" w:cs="Georgia"/>
          <w:color w:val="000000"/>
          <w:sz w:val="21"/>
        </w:rPr>
        <w:t>研究表明，在PPP或专业化运营模式下，尽管单位运营成本有所上升，但在相同成本条件下，出水COD和氨氮浓度明显降低，说明运行管理效率提高。</w:t>
      </w:r>
      <w:bookmarkStart w:id="42" w:name="fnref2_10"/>
      <w:bookmarkEnd w:id="42"/>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bookmarkStart w:id="43" w:name="fnref4_5"/>
      <w:bookmarkEnd w:id="43"/>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bookmarkStart w:id="44" w:name="fnref5_4"/>
      <w:bookmarkEnd w:id="44"/>
      <w:r>
        <w:fldChar w:fldCharType="begin"/>
      </w:r>
      <w:r>
        <w:instrText xml:space="preserve"> HYPERLINK \l "fn5" \h </w:instrText>
      </w:r>
      <w:r>
        <w:fldChar w:fldCharType="separate"/>
      </w:r>
      <w:r>
        <w:rPr>
          <w:rFonts w:ascii="helvetica neue" w:hAnsi="helvetica neue" w:eastAsia="helvetica neue" w:cs="helvetica neue"/>
          <w:color w:val="000000"/>
          <w:sz w:val="21"/>
          <w:u w:val="single"/>
          <w:vertAlign w:val="superscript"/>
        </w:rPr>
        <w:t>[5]</w:t>
      </w:r>
      <w:r>
        <w:rPr>
          <w:rFonts w:ascii="helvetica neue" w:hAnsi="helvetica neue" w:eastAsia="helvetica neue" w:cs="helvetica neue"/>
          <w:color w:val="000000"/>
          <w:sz w:val="21"/>
          <w:u w:val="single"/>
          <w:vertAlign w:val="superscript"/>
        </w:rPr>
        <w:fldChar w:fldCharType="end"/>
      </w:r>
    </w:p>
    <w:p w14:paraId="6540511F">
      <w:pPr>
        <w:numPr>
          <w:ilvl w:val="0"/>
          <w:numId w:val="3"/>
        </w:numPr>
        <w:spacing w:after="210" w:line="360" w:lineRule="auto"/>
      </w:pPr>
      <w:r>
        <w:rPr>
          <w:rFonts w:ascii="Georgia" w:hAnsi="Georgia" w:eastAsia="Georgia" w:cs="Georgia"/>
          <w:b/>
          <w:color w:val="000000"/>
          <w:sz w:val="21"/>
        </w:rPr>
        <w:t>维护修理与设备更新成本</w:t>
      </w:r>
    </w:p>
    <w:p w14:paraId="4779DC2A">
      <w:pPr>
        <w:numPr>
          <w:ilvl w:val="1"/>
          <w:numId w:val="3"/>
        </w:numPr>
        <w:spacing w:before="105" w:after="105" w:line="360" w:lineRule="auto"/>
      </w:pPr>
      <w:r>
        <w:rPr>
          <w:rFonts w:ascii="Georgia" w:hAnsi="Georgia" w:eastAsia="Georgia" w:cs="Georgia"/>
          <w:color w:val="000000"/>
          <w:sz w:val="21"/>
        </w:rPr>
        <w:t>如果缺乏预防性维护和定期大修计划，短期内虽可压缩支出，但长期会以故障增加、停运、非计划大修等形式“补回来”，总成本反而更高。</w:t>
      </w:r>
      <w:bookmarkStart w:id="45" w:name="fnref6_7"/>
      <w:bookmarkEnd w:id="45"/>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p>
    <w:p w14:paraId="11D80A6F">
      <w:pPr>
        <w:numPr>
          <w:ilvl w:val="1"/>
          <w:numId w:val="3"/>
        </w:numPr>
        <w:spacing w:before="105" w:after="105" w:line="360" w:lineRule="auto"/>
      </w:pPr>
      <w:r>
        <w:rPr>
          <w:rFonts w:ascii="Georgia" w:hAnsi="Georgia" w:eastAsia="Georgia" w:cs="Georgia"/>
          <w:color w:val="000000"/>
          <w:sz w:val="21"/>
        </w:rPr>
        <w:t>采用风险基础的资产管理和绩效化合同（如要求维持一定的设备完好率、故障率上限）有助于将维护成本纳入长期考虑。</w:t>
      </w:r>
      <w:bookmarkStart w:id="46" w:name="fnref8_3"/>
      <w:bookmarkEnd w:id="46"/>
      <w:r>
        <w:fldChar w:fldCharType="begin"/>
      </w:r>
      <w:r>
        <w:instrText xml:space="preserve"> HYPERLINK \l "fn8" \h </w:instrText>
      </w:r>
      <w:r>
        <w:fldChar w:fldCharType="separate"/>
      </w:r>
      <w:r>
        <w:rPr>
          <w:rFonts w:ascii="helvetica neue" w:hAnsi="helvetica neue" w:eastAsia="helvetica neue" w:cs="helvetica neue"/>
          <w:color w:val="000000"/>
          <w:sz w:val="21"/>
          <w:u w:val="single"/>
          <w:vertAlign w:val="superscript"/>
        </w:rPr>
        <w:t>[8]</w:t>
      </w:r>
      <w:r>
        <w:rPr>
          <w:rFonts w:ascii="helvetica neue" w:hAnsi="helvetica neue" w:eastAsia="helvetica neue" w:cs="helvetica neue"/>
          <w:color w:val="000000"/>
          <w:sz w:val="21"/>
          <w:u w:val="single"/>
          <w:vertAlign w:val="superscript"/>
        </w:rPr>
        <w:fldChar w:fldCharType="end"/>
      </w:r>
      <w:bookmarkStart w:id="47" w:name="fnref7_6"/>
      <w:bookmarkEnd w:id="47"/>
      <w:r>
        <w:fldChar w:fldCharType="begin"/>
      </w:r>
      <w:r>
        <w:instrText xml:space="preserve"> HYPERLINK \l "fn7" \h </w:instrText>
      </w:r>
      <w:r>
        <w:fldChar w:fldCharType="separate"/>
      </w:r>
      <w:r>
        <w:rPr>
          <w:rFonts w:ascii="helvetica neue" w:hAnsi="helvetica neue" w:eastAsia="helvetica neue" w:cs="helvetica neue"/>
          <w:color w:val="000000"/>
          <w:sz w:val="21"/>
          <w:u w:val="single"/>
          <w:vertAlign w:val="superscript"/>
        </w:rPr>
        <w:t>[7]</w:t>
      </w:r>
      <w:r>
        <w:rPr>
          <w:rFonts w:ascii="helvetica neue" w:hAnsi="helvetica neue" w:eastAsia="helvetica neue" w:cs="helvetica neue"/>
          <w:color w:val="000000"/>
          <w:sz w:val="21"/>
          <w:u w:val="single"/>
          <w:vertAlign w:val="superscript"/>
        </w:rPr>
        <w:fldChar w:fldCharType="end"/>
      </w:r>
    </w:p>
    <w:p w14:paraId="1CABA706">
      <w:pPr>
        <w:numPr>
          <w:ilvl w:val="0"/>
          <w:numId w:val="3"/>
        </w:numPr>
        <w:spacing w:after="210" w:line="360" w:lineRule="auto"/>
      </w:pPr>
      <w:r>
        <w:rPr>
          <w:rFonts w:ascii="Georgia" w:hAnsi="Georgia" w:eastAsia="Georgia" w:cs="Georgia"/>
          <w:b/>
          <w:color w:val="000000"/>
          <w:sz w:val="21"/>
        </w:rPr>
        <w:t>升级改造和提标成本</w:t>
      </w:r>
    </w:p>
    <w:p w14:paraId="49E9F341">
      <w:pPr>
        <w:numPr>
          <w:ilvl w:val="1"/>
          <w:numId w:val="3"/>
        </w:numPr>
        <w:spacing w:before="105" w:after="105" w:line="360" w:lineRule="auto"/>
      </w:pPr>
      <w:r>
        <w:rPr>
          <w:rFonts w:ascii="Georgia" w:hAnsi="Georgia" w:eastAsia="Georgia" w:cs="Georgia"/>
          <w:color w:val="000000"/>
          <w:sz w:val="21"/>
        </w:rPr>
        <w:t>包括应对更严格排放标准、增加深度处理单元、扩建厂能、引入自动控制和在线监测系统等。</w:t>
      </w:r>
    </w:p>
    <w:p w14:paraId="7B5D72E5">
      <w:pPr>
        <w:numPr>
          <w:ilvl w:val="1"/>
          <w:numId w:val="3"/>
        </w:numPr>
        <w:spacing w:before="105" w:after="105" w:line="360" w:lineRule="auto"/>
      </w:pPr>
      <w:r>
        <w:rPr>
          <w:rFonts w:ascii="Georgia" w:hAnsi="Georgia" w:eastAsia="Georgia" w:cs="Georgia"/>
          <w:color w:val="000000"/>
          <w:sz w:val="21"/>
        </w:rPr>
        <w:t>近期研究表明，通过对城市排水系统实施集成实时控制（RTC），在不大幅增加土建投资的前提下，可以显著减少内涝和溢流体积，并降低河道污染物负荷，为城市提供一种“以智取容”的升级路径。</w:t>
      </w:r>
      <w:bookmarkStart w:id="48" w:name="fnref13"/>
      <w:bookmarkEnd w:id="48"/>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bookmarkStart w:id="49" w:name="fnref12_2"/>
      <w:bookmarkEnd w:id="49"/>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p>
    <w:p w14:paraId="18894FAA">
      <w:pPr>
        <w:numPr>
          <w:ilvl w:val="0"/>
          <w:numId w:val="3"/>
        </w:numPr>
        <w:spacing w:after="210" w:line="360" w:lineRule="auto"/>
      </w:pPr>
      <w:r>
        <w:rPr>
          <w:rFonts w:ascii="Georgia" w:hAnsi="Georgia" w:eastAsia="Georgia" w:cs="Georgia"/>
          <w:b/>
          <w:color w:val="000000"/>
          <w:sz w:val="21"/>
        </w:rPr>
        <w:t>极端天气和突发事件应急成本</w:t>
      </w:r>
    </w:p>
    <w:p w14:paraId="4F5A71FC">
      <w:pPr>
        <w:numPr>
          <w:ilvl w:val="1"/>
          <w:numId w:val="3"/>
        </w:numPr>
        <w:spacing w:before="105" w:after="105" w:line="360" w:lineRule="auto"/>
      </w:pPr>
      <w:r>
        <w:rPr>
          <w:rFonts w:ascii="Georgia" w:hAnsi="Georgia" w:eastAsia="Georgia" w:cs="Georgia"/>
          <w:color w:val="000000"/>
          <w:sz w:val="21"/>
        </w:rPr>
        <w:t>城市内涝、管网溢流、污水厂停运等事件不仅带来直接经济损失，还可能引发严重环境和公共卫生风险。</w:t>
      </w:r>
    </w:p>
    <w:p w14:paraId="2FF3F47E">
      <w:pPr>
        <w:numPr>
          <w:ilvl w:val="1"/>
          <w:numId w:val="3"/>
        </w:numPr>
        <w:spacing w:before="105" w:after="105" w:line="360" w:lineRule="auto"/>
      </w:pPr>
      <w:r>
        <w:rPr>
          <w:rFonts w:ascii="Georgia" w:hAnsi="Georgia" w:eastAsia="Georgia" w:cs="Georgia"/>
          <w:color w:val="000000"/>
          <w:sz w:val="21"/>
        </w:rPr>
        <w:t>综合利用灰色基础设施（管网、调蓄池）、绿色基础设施（下凹绿地、雨水花园）和非常规水源，可以降低系统对单一设施的依赖，减少高成本“末端扩容”的压力。</w:t>
      </w:r>
      <w:bookmarkStart w:id="50" w:name="fnref14"/>
      <w:bookmarkEnd w:id="50"/>
      <w:r>
        <w:fldChar w:fldCharType="begin"/>
      </w:r>
      <w:r>
        <w:instrText xml:space="preserve"> HYPERLINK \l "fn14" \h </w:instrText>
      </w:r>
      <w:r>
        <w:fldChar w:fldCharType="separate"/>
      </w:r>
      <w:r>
        <w:rPr>
          <w:rFonts w:ascii="helvetica neue" w:hAnsi="helvetica neue" w:eastAsia="helvetica neue" w:cs="helvetica neue"/>
          <w:color w:val="000000"/>
          <w:sz w:val="21"/>
          <w:u w:val="single"/>
          <w:vertAlign w:val="superscript"/>
        </w:rPr>
        <w:t>[14]</w:t>
      </w:r>
      <w:r>
        <w:rPr>
          <w:rFonts w:ascii="helvetica neue" w:hAnsi="helvetica neue" w:eastAsia="helvetica neue" w:cs="helvetica neue"/>
          <w:color w:val="000000"/>
          <w:sz w:val="21"/>
          <w:u w:val="single"/>
          <w:vertAlign w:val="superscript"/>
        </w:rPr>
        <w:fldChar w:fldCharType="end"/>
      </w:r>
      <w:bookmarkStart w:id="51" w:name="fnref10_1"/>
      <w:bookmarkEnd w:id="51"/>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p>
    <w:p w14:paraId="4F439C09">
      <w:pPr>
        <w:numPr>
          <w:ilvl w:val="1"/>
          <w:numId w:val="3"/>
        </w:numPr>
        <w:spacing w:before="105" w:after="105" w:line="360" w:lineRule="auto"/>
      </w:pPr>
      <w:r>
        <w:rPr>
          <w:rFonts w:ascii="Georgia" w:hAnsi="Georgia" w:eastAsia="Georgia" w:cs="Georgia"/>
          <w:color w:val="000000"/>
          <w:sz w:val="21"/>
        </w:rPr>
        <w:t>成本—效益框架建议在项目论证阶段，系统评估不同方案对防洪减灾、水质改善和生态服务等多种收益的综合净现值，而非只比“工程造价”。</w:t>
      </w:r>
      <w:bookmarkStart w:id="52" w:name="fnref10_2"/>
      <w:bookmarkEnd w:id="52"/>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53" w:name="fnref11_2"/>
      <w:bookmarkEnd w:id="53"/>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p>
    <w:p w14:paraId="17FD98E2">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713AA807">
      <w:pPr>
        <w:spacing w:before="315" w:after="105" w:line="360" w:lineRule="auto"/>
        <w:ind w:left="-30"/>
        <w:jc w:val="left"/>
      </w:pPr>
      <w:bookmarkStart w:id="54" w:name="四_污水与雨水系统协同_一体化规划与联合调度"/>
      <w:r>
        <w:rPr>
          <w:rFonts w:ascii="Georgia" w:hAnsi="Georgia" w:eastAsia="Georgia" w:cs="Georgia"/>
          <w:b/>
          <w:color w:val="000000"/>
          <w:sz w:val="24"/>
        </w:rPr>
        <w:t>四、污水与雨水系统协同：一体化规划与联合调度</w:t>
      </w:r>
      <w:bookmarkEnd w:id="54"/>
    </w:p>
    <w:p w14:paraId="45E8C6BE">
      <w:pPr>
        <w:spacing w:after="210" w:line="360" w:lineRule="auto"/>
      </w:pPr>
      <w:r>
        <w:rPr>
          <w:rFonts w:ascii="Georgia" w:hAnsi="Georgia" w:eastAsia="Georgia" w:cs="Georgia"/>
          <w:color w:val="000000"/>
        </w:rPr>
        <w:t>越来越多研究强调，将城市污水和雨水系统视为一体化的城市排水/水环境系统（UDS），可以在控制总成本的前提下，提高整体防涝、安全和水环境绩效。</w:t>
      </w:r>
      <w:bookmarkStart w:id="55" w:name="fnref12_3"/>
      <w:bookmarkEnd w:id="55"/>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bookmarkStart w:id="56" w:name="fnref10_3"/>
      <w:bookmarkEnd w:id="56"/>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p>
    <w:p w14:paraId="506FA63E">
      <w:pPr>
        <w:numPr>
          <w:ilvl w:val="0"/>
          <w:numId w:val="4"/>
        </w:numPr>
        <w:spacing w:after="210" w:line="360" w:lineRule="auto"/>
      </w:pPr>
      <w:r>
        <w:rPr>
          <w:rFonts w:ascii="Georgia" w:hAnsi="Georgia" w:eastAsia="Georgia" w:cs="Georgia"/>
          <w:b/>
          <w:color w:val="000000"/>
          <w:sz w:val="21"/>
        </w:rPr>
        <w:t>统一的流域和排水分区规划</w:t>
      </w:r>
    </w:p>
    <w:p w14:paraId="718661D4">
      <w:pPr>
        <w:numPr>
          <w:ilvl w:val="1"/>
          <w:numId w:val="4"/>
        </w:numPr>
        <w:spacing w:before="105" w:after="105" w:line="360" w:lineRule="auto"/>
      </w:pPr>
      <w:r>
        <w:rPr>
          <w:rFonts w:ascii="Georgia" w:hAnsi="Georgia" w:eastAsia="Georgia" w:cs="Georgia"/>
          <w:color w:val="000000"/>
          <w:sz w:val="21"/>
        </w:rPr>
        <w:t>从流域或片区层面综合规划污水管网、雨水管渠、调蓄池、雨洪利用和污水处理厂能力，避免单一系统局部优化导致整体效率低下。</w:t>
      </w:r>
      <w:bookmarkStart w:id="57" w:name="fnref11_3"/>
      <w:bookmarkEnd w:id="57"/>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58" w:name="fnref12_4"/>
      <w:bookmarkEnd w:id="58"/>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p>
    <w:p w14:paraId="20512998">
      <w:pPr>
        <w:numPr>
          <w:ilvl w:val="1"/>
          <w:numId w:val="4"/>
        </w:numPr>
        <w:spacing w:before="105" w:after="105" w:line="360" w:lineRule="auto"/>
      </w:pPr>
      <w:r>
        <w:rPr>
          <w:rFonts w:ascii="Georgia" w:hAnsi="Georgia" w:eastAsia="Georgia" w:cs="Georgia"/>
          <w:color w:val="000000"/>
          <w:sz w:val="21"/>
        </w:rPr>
        <w:t>在合流制或“伪合流”地区，可通过建设合流制溢流控制设施、截流系统和调蓄池，减少溢流次数和污染负荷，同时优化污水厂进水过程，避免“暴雨时满厂溢水、晴天又负荷不足”的问题。</w:t>
      </w:r>
      <w:bookmarkStart w:id="59" w:name="fnref10_4"/>
      <w:bookmarkEnd w:id="59"/>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60" w:name="fnref12_5"/>
      <w:bookmarkEnd w:id="60"/>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p>
    <w:p w14:paraId="4B903FA7">
      <w:pPr>
        <w:numPr>
          <w:ilvl w:val="0"/>
          <w:numId w:val="4"/>
        </w:numPr>
        <w:spacing w:after="210" w:line="360" w:lineRule="auto"/>
      </w:pPr>
      <w:r>
        <w:rPr>
          <w:rFonts w:ascii="Georgia" w:hAnsi="Georgia" w:eastAsia="Georgia" w:cs="Georgia"/>
          <w:b/>
          <w:color w:val="000000"/>
          <w:sz w:val="21"/>
        </w:rPr>
        <w:t>设施共建共享与绿色基础设施（GI/LID）减负</w:t>
      </w:r>
    </w:p>
    <w:p w14:paraId="527DEEB3">
      <w:pPr>
        <w:numPr>
          <w:ilvl w:val="1"/>
          <w:numId w:val="4"/>
        </w:numPr>
        <w:spacing w:before="105" w:after="105" w:line="360" w:lineRule="auto"/>
      </w:pPr>
      <w:r>
        <w:rPr>
          <w:rFonts w:ascii="Georgia" w:hAnsi="Georgia" w:eastAsia="Georgia" w:cs="Georgia"/>
          <w:color w:val="000000"/>
          <w:sz w:val="21"/>
        </w:rPr>
        <w:t>国际经验表明，将绿色基础设施与传统灰色排水设施结合，可显著减少进入管网的径流和峰值流量，减轻污水系统压力，延缓或减少地下管网扩容需求。</w:t>
      </w:r>
      <w:bookmarkStart w:id="61" w:name="fnref14_1"/>
      <w:bookmarkEnd w:id="61"/>
      <w:r>
        <w:fldChar w:fldCharType="begin"/>
      </w:r>
      <w:r>
        <w:instrText xml:space="preserve"> HYPERLINK \l "fn14" \h </w:instrText>
      </w:r>
      <w:r>
        <w:fldChar w:fldCharType="separate"/>
      </w:r>
      <w:r>
        <w:rPr>
          <w:rFonts w:ascii="helvetica neue" w:hAnsi="helvetica neue" w:eastAsia="helvetica neue" w:cs="helvetica neue"/>
          <w:color w:val="000000"/>
          <w:sz w:val="21"/>
          <w:u w:val="single"/>
          <w:vertAlign w:val="superscript"/>
        </w:rPr>
        <w:t>[14]</w:t>
      </w:r>
      <w:r>
        <w:rPr>
          <w:rFonts w:ascii="helvetica neue" w:hAnsi="helvetica neue" w:eastAsia="helvetica neue" w:cs="helvetica neue"/>
          <w:color w:val="000000"/>
          <w:sz w:val="21"/>
          <w:u w:val="single"/>
          <w:vertAlign w:val="superscript"/>
        </w:rPr>
        <w:fldChar w:fldCharType="end"/>
      </w:r>
      <w:bookmarkStart w:id="62" w:name="fnref10_5"/>
      <w:bookmarkEnd w:id="62"/>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p>
    <w:p w14:paraId="316EF14D">
      <w:pPr>
        <w:numPr>
          <w:ilvl w:val="1"/>
          <w:numId w:val="4"/>
        </w:numPr>
        <w:spacing w:before="105" w:after="105" w:line="360" w:lineRule="auto"/>
      </w:pPr>
      <w:r>
        <w:rPr>
          <w:rFonts w:ascii="Georgia" w:hAnsi="Georgia" w:eastAsia="Georgia" w:cs="Georgia"/>
          <w:color w:val="000000"/>
          <w:sz w:val="21"/>
        </w:rPr>
        <w:t>例如，透水铺装、雨水花园、绿色屋顶等不仅有助于减少雨水径流，还提供城市绿化、热岛缓解等多重生态系统服务，提升单位投资的综合效益。</w:t>
      </w:r>
      <w:bookmarkStart w:id="63" w:name="fnref10_6"/>
      <w:bookmarkEnd w:id="63"/>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p>
    <w:p w14:paraId="13D18DE6">
      <w:pPr>
        <w:numPr>
          <w:ilvl w:val="0"/>
          <w:numId w:val="4"/>
        </w:numPr>
        <w:spacing w:after="210" w:line="360" w:lineRule="auto"/>
      </w:pPr>
      <w:r>
        <w:rPr>
          <w:rFonts w:ascii="Georgia" w:hAnsi="Georgia" w:eastAsia="Georgia" w:cs="Georgia"/>
          <w:b/>
          <w:color w:val="000000"/>
          <w:sz w:val="21"/>
        </w:rPr>
        <w:t>信息共享与集成实时控制（RTC）</w:t>
      </w:r>
    </w:p>
    <w:p w14:paraId="602D3332">
      <w:pPr>
        <w:numPr>
          <w:ilvl w:val="1"/>
          <w:numId w:val="4"/>
        </w:numPr>
        <w:spacing w:before="105" w:after="105" w:line="360" w:lineRule="auto"/>
      </w:pPr>
      <w:r>
        <w:rPr>
          <w:rFonts w:ascii="Georgia" w:hAnsi="Georgia" w:eastAsia="Georgia" w:cs="Georgia"/>
          <w:color w:val="000000"/>
          <w:sz w:val="21"/>
        </w:rPr>
        <w:t>利用雨量、管网水位、流量、水质在线监测和气象预报信息，通过智能算法对溢流口、泵站和调蓄设施进行实时优化调度，可在给定的基础设施条件下显著降低内涝和污染排放。</w:t>
      </w:r>
      <w:bookmarkStart w:id="64" w:name="fnref13_1"/>
      <w:bookmarkEnd w:id="64"/>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bookmarkStart w:id="65" w:name="fnref12_6"/>
      <w:bookmarkEnd w:id="65"/>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p>
    <w:p w14:paraId="440E02A8">
      <w:pPr>
        <w:numPr>
          <w:ilvl w:val="1"/>
          <w:numId w:val="4"/>
        </w:numPr>
        <w:spacing w:before="105" w:after="105" w:line="360" w:lineRule="auto"/>
      </w:pPr>
      <w:r>
        <w:rPr>
          <w:rFonts w:ascii="Georgia" w:hAnsi="Georgia" w:eastAsia="Georgia" w:cs="Georgia"/>
          <w:color w:val="000000"/>
          <w:sz w:val="21"/>
        </w:rPr>
        <w:t>最新研究表明，通过多智能体强化学习等先进方法协调污水厂与排水管网，在模拟城市中实现了超过25%的积水和溢流体积减少，并降低入河污染物负荷，为一体化管理提供技术支撑。</w:t>
      </w:r>
      <w:bookmarkStart w:id="66" w:name="fnref13_2"/>
      <w:bookmarkEnd w:id="66"/>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p>
    <w:p w14:paraId="041206B7">
      <w:pPr>
        <w:numPr>
          <w:ilvl w:val="0"/>
          <w:numId w:val="4"/>
        </w:numPr>
        <w:spacing w:after="210" w:line="360" w:lineRule="auto"/>
      </w:pPr>
      <w:r>
        <w:rPr>
          <w:rFonts w:ascii="Georgia" w:hAnsi="Georgia" w:eastAsia="Georgia" w:cs="Georgia"/>
          <w:b/>
          <w:color w:val="000000"/>
          <w:sz w:val="21"/>
        </w:rPr>
        <w:t>雨污协同的制度与资金安排</w:t>
      </w:r>
    </w:p>
    <w:p w14:paraId="3E1D3CE6">
      <w:pPr>
        <w:numPr>
          <w:ilvl w:val="1"/>
          <w:numId w:val="4"/>
        </w:numPr>
        <w:spacing w:before="105" w:after="105" w:line="360" w:lineRule="auto"/>
      </w:pPr>
      <w:r>
        <w:rPr>
          <w:rFonts w:ascii="Georgia" w:hAnsi="Georgia" w:eastAsia="Georgia" w:cs="Georgia"/>
          <w:color w:val="000000"/>
          <w:sz w:val="21"/>
        </w:rPr>
        <w:t>通过统筹排水专项资金或建立城市水环境专门基金，实现污水、雨水、海绵城市和河道整治项目的统一论证和打包实施，避免部门分割造成的投资重复和治理效果打折。</w:t>
      </w:r>
      <w:bookmarkStart w:id="67" w:name="fnref11_4"/>
      <w:bookmarkEnd w:id="67"/>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68" w:name="fnref10_7"/>
      <w:bookmarkEnd w:id="68"/>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p>
    <w:p w14:paraId="376E1FED">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775EC31C">
      <w:pPr>
        <w:spacing w:before="315" w:after="105" w:line="360" w:lineRule="auto"/>
        <w:ind w:left="-30"/>
        <w:jc w:val="left"/>
      </w:pPr>
      <w:bookmarkStart w:id="69" w:name="五_对政府的具体政策与管理建议"/>
      <w:r>
        <w:rPr>
          <w:rFonts w:ascii="Georgia" w:hAnsi="Georgia" w:eastAsia="Georgia" w:cs="Georgia"/>
          <w:b/>
          <w:color w:val="000000"/>
          <w:sz w:val="24"/>
        </w:rPr>
        <w:t>五、对政府的具体政策与管理建议</w:t>
      </w:r>
      <w:bookmarkEnd w:id="69"/>
    </w:p>
    <w:p w14:paraId="7CB6A036">
      <w:pPr>
        <w:spacing w:after="210" w:line="360" w:lineRule="auto"/>
      </w:pPr>
      <w:r>
        <w:rPr>
          <w:rFonts w:ascii="Georgia" w:hAnsi="Georgia" w:eastAsia="Georgia" w:cs="Georgia"/>
          <w:color w:val="000000"/>
        </w:rPr>
        <w:t>结合以上分析，面向政府管理部门，可以在不同时段、不同城市基础上分步推进如下措施。目标是在保持公共性和安全底线的前提下，显著提升污水收集与处理的效率和服务水平。</w:t>
      </w:r>
    </w:p>
    <w:p w14:paraId="36BF4B5D">
      <w:pPr>
        <w:numPr>
          <w:ilvl w:val="0"/>
          <w:numId w:val="5"/>
        </w:numPr>
        <w:spacing w:after="210" w:line="360" w:lineRule="auto"/>
      </w:pPr>
      <w:r>
        <w:rPr>
          <w:rFonts w:ascii="Georgia" w:hAnsi="Georgia" w:eastAsia="Georgia" w:cs="Georgia"/>
          <w:b/>
          <w:color w:val="000000"/>
          <w:sz w:val="21"/>
        </w:rPr>
        <w:t>从单一核拨制转向“基础保障 + 绩效激励 + 市场参与”的复合机制</w:t>
      </w:r>
    </w:p>
    <w:p w14:paraId="694739AF">
      <w:pPr>
        <w:numPr>
          <w:ilvl w:val="1"/>
          <w:numId w:val="5"/>
        </w:numPr>
        <w:spacing w:before="105" w:after="105" w:line="360" w:lineRule="auto"/>
      </w:pPr>
      <w:r>
        <w:rPr>
          <w:rFonts w:ascii="Georgia" w:hAnsi="Georgia" w:eastAsia="Georgia" w:cs="Georgia"/>
          <w:color w:val="000000"/>
          <w:sz w:val="21"/>
        </w:rPr>
        <w:t>对于关键基础设施运行（如主干污水厂）仍由财政提供基础性支撑，但将部分资金与绩效挂钩，通过政府购买服务、PPP等方式，引入外部专业能力和竞争压力。</w:t>
      </w:r>
      <w:bookmarkStart w:id="70" w:name="fnref3_4"/>
      <w:bookmarkEnd w:id="70"/>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71" w:name="fnref2_11"/>
      <w:bookmarkEnd w:id="71"/>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2C03F5FC">
      <w:pPr>
        <w:numPr>
          <w:ilvl w:val="1"/>
          <w:numId w:val="5"/>
        </w:numPr>
        <w:spacing w:before="105" w:after="105" w:line="360" w:lineRule="auto"/>
      </w:pPr>
      <w:r>
        <w:rPr>
          <w:rFonts w:ascii="Georgia" w:hAnsi="Georgia" w:eastAsia="Georgia" w:cs="Georgia"/>
          <w:color w:val="000000"/>
          <w:sz w:val="21"/>
        </w:rPr>
        <w:t>对国有水务企业，可探索引入绩效监管（PBR）框架，将一定比例的收益或补贴与成本控制和水环境结果（如排放达标率、溢流次数、投诉率）挂钩。</w:t>
      </w:r>
      <w:bookmarkStart w:id="72" w:name="fnref1_7"/>
      <w:bookmarkEnd w:id="72"/>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bookmarkStart w:id="73" w:name="fnref8_4"/>
      <w:bookmarkEnd w:id="73"/>
      <w:r>
        <w:fldChar w:fldCharType="begin"/>
      </w:r>
      <w:r>
        <w:instrText xml:space="preserve"> HYPERLINK \l "fn8" \h </w:instrText>
      </w:r>
      <w:r>
        <w:fldChar w:fldCharType="separate"/>
      </w:r>
      <w:r>
        <w:rPr>
          <w:rFonts w:ascii="helvetica neue" w:hAnsi="helvetica neue" w:eastAsia="helvetica neue" w:cs="helvetica neue"/>
          <w:color w:val="000000"/>
          <w:sz w:val="21"/>
          <w:u w:val="single"/>
          <w:vertAlign w:val="superscript"/>
        </w:rPr>
        <w:t>[8]</w:t>
      </w:r>
      <w:r>
        <w:rPr>
          <w:rFonts w:ascii="helvetica neue" w:hAnsi="helvetica neue" w:eastAsia="helvetica neue" w:cs="helvetica neue"/>
          <w:color w:val="000000"/>
          <w:sz w:val="21"/>
          <w:u w:val="single"/>
          <w:vertAlign w:val="superscript"/>
        </w:rPr>
        <w:fldChar w:fldCharType="end"/>
      </w:r>
      <w:bookmarkStart w:id="74" w:name="fnref7_7"/>
      <w:bookmarkEnd w:id="74"/>
      <w:r>
        <w:fldChar w:fldCharType="begin"/>
      </w:r>
      <w:r>
        <w:instrText xml:space="preserve"> HYPERLINK \l "fn7" \h </w:instrText>
      </w:r>
      <w:r>
        <w:fldChar w:fldCharType="separate"/>
      </w:r>
      <w:r>
        <w:rPr>
          <w:rFonts w:ascii="helvetica neue" w:hAnsi="helvetica neue" w:eastAsia="helvetica neue" w:cs="helvetica neue"/>
          <w:color w:val="000000"/>
          <w:sz w:val="21"/>
          <w:u w:val="single"/>
          <w:vertAlign w:val="superscript"/>
        </w:rPr>
        <w:t>[7]</w:t>
      </w:r>
      <w:r>
        <w:rPr>
          <w:rFonts w:ascii="helvetica neue" w:hAnsi="helvetica neue" w:eastAsia="helvetica neue" w:cs="helvetica neue"/>
          <w:color w:val="000000"/>
          <w:sz w:val="21"/>
          <w:u w:val="single"/>
          <w:vertAlign w:val="superscript"/>
        </w:rPr>
        <w:fldChar w:fldCharType="end"/>
      </w:r>
    </w:p>
    <w:p w14:paraId="38FCA6F5">
      <w:pPr>
        <w:numPr>
          <w:ilvl w:val="0"/>
          <w:numId w:val="5"/>
        </w:numPr>
        <w:spacing w:after="210" w:line="360" w:lineRule="auto"/>
      </w:pPr>
      <w:r>
        <w:rPr>
          <w:rFonts w:ascii="Georgia" w:hAnsi="Georgia" w:eastAsia="Georgia" w:cs="Georgia"/>
          <w:b/>
          <w:color w:val="000000"/>
          <w:sz w:val="21"/>
        </w:rPr>
        <w:t>建立覆盖全链条的绩效指标体系和数据平台</w:t>
      </w:r>
    </w:p>
    <w:p w14:paraId="4789A322">
      <w:pPr>
        <w:numPr>
          <w:ilvl w:val="1"/>
          <w:numId w:val="5"/>
        </w:numPr>
        <w:spacing w:before="105" w:after="105" w:line="360" w:lineRule="auto"/>
      </w:pPr>
      <w:r>
        <w:rPr>
          <w:rFonts w:ascii="Georgia" w:hAnsi="Georgia" w:eastAsia="Georgia" w:cs="Georgia"/>
          <w:color w:val="000000"/>
          <w:sz w:val="21"/>
        </w:rPr>
        <w:t>绩效指标应涵盖：污水收集率、厂站出水稳定达标率、单位处理能耗和成本、管网故障率和溢流事件、居民满意度、对受纳水体水质改善的贡献等。</w:t>
      </w:r>
      <w:bookmarkStart w:id="75" w:name="fnref9_5"/>
      <w:bookmarkEnd w:id="75"/>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bookmarkStart w:id="76" w:name="fnref7_8"/>
      <w:bookmarkEnd w:id="76"/>
      <w:r>
        <w:fldChar w:fldCharType="begin"/>
      </w:r>
      <w:r>
        <w:instrText xml:space="preserve"> HYPERLINK \l "fn7" \h </w:instrText>
      </w:r>
      <w:r>
        <w:fldChar w:fldCharType="separate"/>
      </w:r>
      <w:r>
        <w:rPr>
          <w:rFonts w:ascii="helvetica neue" w:hAnsi="helvetica neue" w:eastAsia="helvetica neue" w:cs="helvetica neue"/>
          <w:color w:val="000000"/>
          <w:sz w:val="21"/>
          <w:u w:val="single"/>
          <w:vertAlign w:val="superscript"/>
        </w:rPr>
        <w:t>[7]</w:t>
      </w:r>
      <w:r>
        <w:rPr>
          <w:rFonts w:ascii="helvetica neue" w:hAnsi="helvetica neue" w:eastAsia="helvetica neue" w:cs="helvetica neue"/>
          <w:color w:val="000000"/>
          <w:sz w:val="21"/>
          <w:u w:val="single"/>
          <w:vertAlign w:val="superscript"/>
        </w:rPr>
        <w:fldChar w:fldCharType="end"/>
      </w:r>
    </w:p>
    <w:p w14:paraId="66090931">
      <w:pPr>
        <w:numPr>
          <w:ilvl w:val="1"/>
          <w:numId w:val="5"/>
        </w:numPr>
        <w:spacing w:before="105" w:after="105" w:line="360" w:lineRule="auto"/>
      </w:pPr>
      <w:r>
        <w:rPr>
          <w:rFonts w:ascii="Georgia" w:hAnsi="Georgia" w:eastAsia="Georgia" w:cs="Georgia"/>
          <w:color w:val="000000"/>
          <w:sz w:val="21"/>
        </w:rPr>
        <w:t>建议建设统一的排水信息平台，整合管网、泵站、污水厂和雨水设施的运行数据，为绩效考核、投资决策和公众监督提供基础。</w:t>
      </w:r>
    </w:p>
    <w:p w14:paraId="53A10A51">
      <w:pPr>
        <w:numPr>
          <w:ilvl w:val="0"/>
          <w:numId w:val="5"/>
        </w:numPr>
        <w:spacing w:after="210" w:line="360" w:lineRule="auto"/>
      </w:pPr>
      <w:r>
        <w:rPr>
          <w:rFonts w:ascii="Georgia" w:hAnsi="Georgia" w:eastAsia="Georgia" w:cs="Georgia"/>
          <w:b/>
          <w:color w:val="000000"/>
          <w:sz w:val="21"/>
        </w:rPr>
        <w:t>规范推广政府购买服务和PPP模式，强化合同与监管能力</w:t>
      </w:r>
    </w:p>
    <w:p w14:paraId="39283982">
      <w:pPr>
        <w:numPr>
          <w:ilvl w:val="1"/>
          <w:numId w:val="5"/>
        </w:numPr>
        <w:spacing w:before="105" w:after="105" w:line="360" w:lineRule="auto"/>
      </w:pPr>
      <w:r>
        <w:rPr>
          <w:rFonts w:ascii="Georgia" w:hAnsi="Georgia" w:eastAsia="Georgia" w:cs="Georgia"/>
          <w:color w:val="000000"/>
          <w:sz w:val="21"/>
        </w:rPr>
        <w:t>在制度条件成熟的城市，可以优先将运行、维护与扩能改造环节通过政府购买服务或PPP方式市场化，引入专业运营商，并在合同中清晰约定风险分配、绩效目标和退出机制。</w:t>
      </w:r>
      <w:bookmarkStart w:id="77" w:name="fnref2_12"/>
      <w:bookmarkEnd w:id="77"/>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bookmarkStart w:id="78" w:name="fnref6_8"/>
      <w:bookmarkEnd w:id="78"/>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p>
    <w:p w14:paraId="5419993F">
      <w:pPr>
        <w:numPr>
          <w:ilvl w:val="1"/>
          <w:numId w:val="5"/>
        </w:numPr>
        <w:spacing w:before="105" w:after="105" w:line="360" w:lineRule="auto"/>
      </w:pPr>
      <w:r>
        <w:rPr>
          <w:rFonts w:ascii="Georgia" w:hAnsi="Georgia" w:eastAsia="Georgia" w:cs="Georgia"/>
          <w:color w:val="000000"/>
          <w:sz w:val="21"/>
        </w:rPr>
        <w:t>充分借鉴国内对污水PPP的实证研究成果和典型案例，总结易产生问题的环节（如过度依赖财政兜底、考核过于形式化），避免“唯融资、不重绩效”。</w:t>
      </w:r>
      <w:bookmarkStart w:id="79" w:name="fnref4_6"/>
      <w:bookmarkEnd w:id="79"/>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bookmarkStart w:id="80" w:name="fnref5_5"/>
      <w:bookmarkEnd w:id="80"/>
      <w:r>
        <w:fldChar w:fldCharType="begin"/>
      </w:r>
      <w:r>
        <w:instrText xml:space="preserve"> HYPERLINK \l "fn5" \h </w:instrText>
      </w:r>
      <w:r>
        <w:fldChar w:fldCharType="separate"/>
      </w:r>
      <w:r>
        <w:rPr>
          <w:rFonts w:ascii="helvetica neue" w:hAnsi="helvetica neue" w:eastAsia="helvetica neue" w:cs="helvetica neue"/>
          <w:color w:val="000000"/>
          <w:sz w:val="21"/>
          <w:u w:val="single"/>
          <w:vertAlign w:val="superscript"/>
        </w:rPr>
        <w:t>[5]</w:t>
      </w:r>
      <w:r>
        <w:rPr>
          <w:rFonts w:ascii="helvetica neue" w:hAnsi="helvetica neue" w:eastAsia="helvetica neue" w:cs="helvetica neue"/>
          <w:color w:val="000000"/>
          <w:sz w:val="21"/>
          <w:u w:val="single"/>
          <w:vertAlign w:val="superscript"/>
        </w:rPr>
        <w:fldChar w:fldCharType="end"/>
      </w:r>
      <w:bookmarkStart w:id="81" w:name="fnref6_9"/>
      <w:bookmarkEnd w:id="81"/>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82" w:name="fnref2_13"/>
      <w:bookmarkEnd w:id="82"/>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7FA850F3">
      <w:pPr>
        <w:numPr>
          <w:ilvl w:val="0"/>
          <w:numId w:val="5"/>
        </w:numPr>
        <w:spacing w:after="210" w:line="360" w:lineRule="auto"/>
      </w:pPr>
      <w:r>
        <w:rPr>
          <w:rFonts w:ascii="Georgia" w:hAnsi="Georgia" w:eastAsia="Georgia" w:cs="Georgia"/>
          <w:b/>
          <w:color w:val="000000"/>
          <w:sz w:val="21"/>
        </w:rPr>
        <w:t>将污水系统改造与雨水系统、海绵城市和河道治理统筹推进</w:t>
      </w:r>
    </w:p>
    <w:p w14:paraId="1B1174B6">
      <w:pPr>
        <w:numPr>
          <w:ilvl w:val="1"/>
          <w:numId w:val="5"/>
        </w:numPr>
        <w:spacing w:before="105" w:after="105" w:line="360" w:lineRule="auto"/>
      </w:pPr>
      <w:r>
        <w:rPr>
          <w:rFonts w:ascii="Georgia" w:hAnsi="Georgia" w:eastAsia="Georgia" w:cs="Georgia"/>
          <w:color w:val="000000"/>
          <w:sz w:val="21"/>
        </w:rPr>
        <w:t>在编制或修订城市总体规划和排水专项规划时，建议引入一体化水循环管理（IWCM）理念，统一考虑污水处理、雨水管理、再生水利用和水环境目标。</w:t>
      </w:r>
      <w:bookmarkStart w:id="83" w:name="fnref12_7"/>
      <w:bookmarkEnd w:id="83"/>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bookmarkStart w:id="84" w:name="fnref10_8"/>
      <w:bookmarkEnd w:id="84"/>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p>
    <w:p w14:paraId="0182FACC">
      <w:pPr>
        <w:numPr>
          <w:ilvl w:val="1"/>
          <w:numId w:val="5"/>
        </w:numPr>
        <w:spacing w:before="105" w:after="105" w:line="360" w:lineRule="auto"/>
      </w:pPr>
      <w:r>
        <w:rPr>
          <w:rFonts w:ascii="Georgia" w:hAnsi="Georgia" w:eastAsia="Georgia" w:cs="Georgia"/>
          <w:color w:val="000000"/>
          <w:sz w:val="21"/>
        </w:rPr>
        <w:t>在项目论证中采用成本—效益和全生命周期成本分析工具，对“单纯扩容污水厂”和“雨污协同、绿色基础设施+智能调度”等组合方案进行对比，优先选择综合效益更高的方案。</w:t>
      </w:r>
      <w:bookmarkStart w:id="85" w:name="fnref14_2"/>
      <w:bookmarkEnd w:id="85"/>
      <w:r>
        <w:fldChar w:fldCharType="begin"/>
      </w:r>
      <w:r>
        <w:instrText xml:space="preserve"> HYPERLINK \l "fn14" \h </w:instrText>
      </w:r>
      <w:r>
        <w:fldChar w:fldCharType="separate"/>
      </w:r>
      <w:r>
        <w:rPr>
          <w:rFonts w:ascii="helvetica neue" w:hAnsi="helvetica neue" w:eastAsia="helvetica neue" w:cs="helvetica neue"/>
          <w:color w:val="000000"/>
          <w:sz w:val="21"/>
          <w:u w:val="single"/>
          <w:vertAlign w:val="superscript"/>
        </w:rPr>
        <w:t>[14]</w:t>
      </w:r>
      <w:r>
        <w:rPr>
          <w:rFonts w:ascii="helvetica neue" w:hAnsi="helvetica neue" w:eastAsia="helvetica neue" w:cs="helvetica neue"/>
          <w:color w:val="000000"/>
          <w:sz w:val="21"/>
          <w:u w:val="single"/>
          <w:vertAlign w:val="superscript"/>
        </w:rPr>
        <w:fldChar w:fldCharType="end"/>
      </w:r>
      <w:bookmarkStart w:id="86" w:name="fnref11_5"/>
      <w:bookmarkEnd w:id="86"/>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87" w:name="fnref10_9"/>
      <w:bookmarkEnd w:id="87"/>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p>
    <w:p w14:paraId="22D97DD9">
      <w:pPr>
        <w:numPr>
          <w:ilvl w:val="0"/>
          <w:numId w:val="5"/>
        </w:numPr>
        <w:spacing w:after="210" w:line="360" w:lineRule="auto"/>
      </w:pPr>
      <w:r>
        <w:rPr>
          <w:rFonts w:ascii="Georgia" w:hAnsi="Georgia" w:eastAsia="Georgia" w:cs="Georgia"/>
          <w:b/>
          <w:color w:val="000000"/>
          <w:sz w:val="21"/>
        </w:rPr>
        <w:t>加强行业监管、能力建设和公众参与</w:t>
      </w:r>
    </w:p>
    <w:p w14:paraId="1C5D861D">
      <w:pPr>
        <w:numPr>
          <w:ilvl w:val="1"/>
          <w:numId w:val="5"/>
        </w:numPr>
        <w:spacing w:before="105" w:after="105" w:line="360" w:lineRule="auto"/>
      </w:pPr>
      <w:r>
        <w:rPr>
          <w:rFonts w:ascii="Georgia" w:hAnsi="Georgia" w:eastAsia="Georgia" w:cs="Georgia"/>
          <w:color w:val="000000"/>
          <w:sz w:val="21"/>
        </w:rPr>
        <w:t>建议在住建、水务、生态环境等部门之间明确市政污水和雨水管理的职责分工与协作机制，必要时可设立跨部门协调机构统一推进。</w:t>
      </w:r>
      <w:bookmarkStart w:id="88" w:name="fnref11_6"/>
      <w:bookmarkEnd w:id="88"/>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89" w:name="fnref10_10"/>
      <w:bookmarkEnd w:id="89"/>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p>
    <w:p w14:paraId="00D5F5D3">
      <w:pPr>
        <w:numPr>
          <w:ilvl w:val="1"/>
          <w:numId w:val="5"/>
        </w:numPr>
        <w:spacing w:before="105" w:after="105" w:line="360" w:lineRule="auto"/>
      </w:pPr>
      <w:r>
        <w:rPr>
          <w:rFonts w:ascii="Georgia" w:hAnsi="Georgia" w:eastAsia="Georgia" w:cs="Georgia"/>
          <w:color w:val="000000"/>
          <w:sz w:val="21"/>
        </w:rPr>
        <w:t>强化政府在合同管理、绩效评估、风险评估和数字化调度方面的专业能力建设，可通过培训、引进第三方专业机构和试点项目逐步积累经验。</w:t>
      </w:r>
      <w:bookmarkStart w:id="90" w:name="fnref7_9"/>
      <w:bookmarkEnd w:id="90"/>
      <w:r>
        <w:fldChar w:fldCharType="begin"/>
      </w:r>
      <w:r>
        <w:instrText xml:space="preserve"> HYPERLINK \l "fn7" \h </w:instrText>
      </w:r>
      <w:r>
        <w:fldChar w:fldCharType="separate"/>
      </w:r>
      <w:r>
        <w:rPr>
          <w:rFonts w:ascii="helvetica neue" w:hAnsi="helvetica neue" w:eastAsia="helvetica neue" w:cs="helvetica neue"/>
          <w:color w:val="000000"/>
          <w:sz w:val="21"/>
          <w:u w:val="single"/>
          <w:vertAlign w:val="superscript"/>
        </w:rPr>
        <w:t>[7]</w:t>
      </w:r>
      <w:r>
        <w:rPr>
          <w:rFonts w:ascii="helvetica neue" w:hAnsi="helvetica neue" w:eastAsia="helvetica neue" w:cs="helvetica neue"/>
          <w:color w:val="000000"/>
          <w:sz w:val="21"/>
          <w:u w:val="single"/>
          <w:vertAlign w:val="superscript"/>
        </w:rPr>
        <w:fldChar w:fldCharType="end"/>
      </w:r>
      <w:bookmarkStart w:id="91" w:name="fnref9_6"/>
      <w:bookmarkEnd w:id="91"/>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p>
    <w:p w14:paraId="3CAF8AA3">
      <w:pPr>
        <w:numPr>
          <w:ilvl w:val="1"/>
          <w:numId w:val="5"/>
        </w:numPr>
        <w:spacing w:before="105" w:after="105" w:line="360" w:lineRule="auto"/>
      </w:pPr>
      <w:r>
        <w:rPr>
          <w:rFonts w:ascii="Georgia" w:hAnsi="Georgia" w:eastAsia="Georgia" w:cs="Georgia"/>
          <w:color w:val="000000"/>
          <w:sz w:val="21"/>
        </w:rPr>
        <w:t>适度公开污水处理绩效和水环境改善信息，增强社会监督和公众参与，有助于倒逼运营单位提升服务质量，也便于政府在政策调整时获得支持。</w:t>
      </w:r>
    </w:p>
    <w:p w14:paraId="5C9A494A">
      <w:pPr>
        <w:spacing w:after="210" w:line="360" w:lineRule="auto"/>
      </w:pPr>
      <w:r>
        <w:rPr>
          <w:rFonts w:ascii="Georgia" w:hAnsi="Georgia" w:eastAsia="Georgia" w:cs="Georgia"/>
          <w:color w:val="000000"/>
        </w:rPr>
        <w:t>通过以上措施，可在现有核拨制基础上，逐步引入市场机制和绩效激励，实现市政污水收集与处理系统的全生命周期优化，并与雨水系统协同发力，在控制成本的前提下整体提升城市水安全和水环境质量。</w:t>
      </w:r>
      <w:r>
        <w:rPr>
          <w:rFonts w:ascii="Georgia" w:hAnsi="Georgia" w:eastAsia="Georgia" w:cs="Georgia"/>
          <w:color w:val="000000"/>
        </w:rPr>
        <w:br w:type="textWrapping"/>
      </w:r>
    </w:p>
    <w:p w14:paraId="613A5BCD">
      <w:pPr>
        <w:spacing w:line="360" w:lineRule="auto"/>
      </w:pPr>
      <w:r>
        <w:rPr>
          <w:rFonts w:ascii="Georgia" w:hAnsi="Georgia" w:eastAsia="Georgia" w:cs="Georgia"/>
          <w:color w:val="000000"/>
        </w:rPr>
        <w:t>⁂</w:t>
      </w:r>
    </w:p>
    <w:p w14:paraId="7E58ABC0">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0D8A3EE2">
      <w:pPr>
        <w:numPr>
          <w:ilvl w:val="0"/>
          <w:numId w:val="6"/>
        </w:numPr>
        <w:spacing w:after="210" w:line="360" w:lineRule="auto"/>
      </w:pPr>
      <w:bookmarkStart w:id="92" w:name="fn1"/>
      <w:bookmarkEnd w:id="92"/>
      <w:r>
        <w:fldChar w:fldCharType="begin"/>
      </w:r>
      <w:r>
        <w:instrText xml:space="preserve"> HYPERLINK "https://en.wikipedia.org/wiki/Performance-based_regulation" \h </w:instrText>
      </w:r>
      <w:r>
        <w:fldChar w:fldCharType="separate"/>
      </w:r>
      <w:r>
        <w:rPr>
          <w:rFonts w:ascii="helvetica neue" w:hAnsi="helvetica neue" w:eastAsia="helvetica neue" w:cs="helvetica neue"/>
          <w:color w:val="000000"/>
          <w:sz w:val="18"/>
          <w:u w:val="single"/>
        </w:rPr>
        <w:t>https://en.wikipedia.org/wiki/Performance-based_regulation</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368E7DCD">
      <w:pPr>
        <w:numPr>
          <w:ilvl w:val="0"/>
          <w:numId w:val="6"/>
        </w:numPr>
        <w:spacing w:after="210" w:line="360" w:lineRule="auto"/>
      </w:pPr>
      <w:bookmarkStart w:id="93" w:name="fn2"/>
      <w:bookmarkEnd w:id="93"/>
      <w:r>
        <w:fldChar w:fldCharType="begin"/>
      </w:r>
      <w:r>
        <w:instrText xml:space="preserve"> HYPERLINK "https://pmc.ncbi.nlm.nih.gov/articles/PMC9223837/" \h </w:instrText>
      </w:r>
      <w:r>
        <w:fldChar w:fldCharType="separate"/>
      </w:r>
      <w:r>
        <w:rPr>
          <w:rFonts w:ascii="helvetica neue" w:hAnsi="helvetica neue" w:eastAsia="helvetica neue" w:cs="helvetica neue"/>
          <w:color w:val="000000"/>
          <w:sz w:val="18"/>
          <w:u w:val="single"/>
        </w:rPr>
        <w:t>https://pmc.ncbi.nlm.nih.gov/articles/PMC9223837/</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2232F7E8">
      <w:pPr>
        <w:numPr>
          <w:ilvl w:val="0"/>
          <w:numId w:val="6"/>
        </w:numPr>
        <w:spacing w:after="210" w:line="360" w:lineRule="auto"/>
      </w:pPr>
      <w:bookmarkStart w:id="94" w:name="fn3"/>
      <w:bookmarkEnd w:id="94"/>
      <w:r>
        <w:fldChar w:fldCharType="begin"/>
      </w:r>
      <w:r>
        <w:instrText xml:space="preserve"> HYPERLINK "https://www.naruc.org/core-sectors/energy-resources-and-the-environment/valuation-and-ratemaking/performance-based-regulation/" \h </w:instrText>
      </w:r>
      <w:r>
        <w:fldChar w:fldCharType="separate"/>
      </w:r>
      <w:r>
        <w:rPr>
          <w:rFonts w:ascii="helvetica neue" w:hAnsi="helvetica neue" w:eastAsia="helvetica neue" w:cs="helvetica neue"/>
          <w:color w:val="000000"/>
          <w:sz w:val="18"/>
          <w:u w:val="single"/>
        </w:rPr>
        <w:t>https://www.naruc.org/core-sectors/energy-resources-and-the-environment/valuation-and-ratemaking/performance-based-regulation/</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61B28713">
      <w:pPr>
        <w:numPr>
          <w:ilvl w:val="0"/>
          <w:numId w:val="6"/>
        </w:numPr>
        <w:spacing w:after="210" w:line="360" w:lineRule="auto"/>
      </w:pPr>
      <w:bookmarkStart w:id="95" w:name="fn4"/>
      <w:bookmarkEnd w:id="95"/>
      <w:r>
        <w:fldChar w:fldCharType="begin"/>
      </w:r>
      <w:r>
        <w:instrText xml:space="preserve"> HYPERLINK "https://www.sciencedirect.com/science/article/abs/pii/S0301479721007222" \h </w:instrText>
      </w:r>
      <w:r>
        <w:fldChar w:fldCharType="separate"/>
      </w:r>
      <w:r>
        <w:rPr>
          <w:rFonts w:ascii="helvetica neue" w:hAnsi="helvetica neue" w:eastAsia="helvetica neue" w:cs="helvetica neue"/>
          <w:color w:val="000000"/>
          <w:sz w:val="18"/>
          <w:u w:val="single"/>
        </w:rPr>
        <w:t>https://www.sciencedirect.com/science/article/abs/pii/S0301479721007222</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4B5A588D">
      <w:pPr>
        <w:numPr>
          <w:ilvl w:val="0"/>
          <w:numId w:val="6"/>
        </w:numPr>
        <w:spacing w:after="210" w:line="360" w:lineRule="auto"/>
      </w:pPr>
      <w:bookmarkStart w:id="96" w:name="fn5"/>
      <w:bookmarkEnd w:id="96"/>
      <w:r>
        <w:fldChar w:fldCharType="begin"/>
      </w:r>
      <w:r>
        <w:instrText xml:space="preserve"> HYPERLINK "https://pmc.ncbi.nlm.nih.gov/articles/PMC11045736/" \h </w:instrText>
      </w:r>
      <w:r>
        <w:fldChar w:fldCharType="separate"/>
      </w:r>
      <w:r>
        <w:rPr>
          <w:rFonts w:ascii="helvetica neue" w:hAnsi="helvetica neue" w:eastAsia="helvetica neue" w:cs="helvetica neue"/>
          <w:color w:val="000000"/>
          <w:sz w:val="18"/>
          <w:u w:val="single"/>
        </w:rPr>
        <w:t>https://pmc.ncbi.nlm.nih.gov/articles/PMC11045736/</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35F42B8C">
      <w:pPr>
        <w:numPr>
          <w:ilvl w:val="0"/>
          <w:numId w:val="6"/>
        </w:numPr>
        <w:spacing w:after="210" w:line="360" w:lineRule="auto"/>
      </w:pPr>
      <w:bookmarkStart w:id="97" w:name="fn6"/>
      <w:bookmarkEnd w:id="97"/>
      <w:r>
        <w:fldChar w:fldCharType="begin"/>
      </w:r>
      <w:r>
        <w:instrText xml:space="preserve"> HYPERLINK "https://www.adb.org/sites/default/files/publication/798661/adbi-case-study-2022-1.pdf" \h </w:instrText>
      </w:r>
      <w:r>
        <w:fldChar w:fldCharType="separate"/>
      </w:r>
      <w:r>
        <w:rPr>
          <w:rFonts w:ascii="helvetica neue" w:hAnsi="helvetica neue" w:eastAsia="helvetica neue" w:cs="helvetica neue"/>
          <w:color w:val="000000"/>
          <w:sz w:val="18"/>
          <w:u w:val="single"/>
        </w:rPr>
        <w:t>https://www.adb.org/sites/default/files/publication/798661/adbi-case-study-2022-1.pdf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6DBBB401">
      <w:pPr>
        <w:numPr>
          <w:ilvl w:val="0"/>
          <w:numId w:val="6"/>
        </w:numPr>
        <w:spacing w:after="210" w:line="360" w:lineRule="auto"/>
      </w:pPr>
      <w:bookmarkStart w:id="98" w:name="fn7"/>
      <w:bookmarkEnd w:id="98"/>
      <w:r>
        <w:fldChar w:fldCharType="begin"/>
      </w:r>
      <w:r>
        <w:instrText xml:space="preserve"> HYPERLINK "https://www.epcor.com/content/dam/epcor/documents/supporting-documents/2024_water-rate-application-appendix-n-performance-based-regulation-background.pdf" \h </w:instrText>
      </w:r>
      <w:r>
        <w:fldChar w:fldCharType="separate"/>
      </w:r>
      <w:r>
        <w:rPr>
          <w:rFonts w:ascii="helvetica neue" w:hAnsi="helvetica neue" w:eastAsia="helvetica neue" w:cs="helvetica neue"/>
          <w:color w:val="000000"/>
          <w:sz w:val="18"/>
          <w:u w:val="single"/>
        </w:rPr>
        <w:t>https://www.epcor.com/content/dam/epcor/documents/supporting-documents/2024_water-rate-application-appendix-n-performance-based-regulation-background.pdf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35202300">
      <w:pPr>
        <w:numPr>
          <w:ilvl w:val="0"/>
          <w:numId w:val="6"/>
        </w:numPr>
        <w:spacing w:after="210" w:line="360" w:lineRule="auto"/>
      </w:pPr>
      <w:bookmarkStart w:id="99" w:name="fn8"/>
      <w:bookmarkEnd w:id="99"/>
      <w:r>
        <w:fldChar w:fldCharType="begin"/>
      </w:r>
      <w:r>
        <w:instrText xml:space="preserve"> HYPERLINK "https://www.epcor.com/content/dam/epcor/documents/supporting-documents/2025-2027-wastewater-pbr-application.pdf" \h </w:instrText>
      </w:r>
      <w:r>
        <w:fldChar w:fldCharType="separate"/>
      </w:r>
      <w:r>
        <w:rPr>
          <w:rFonts w:ascii="helvetica neue" w:hAnsi="helvetica neue" w:eastAsia="helvetica neue" w:cs="helvetica neue"/>
          <w:color w:val="000000"/>
          <w:sz w:val="18"/>
          <w:u w:val="single"/>
        </w:rPr>
        <w:t>https://www.epcor.com/content/dam/epcor/documents/supporting-documents/2025-2027-wastewater-pbr-application.pdf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2493D669">
      <w:pPr>
        <w:numPr>
          <w:ilvl w:val="0"/>
          <w:numId w:val="6"/>
        </w:numPr>
        <w:spacing w:after="210" w:line="360" w:lineRule="auto"/>
      </w:pPr>
      <w:bookmarkStart w:id="100" w:name="fn9"/>
      <w:bookmarkEnd w:id="100"/>
      <w:r>
        <w:fldChar w:fldCharType="begin"/>
      </w:r>
      <w:r>
        <w:instrText xml:space="preserve"> HYPERLINK "https://pmc.ncbi.nlm.nih.gov/articles/PMC9938507/" \h </w:instrText>
      </w:r>
      <w:r>
        <w:fldChar w:fldCharType="separate"/>
      </w:r>
      <w:r>
        <w:rPr>
          <w:rFonts w:ascii="helvetica neue" w:hAnsi="helvetica neue" w:eastAsia="helvetica neue" w:cs="helvetica neue"/>
          <w:color w:val="000000"/>
          <w:sz w:val="18"/>
          <w:u w:val="single"/>
        </w:rPr>
        <w:t>https://pmc.ncbi.nlm.nih.gov/articles/PMC9938507/</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345F479D">
      <w:pPr>
        <w:numPr>
          <w:ilvl w:val="0"/>
          <w:numId w:val="6"/>
        </w:numPr>
        <w:spacing w:after="210" w:line="360" w:lineRule="auto"/>
      </w:pPr>
      <w:bookmarkStart w:id="101" w:name="fn10"/>
      <w:bookmarkEnd w:id="101"/>
      <w:r>
        <w:fldChar w:fldCharType="begin"/>
      </w:r>
      <w:r>
        <w:instrText xml:space="preserve"> HYPERLINK "https://pmc.ncbi.nlm.nih.gov/articles/PMC6913040/" \h </w:instrText>
      </w:r>
      <w:r>
        <w:fldChar w:fldCharType="separate"/>
      </w:r>
      <w:r>
        <w:rPr>
          <w:rFonts w:ascii="helvetica neue" w:hAnsi="helvetica neue" w:eastAsia="helvetica neue" w:cs="helvetica neue"/>
          <w:color w:val="000000"/>
          <w:sz w:val="18"/>
          <w:u w:val="single"/>
        </w:rPr>
        <w:t>https://pmc.ncbi.nlm.nih.gov/articles/PMC6913040/</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0C294DE2">
      <w:pPr>
        <w:numPr>
          <w:ilvl w:val="0"/>
          <w:numId w:val="6"/>
        </w:numPr>
        <w:spacing w:after="210" w:line="360" w:lineRule="auto"/>
      </w:pPr>
      <w:bookmarkStart w:id="102" w:name="fn11"/>
      <w:bookmarkEnd w:id="102"/>
      <w:r>
        <w:fldChar w:fldCharType="begin"/>
      </w:r>
      <w:r>
        <w:instrText xml:space="preserve"> HYPERLINK "https://www.sma.sa.gov.au/wp-content/uploads/Stormwater-management-cost-benefit-framework.pdf" \h </w:instrText>
      </w:r>
      <w:r>
        <w:fldChar w:fldCharType="separate"/>
      </w:r>
      <w:r>
        <w:rPr>
          <w:rFonts w:ascii="helvetica neue" w:hAnsi="helvetica neue" w:eastAsia="helvetica neue" w:cs="helvetica neue"/>
          <w:color w:val="000000"/>
          <w:sz w:val="18"/>
          <w:u w:val="single"/>
        </w:rPr>
        <w:t>https://www.sma.sa.gov.au/wp-content/uploads/Stormwater-management-cost-benefit-framework.pdf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3B072240">
      <w:pPr>
        <w:numPr>
          <w:ilvl w:val="0"/>
          <w:numId w:val="6"/>
        </w:numPr>
        <w:spacing w:after="210" w:line="360" w:lineRule="auto"/>
      </w:pPr>
      <w:bookmarkStart w:id="103" w:name="fn12"/>
      <w:bookmarkEnd w:id="103"/>
      <w:r>
        <w:fldChar w:fldCharType="begin"/>
      </w:r>
      <w:r>
        <w:instrText xml:space="preserve"> HYPERLINK "https://onlinelibrary.wiley.com/doi/10.1111/j.1747-6593.2002.tb00368.x" \h </w:instrText>
      </w:r>
      <w:r>
        <w:fldChar w:fldCharType="separate"/>
      </w:r>
      <w:r>
        <w:rPr>
          <w:rFonts w:ascii="helvetica neue" w:hAnsi="helvetica neue" w:eastAsia="helvetica neue" w:cs="helvetica neue"/>
          <w:color w:val="000000"/>
          <w:sz w:val="18"/>
          <w:u w:val="single"/>
        </w:rPr>
        <w:t>https://onlinelibrary.wiley.com/doi/10.1111/j.1747-6593.2002.tb00368.x</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5ED2E9A1">
      <w:pPr>
        <w:numPr>
          <w:ilvl w:val="0"/>
          <w:numId w:val="6"/>
        </w:numPr>
        <w:spacing w:after="210" w:line="360" w:lineRule="auto"/>
      </w:pPr>
      <w:bookmarkStart w:id="104" w:name="fn13"/>
      <w:bookmarkEnd w:id="104"/>
      <w:r>
        <w:fldChar w:fldCharType="begin"/>
      </w:r>
      <w:r>
        <w:instrText xml:space="preserve"> HYPERLINK "https://www.nature.com/articles/s41545-025-00512-z" \h </w:instrText>
      </w:r>
      <w:r>
        <w:fldChar w:fldCharType="separate"/>
      </w:r>
      <w:r>
        <w:rPr>
          <w:rFonts w:ascii="helvetica neue" w:hAnsi="helvetica neue" w:eastAsia="helvetica neue" w:cs="helvetica neue"/>
          <w:color w:val="000000"/>
          <w:sz w:val="18"/>
          <w:u w:val="single"/>
        </w:rPr>
        <w:t>https://www.nature.com/articles/s41545-025-00512-z</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6E3DDEE0">
      <w:pPr>
        <w:numPr>
          <w:ilvl w:val="0"/>
          <w:numId w:val="6"/>
        </w:numPr>
        <w:spacing w:after="210" w:line="360" w:lineRule="auto"/>
      </w:pPr>
      <w:bookmarkStart w:id="105" w:name="fn14"/>
      <w:bookmarkEnd w:id="105"/>
      <w:r>
        <w:fldChar w:fldCharType="begin"/>
      </w:r>
      <w:r>
        <w:instrText xml:space="preserve"> HYPERLINK "https://www.sciencedirect.com/science/article/abs/pii/S0195925522000713" \h </w:instrText>
      </w:r>
      <w:r>
        <w:fldChar w:fldCharType="separate"/>
      </w:r>
      <w:r>
        <w:rPr>
          <w:rFonts w:ascii="helvetica neue" w:hAnsi="helvetica neue" w:eastAsia="helvetica neue" w:cs="helvetica neue"/>
          <w:color w:val="000000"/>
          <w:sz w:val="18"/>
          <w:u w:val="single"/>
        </w:rPr>
        <w:t>https://www.sciencedirect.com/science/article/abs/pii/S0195925522000713</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4427C227">
      <w:pPr>
        <w:numPr>
          <w:ilvl w:val="0"/>
          <w:numId w:val="6"/>
        </w:numPr>
        <w:spacing w:after="210" w:line="360" w:lineRule="auto"/>
      </w:pPr>
      <w:bookmarkStart w:id="106" w:name="fn15"/>
      <w:bookmarkEnd w:id="106"/>
      <w:r>
        <w:fldChar w:fldCharType="begin"/>
      </w:r>
      <w:r>
        <w:instrText xml:space="preserve"> HYPERLINK "https://www.raponline.org/wp-content/uploads/2023/09/rap-littell-shipley-performance-based-regulation-options-august2017_1.pdf" \h </w:instrText>
      </w:r>
      <w:r>
        <w:fldChar w:fldCharType="separate"/>
      </w:r>
      <w:r>
        <w:rPr>
          <w:rFonts w:ascii="helvetica neue" w:hAnsi="helvetica neue" w:eastAsia="helvetica neue" w:cs="helvetica neue"/>
          <w:color w:val="000000"/>
          <w:sz w:val="18"/>
          <w:u w:val="single"/>
        </w:rPr>
        <w:t>https://www.raponline.org/wp-content/uploads/2023/09/rap-littell-shipley-performance-based-regulation-options-august2017_1.pdf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helvetica neue">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
    <w:nsid w:val="BF205925"/>
    <w:multiLevelType w:val="multilevel"/>
    <w:tmpl w:val="BF205925"/>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2">
    <w:nsid w:val="CF092B84"/>
    <w:multiLevelType w:val="multilevel"/>
    <w:tmpl w:val="CF092B84"/>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3">
    <w:nsid w:val="0053208E"/>
    <w:multiLevelType w:val="singleLevel"/>
    <w:tmpl w:val="0053208E"/>
    <w:lvl w:ilvl="0" w:tentative="0">
      <w:start w:val="1"/>
      <w:numFmt w:val="decimal"/>
      <w:lvlText w:val="%1."/>
      <w:lvlJc w:val="left"/>
      <w:pPr>
        <w:tabs>
          <w:tab w:val="left" w:pos="900"/>
        </w:tabs>
        <w:ind w:left="540" w:hanging="360"/>
      </w:pPr>
    </w:lvl>
  </w:abstractNum>
  <w:abstractNum w:abstractNumId="4">
    <w:nsid w:val="03D62ECE"/>
    <w:multiLevelType w:val="singleLevel"/>
    <w:tmpl w:val="03D62ECE"/>
    <w:lvl w:ilvl="0" w:tentative="0">
      <w:start w:val="1"/>
      <w:numFmt w:val="decimal"/>
      <w:lvlText w:val="%1."/>
      <w:lvlJc w:val="left"/>
      <w:pPr>
        <w:tabs>
          <w:tab w:val="left" w:pos="900"/>
        </w:tabs>
        <w:ind w:left="540" w:hanging="360"/>
      </w:pPr>
    </w:lvl>
  </w:abstractNum>
  <w:abstractNum w:abstractNumId="5">
    <w:nsid w:val="59ADCABA"/>
    <w:multiLevelType w:val="multilevel"/>
    <w:tmpl w:val="59ADCABA"/>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99B42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pl-PL" w:eastAsia="en-US"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qFormat/>
    <w:uiPriority w:val="0"/>
    <w:rPr>
      <w:rFonts w:ascii="Consolas" w:hAnsi="Consolas"/>
      <w:sz w:val="22"/>
    </w:rPr>
  </w:style>
  <w:style w:type="table" w:customStyle="1" w:styleId="5">
    <w:name w:val="Normal Grid"/>
    <w:basedOn w:val="2"/>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616</Words>
  <Characters>645</Characters>
  <TotalTime>0</TotalTime>
  <ScaleCrop>false</ScaleCrop>
  <LinksUpToDate>false</LinksUpToDate>
  <CharactersWithSpaces>645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2026-02-25T08:25:00Z</dcterms:created>
  <dc:creator>html-to-docx</dc:creator>
  <cp:keywords>html-to-docx</cp:keywords>
  <cp:lastModifiedBy>dyx</cp:lastModifiedBy>
  <dcterms:modified xsi:type="dcterms:W3CDTF">2026-02-25T08:25:59Z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EA14BC90B52242DAB45910607F854D3A_12</vt:lpwstr>
  </property>
</Properties>
</file>