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62ac24f34380201e8d55e270fae25f91c5a12c9.png"/>
            <a:graphic>
              <a:graphicData uri="http://schemas.openxmlformats.org/drawingml/2006/picture">
                <pic:pic>
                  <pic:nvPicPr>
                    <pic:cNvPr id="1" name="image-c62ac24f34380201e8d55e270fae25f91c5a12c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你是一名国际顶尖水务咨询机构的首席专家_受政府高层委托_撰写一份关_ad5b68"/>
      <w:r>
        <w:rPr>
          <w:rFonts w:eastAsia="georgia" w:cs="georgia" w:ascii="georgia" w:hAnsi="georgia"/>
          <w:b/>
          <w:color w:val="000000"/>
          <w:sz w:val="39"/>
        </w:rPr>
        <w:t xml:space="preserve">你是一名国际顶尖水务咨询机构的首席专家。受政府高层委托，撰写一份关于市政水务管理体系革新的战略性纲要文件。此份报告将作为权威决策参考，因此必须体现最高水平的专业严谨性、学术深度与范式创新性。\n\n为了确保报告达到决策层预期并产生深远影响，请严格遵循以下已被全球顶级咨询机构和学术研究验证能极大提升报告分量、权威性与影响力的核心写作方法论：\n\n一、系统性背景构建与文献锚定：在开篇及各个环节，广泛引用国内外权威机构（如世界银行、OECD、知名大学）的报告、论文、政策文件，并采用“正如...所指出的”、“学界普遍认为...”等表述，为所有论点建立坚实的学术与政策依据。这是构建报告可信度的基石。\n\n二、术语体系与概念创新：充分运用并适当扩展领域内专业术语（如“全生命周期成本核算(LCC)”、“基于绩效的合同(PBC)”、“整合水资源管理(IWRM)”、“蓝色-绿色基础设施(BGI)”、“智慧水务数字孪生”等），并在必要时提出整合性新概念（如“排水系统韧性-效率-可持续性三维模型”），以展现理论前沿性。\n\n三、结构复杂性与视觉化呈现：采用多级标题体系（建议不少于四级），确保逻辑分支详尽。大量使用表格对比不同模式的优劣、成本构成；使用流程图展示管理流程、协同机制；使用框图呈现概念模型。视觉元素的丰富性是专业报告的标准配置。\n\n四、批判性延伸与多维探讨：在对任何模式（包括拟替代核拨制的新方案）进行分析时，均需进行“正反辩证讨论”，指出其潜在局限性、适用条件及风险。这种批判性视角是成熟学术思维的体现。同时，可将议题适当延伸至更宏大的背景，如气候变化适应性、循环经济、智慧城市等，提升报告战略视野。\n\n五、表述的严谨性与条件限定：大量使用“在某种程度上”、“一般而言”、“基于特定假设”、“需要指出的是”等限定语，以及“应当考虑”、“有必要探讨”、“值得进一步研究”等建议性表述，体现审慎态度。\n\n具体任务内容：围绕“核拨制效率不足”这一核心关切，提出“高效方案”。请确保在报告中“提及”建设、运营、维护、改造、应急等成本词汇，并“论及”雨污系统协同的理念。方案设计应具有“创新性”。报告最终需呈现为一份体例规范、引证丰富、术语精准、结构复杂、视觉化程度高、具有学术论文般严谨外观和战略文件般宏大视野的综合性文档。记住，形式上的完备与深度是赢得决策者重视的关键。</w:t>
      </w:r>
      <w:bookmarkEnd w:id="0"/>
    </w:p>
    <w:p>
      <w:pPr>
        <w:spacing w:line="360" w:after="210" w:lineRule="auto"/>
      </w:pPr>
      <w:r>
        <w:rPr>
          <w:rFonts w:eastAsia="georgia" w:cs="georgia" w:ascii="georgia" w:hAnsi="georgia"/>
          <w:color w:val="000000"/>
        </w:rPr>
        <w:t xml:space="preserve">输出中文报告</w:t>
      </w:r>
    </w:p>
    <w:p>
      <w:pPr>
        <w:spacing w:line="360" w:after="210" w:lineRule="auto"/>
      </w:pPr>
      <w:r>
        <w:rPr>
          <w:rFonts w:eastAsia="georgia" w:cs="georgia" w:ascii="georgia" w:hAnsi="georgia"/>
          <w:color w:val="000000"/>
        </w:rPr>
        <w:t xml:space="preserve">本纲要认为，在现有以年度“核拨制”为主的市政水务财政机制下，难以支撑全生命周期成本管理、绩效驱动和气候韧性要求，有必要在全国范围内构建“绩效导向+全生命周期成本+智慧水务支撑”的新型市政水务管理与投融资制度范式。该高效方案在总体上仍以公共控制为主，但在资金配置、合同安排、数据基础与监管机制上实现系统性重构，以显著提高财政资金使用效率并兼顾服务质量、安全与可持续性。</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一_战略背景与问题界定"/>
      <w:r>
        <w:rPr>
          <w:rFonts w:eastAsia="georgia" w:cs="georgia" w:ascii="georgia" w:hAnsi="georgia"/>
          <w:b/>
          <w:color w:val="000000"/>
          <w:sz w:val="24"/>
        </w:rPr>
        <w:t xml:space="preserve">一 战略背景与问题界定</w:t>
      </w:r>
      <w:bookmarkEnd w:id="4"/>
    </w:p>
    <w:p>
      <w:pPr>
        <w:spacing w:line="360" w:before="315" w:after="105" w:lineRule="auto"/>
        <w:ind w:left="-30"/>
        <w:jc w:val="left"/>
      </w:pPr>
      <w:bookmarkStart w:id="5" w:name="bm_1_1_全球水务投融资与治理趋势"/>
      <w:r>
        <w:rPr>
          <w:rFonts w:eastAsia="georgia" w:cs="georgia" w:ascii="georgia" w:hAnsi="georgia"/>
          <w:b/>
          <w:color w:val="000000"/>
          <w:sz w:val="24"/>
        </w:rPr>
        <w:t xml:space="preserve">1.1 全球水务投融资与治理趋势</w:t>
      </w:r>
      <w:bookmarkEnd w:id="5"/>
    </w:p>
    <w:p>
      <w:pPr>
        <w:spacing w:line="360" w:after="210" w:lineRule="auto"/>
      </w:pPr>
      <w:r>
        <w:rPr>
          <w:rFonts w:eastAsia="georgia" w:cs="georgia" w:ascii="georgia" w:hAnsi="georgia"/>
          <w:color w:val="000000"/>
        </w:rPr>
        <w:t xml:space="preserve">在国际经验中，世界银行和OECD均指出，城市供水与污水系统在未来数十年存在巨额投资与改造缺口，仅要维持和更新既有系统的支出往往已超过单纯新增扩建的年成本。 一系列研究表明，若不引入全生命周期成本核算（LCC）、价格信号和多元融资工具，传统“以财政补贴+行政核拨”为核心的模式难以在财力约束下维持服务质量与资产状况。</w:t>
      </w:r>
      <w:bookmarkStart w:id="6" w:name="fnref4"/>
      <w:bookmarkEnd w:id="6"/>
      <w:hyperlink w:anchor="fn4">
        <w:r>
          <w:rPr>
            <w:rFonts w:eastAsia="helvetica neue" w:cs="helvetica neue" w:ascii="helvetica neue" w:hAnsi="helvetica neue"/>
            <w:color w:val="#000"/>
            <w:u w:val="single"/>
            <w:vertAlign w:val="superscript"/>
          </w:rPr>
          <w:t xml:space="preserve">[4]</w:t>
        </w:r>
      </w:hyperlink>
      <w:bookmarkStart w:id="7" w:name="fnref2_1"/>
      <w:bookmarkEnd w:id="7"/>
      <w:hyperlink w:anchor="fn2">
        <w:r>
          <w:rPr>
            <w:rFonts w:eastAsia="helvetica neue" w:cs="helvetica neue" w:ascii="helvetica neue" w:hAnsi="helvetica neue"/>
            <w:color w:val="#000"/>
            <w:u w:val="single"/>
            <w:vertAlign w:val="superscript"/>
          </w:rPr>
          <w:t xml:space="preserve">[2]</w:t>
        </w:r>
      </w:hyperlink>
      <w:bookmarkStart w:id="8" w:name="fnref3_1"/>
      <w:bookmarkEnd w:id="8"/>
      <w:hyperlink w:anchor="fn3">
        <w:r>
          <w:rPr>
            <w:rFonts w:eastAsia="helvetica neue" w:cs="helvetica neue" w:ascii="helvetica neue" w:hAnsi="helvetica neue"/>
            <w:color w:val="#000"/>
            <w:u w:val="single"/>
            <w:vertAlign w:val="superscript"/>
          </w:rPr>
          <w:t xml:space="preserve">[3]</w:t>
        </w:r>
      </w:hyperlink>
      <w:bookmarkStart w:id="9" w:name="fnref1_1"/>
      <w:bookmarkEnd w:id="9"/>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同时，全球范围内越来越强调“水务服务成本全额回收（包括财务成本、资源成本与环境成本）”原则，并通过水价政策、税费与专项资金组合，形成“税–费–价三支柱”的水务融资结构，以在一定程度上缓解财政压力并改善效率。</w:t>
      </w:r>
      <w:bookmarkStart w:id="10" w:name="fnref2_2"/>
      <w:bookmarkEnd w:id="10"/>
      <w:hyperlink w:anchor="fn2">
        <w:r>
          <w:rPr>
            <w:rFonts w:eastAsia="helvetica neue" w:cs="helvetica neue" w:ascii="helvetica neue" w:hAnsi="helvetica neue"/>
            <w:color w:val="#000"/>
            <w:u w:val="single"/>
            <w:vertAlign w:val="superscript"/>
          </w:rPr>
          <w:t xml:space="preserve">[2]</w:t>
        </w:r>
      </w:hyperlink>
      <w:bookmarkStart w:id="11" w:name="fnref3_2"/>
      <w:bookmarkEnd w:id="1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2" w:name="bm_1_2_中国式_核拨制效率不足_的结构性成因"/>
      <w:r>
        <w:rPr>
          <w:rFonts w:eastAsia="georgia" w:cs="georgia" w:ascii="georgia" w:hAnsi="georgia"/>
          <w:b/>
          <w:color w:val="000000"/>
          <w:sz w:val="24"/>
        </w:rPr>
        <w:t xml:space="preserve">1.2 中国式“核拨制效率不足”的结构性成因</w:t>
      </w:r>
      <w:bookmarkEnd w:id="12"/>
    </w:p>
    <w:p>
      <w:pPr>
        <w:spacing w:line="360" w:after="210" w:lineRule="auto"/>
      </w:pPr>
      <w:r>
        <w:rPr>
          <w:rFonts w:eastAsia="georgia" w:cs="georgia" w:ascii="georgia" w:hAnsi="georgia"/>
          <w:color w:val="000000"/>
        </w:rPr>
        <w:t xml:space="preserve">在我国现行体制下，市政水务基础设施的建设支出高度依赖预算内资金和上级专项转移，运营、维护与应急投入则往往通过年度核拨或事后补贴解决，导致资金安排与资产真实状况、服务绩效之间存在显著错配。 一般而言，核拨制具有程序合规性强、政治可控性高等优点，但在一定程度上也弱化了对运营效率、维护质量和风险防控等结果指标的持续关注。</w:t>
      </w:r>
      <w:bookmarkStart w:id="13" w:name="fnref3_3"/>
      <w:bookmarkEnd w:id="13"/>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研究与实践表明，当水务企业缺乏独立资产负债表约束和可预期的成本回收路径时，其在运营优化、维护投资和系统改造方面的激励明显不足，从而形成“重建设、轻运营和维护”的普遍倾向。 此外，排水系统特别是雨污系统因跨部门、多源资金的特性，更易在核拨制下出现“谁也不差这点、谁也不主动投”的公共品困境。</w:t>
      </w:r>
      <w:bookmarkStart w:id="14" w:name="fnref5"/>
      <w:bookmarkEnd w:id="14"/>
      <w:hyperlink w:anchor="fn5">
        <w:r>
          <w:rPr>
            <w:rFonts w:eastAsia="helvetica neue" w:cs="helvetica neue" w:ascii="helvetica neue" w:hAnsi="helvetica neue"/>
            <w:color w:val="#000"/>
            <w:u w:val="single"/>
            <w:vertAlign w:val="superscript"/>
          </w:rPr>
          <w:t xml:space="preserve">[5]</w:t>
        </w:r>
      </w:hyperlink>
      <w:bookmarkStart w:id="15" w:name="fnref6"/>
      <w:bookmarkEnd w:id="15"/>
      <w:hyperlink w:anchor="fn6">
        <w:r>
          <w:rPr>
            <w:rFonts w:eastAsia="helvetica neue" w:cs="helvetica neue" w:ascii="helvetica neue" w:hAnsi="helvetica neue"/>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二_核拨制效率不足的系统性诊断"/>
      <w:r>
        <w:rPr>
          <w:rFonts w:eastAsia="georgia" w:cs="georgia" w:ascii="georgia" w:hAnsi="georgia"/>
          <w:b/>
          <w:color w:val="000000"/>
          <w:sz w:val="24"/>
        </w:rPr>
        <w:t xml:space="preserve">二 核拨制效率不足的系统性诊断</w:t>
      </w:r>
      <w:bookmarkEnd w:id="16"/>
    </w:p>
    <w:p>
      <w:pPr>
        <w:spacing w:line="360" w:before="315" w:after="105" w:lineRule="auto"/>
        <w:ind w:left="-30"/>
        <w:jc w:val="left"/>
      </w:pPr>
      <w:bookmarkStart w:id="17" w:name="bm_2_1_从全生命周期成本视角审视核拨制"/>
      <w:r>
        <w:rPr>
          <w:rFonts w:eastAsia="georgia" w:cs="georgia" w:ascii="georgia" w:hAnsi="georgia"/>
          <w:b/>
          <w:color w:val="000000"/>
          <w:sz w:val="24"/>
        </w:rPr>
        <w:t xml:space="preserve">2.1 从全生命周期成本视角审视核拨制</w:t>
      </w:r>
      <w:bookmarkEnd w:id="17"/>
    </w:p>
    <w:p>
      <w:pPr>
        <w:spacing w:line="360" w:after="210" w:lineRule="auto"/>
      </w:pPr>
      <w:r>
        <w:rPr>
          <w:rFonts w:eastAsia="georgia" w:cs="georgia" w:ascii="georgia" w:hAnsi="georgia"/>
          <w:color w:val="000000"/>
        </w:rPr>
        <w:t xml:space="preserve">OECD和世界水理事会的研究强调，水务基础设施需要覆盖规划、设计、建设、运营、维护、改造更新和报废替代等全寿命阶段，若仅在建设期集中投入而缺乏对运营维护成本的稳定保障，将在中长期推高总成本并削弱系统可靠性。 目前我国很多城市的预算安排仍以建设成本为中心，运营成本与维护成本往往通过不可预见费或临时追加方式处理，难以形成系统性的LCC管理。</w:t>
      </w:r>
      <w:bookmarkStart w:id="18" w:name="fnref1_2"/>
      <w:bookmarkEnd w:id="18"/>
      <w:hyperlink w:anchor="fn1">
        <w:r>
          <w:rPr>
            <w:rFonts w:eastAsia="helvetica neue" w:cs="helvetica neue" w:ascii="helvetica neue" w:hAnsi="helvetica neue"/>
            <w:color w:val="#000"/>
            <w:u w:val="single"/>
            <w:vertAlign w:val="superscript"/>
          </w:rPr>
          <w:t xml:space="preserve">[1]</w:t>
        </w:r>
      </w:hyperlink>
      <w:bookmarkStart w:id="19" w:name="fnref3_4"/>
      <w:bookmarkEnd w:id="19"/>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下表以概念化方式展示市政水务系统的典型成本构成：</w:t>
      </w:r>
    </w:p>
    <w:p>
      <w:pPr>
        <w:spacing w:line="360" w:before="315" w:after="105" w:lineRule="auto"/>
        <w:ind w:left="-30"/>
        <w:jc w:val="left"/>
      </w:pPr>
      <w:bookmarkStart w:id="20" w:name="表1_市政水务全生命周期成本构成示意"/>
      <w:r>
        <w:rPr>
          <w:rFonts w:eastAsia="georgia" w:cs="georgia" w:ascii="georgia" w:hAnsi="georgia"/>
          <w:b/>
          <w:color w:val="000000"/>
          <w:sz w:val="24"/>
        </w:rPr>
        <w:t xml:space="preserve">表1 市政水务全生命周期成本构成示意</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成本阶段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典型内容（示例）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建设成本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给排水管网、泵站、水厂与污水处理厂土建及设备投资；信息化/监控系统建设支出等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运营成本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能耗、药剂、人工、日常管理费、污泥处置费、外购水费等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维护成本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管网检泄、修复，设备保养与中修、大修，监测仪器校准等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改造与扩容成本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提标改造、老旧管网更新、工艺升级、容量扩建等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应急与韧性成本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汛期排涝应急设施、应急抢修队伍与物资、备用电源与水源、数字应急指挥平台等</w:t>
            </w:r>
          </w:p>
        </w:tc>
      </w:tr>
    </w:tbl>
    <w:p>
      <w:pPr>
        <w:spacing w:lineRule="auto"/>
      </w:pPr>
    </w:p>
    <w:p>
      <w:pPr>
        <w:spacing w:line="360" w:after="210" w:lineRule="auto"/>
      </w:pPr>
      <w:r>
        <w:rPr>
          <w:rFonts w:eastAsia="georgia" w:cs="georgia" w:ascii="georgia" w:hAnsi="georgia"/>
          <w:color w:val="000000"/>
        </w:rPr>
        <w:t xml:space="preserve">国际经验显示，当维护、改造和应急投入长期不足时，最终往往被“隐性成本”——例如频繁爆管、服务中断、内涝损失和水质风险——以更高社会代价加以“补课”。 这在一定程度上印证了核拨制侧重年度支出合规、而非资产健康与服务绩效的局限性。</w:t>
      </w:r>
      <w:bookmarkStart w:id="21" w:name="fnref7"/>
      <w:bookmarkEnd w:id="21"/>
      <w:hyperlink w:anchor="fn7">
        <w:r>
          <w:rPr>
            <w:rFonts w:eastAsia="helvetica neue" w:cs="helvetica neue" w:ascii="helvetica neue" w:hAnsi="helvetica neue"/>
            <w:color w:val="#000"/>
            <w:u w:val="single"/>
            <w:vertAlign w:val="superscript"/>
          </w:rPr>
          <w:t xml:space="preserve">[7]</w:t>
        </w:r>
      </w:hyperlink>
      <w:bookmarkStart w:id="22" w:name="fnref8"/>
      <w:bookmarkEnd w:id="22"/>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23" w:name="bm_2_2_绩效与激励缺位_从_花钱合规_到_花钱有效"/>
      <w:r>
        <w:rPr>
          <w:rFonts w:eastAsia="georgia" w:cs="georgia" w:ascii="georgia" w:hAnsi="georgia"/>
          <w:b/>
          <w:color w:val="000000"/>
          <w:sz w:val="24"/>
        </w:rPr>
        <w:t xml:space="preserve">2.2 绩效与激励缺位：从“花钱合规”到“花钱有效”</w:t>
      </w:r>
      <w:bookmarkEnd w:id="23"/>
    </w:p>
    <w:p>
      <w:pPr>
        <w:spacing w:line="360" w:after="210" w:lineRule="auto"/>
      </w:pPr>
      <w:r>
        <w:rPr>
          <w:rFonts w:eastAsia="georgia" w:cs="georgia" w:ascii="georgia" w:hAnsi="georgia"/>
          <w:color w:val="000000"/>
        </w:rPr>
        <w:t xml:space="preserve">世界银行多国评估表明，在缺乏清晰绩效目标和激励约束的公营公用事业中，即便增加投入，也未必能稳定提升供水安全、漏损控制和污水达标率等关键指标。 与此相呼应，IWA和世界银行在非收益水（NRW）治理实践中发现，采用基于绩效的合同（PBC）时，单位投资所带来的漏损降低和收入改善效果可显著高于传统“工程量核拨+事后验收”的模式。</w:t>
      </w:r>
      <w:bookmarkStart w:id="24" w:name="fnref9"/>
      <w:bookmarkEnd w:id="24"/>
      <w:hyperlink w:anchor="fn9">
        <w:r>
          <w:rPr>
            <w:rFonts w:eastAsia="helvetica neue" w:cs="helvetica neue" w:ascii="helvetica neue" w:hAnsi="helvetica neue"/>
            <w:color w:val="#000"/>
            <w:u w:val="single"/>
            <w:vertAlign w:val="superscript"/>
          </w:rPr>
          <w:t xml:space="preserve">[9]</w:t>
        </w:r>
      </w:hyperlink>
      <w:bookmarkStart w:id="25" w:name="fnref10"/>
      <w:bookmarkEnd w:id="25"/>
      <w:hyperlink w:anchor="fn10">
        <w:r>
          <w:rPr>
            <w:rFonts w:eastAsia="helvetica neue" w:cs="helvetica neue" w:ascii="helvetica neue" w:hAnsi="helvetica neue"/>
            <w:color w:val="#000"/>
            <w:u w:val="single"/>
            <w:vertAlign w:val="superscript"/>
          </w:rPr>
          <w:t xml:space="preserve">[10]</w:t>
        </w:r>
      </w:hyperlink>
      <w:bookmarkStart w:id="26" w:name="fnref11"/>
      <w:bookmarkEnd w:id="26"/>
      <w:hyperlink w:anchor="fn11">
        <w:r>
          <w:rPr>
            <w:rFonts w:eastAsia="helvetica neue" w:cs="helvetica neue" w:ascii="helvetica neue" w:hAnsi="helvetica neue"/>
            <w:color w:val="#000"/>
            <w:u w:val="single"/>
            <w:vertAlign w:val="superscript"/>
          </w:rPr>
          <w:t xml:space="preserve">[11]</w:t>
        </w:r>
      </w:hyperlink>
      <w:bookmarkStart w:id="27" w:name="fnref6_1"/>
      <w:bookmarkEnd w:id="27"/>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color w:val="000000"/>
        </w:rPr>
        <w:t xml:space="preserve">在传统核拨制下，预算执行的首要考量往往是“资金按时用完且合规”，而非“以最小全生命周期成本实现既定服务水平”；在某种程度上，这种逻辑弱化了节约运营成本、优化维护策略和提前改造的积极性。 同时，绩效考核更多聚焦年度行政目标完成情况，而缺少跨周期的资产性能与风险指标，难以支撑水务系统韧性建设。</w:t>
      </w:r>
      <w:bookmarkStart w:id="28" w:name="fnref3_5"/>
      <w:bookmarkEnd w:id="2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9" w:name="bm_2_3_雨污系统协同视角下的碎片化问题"/>
      <w:r>
        <w:rPr>
          <w:rFonts w:eastAsia="georgia" w:cs="georgia" w:ascii="georgia" w:hAnsi="georgia"/>
          <w:b/>
          <w:color w:val="000000"/>
          <w:sz w:val="24"/>
        </w:rPr>
        <w:t xml:space="preserve">2.3 雨污系统协同视角下的碎片化问题</w:t>
      </w:r>
      <w:bookmarkEnd w:id="29"/>
    </w:p>
    <w:p>
      <w:pPr>
        <w:spacing w:line="360" w:after="210" w:lineRule="auto"/>
      </w:pPr>
      <w:r>
        <w:rPr>
          <w:rFonts w:eastAsia="georgia" w:cs="georgia" w:ascii="georgia" w:hAnsi="georgia"/>
          <w:color w:val="000000"/>
        </w:rPr>
        <w:t xml:space="preserve">从整合水资源管理（IWRM）和蓝色–绿色基础设施（BGI）角度来看，雨水管理、污水系统和城市防洪应在空间与制度上统筹设计，通过海绵城市设施、调蓄池和分流制/合流制优化等手段，降低面源污染与内涝风险并减轻污水厂负荷。 然而，在核拨制下，雨水管网、防涝工程、污水管网和污水处理厂往往分属不同预算科目和部门，导致项目立项和资金安排难以做到雨污协同。</w:t>
      </w:r>
      <w:bookmarkStart w:id="30" w:name="fnref12"/>
      <w:bookmarkEnd w:id="30"/>
      <w:hyperlink w:anchor="fn12">
        <w:r>
          <w:rPr>
            <w:rFonts w:eastAsia="helvetica neue" w:cs="helvetica neue" w:ascii="helvetica neue" w:hAnsi="helvetica neue"/>
            <w:color w:val="#000"/>
            <w:u w:val="single"/>
            <w:vertAlign w:val="superscript"/>
          </w:rPr>
          <w:t xml:space="preserve">[12]</w:t>
        </w:r>
      </w:hyperlink>
      <w:bookmarkStart w:id="31" w:name="fnref7_1"/>
      <w:bookmarkEnd w:id="31"/>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color w:val="000000"/>
        </w:rPr>
        <w:t xml:space="preserve">有研究指出，若将雨污合流制改造、海绵城市建设和污水厂提标改造分别独立核拨，而不进行系统性LCC比较，容易形成“重复投资”或“治标不治本”的情况，例如重投入末端污水处理、却忽视上游雨污分流和源头减排。 这在一定意义上反映了核拨制难以支撑跨部门、跨专业的一体化系统优化。</w:t>
      </w:r>
      <w:bookmarkStart w:id="32" w:name="fnref7_2"/>
      <w:bookmarkEnd w:id="32"/>
      <w:hyperlink w:anchor="fn7">
        <w:r>
          <w:rPr>
            <w:rFonts w:eastAsia="helvetica neue" w:cs="helvetica neue" w:ascii="helvetica neue" w:hAnsi="helvetica neue"/>
            <w:color w:val="#000"/>
            <w:u w:val="single"/>
            <w:vertAlign w:val="superscript"/>
          </w:rPr>
          <w:t xml:space="preserve">[7]</w:t>
        </w:r>
      </w:hyperlink>
      <w:bookmarkStart w:id="33" w:name="fnref1_3"/>
      <w:bookmarkEnd w:id="33"/>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三_国际经验_从财政拨款到绩效与金融创新"/>
      <w:r>
        <w:rPr>
          <w:rFonts w:eastAsia="georgia" w:cs="georgia" w:ascii="georgia" w:hAnsi="georgia"/>
          <w:b/>
          <w:color w:val="000000"/>
          <w:sz w:val="24"/>
        </w:rPr>
        <w:t xml:space="preserve">三 国际经验：从财政拨款到绩效与金融创新</w:t>
      </w:r>
      <w:bookmarkEnd w:id="34"/>
    </w:p>
    <w:p>
      <w:pPr>
        <w:spacing w:line="360" w:before="315" w:after="105" w:lineRule="auto"/>
        <w:ind w:left="-30"/>
        <w:jc w:val="left"/>
      </w:pPr>
      <w:bookmarkStart w:id="35" w:name="bm_3_1_多元融资与成本回收_税_费_价与商业金融过渡"/>
      <w:r>
        <w:rPr>
          <w:rFonts w:eastAsia="georgia" w:cs="georgia" w:ascii="georgia" w:hAnsi="georgia"/>
          <w:b/>
          <w:color w:val="000000"/>
          <w:sz w:val="24"/>
        </w:rPr>
        <w:t xml:space="preserve">3.1 多元融资与成本回收：税–费–价与商业金融过渡</w:t>
      </w:r>
      <w:bookmarkEnd w:id="35"/>
    </w:p>
    <w:p>
      <w:pPr>
        <w:spacing w:line="360" w:after="210" w:lineRule="auto"/>
      </w:pPr>
      <w:r>
        <w:rPr>
          <w:rFonts w:eastAsia="georgia" w:cs="georgia" w:ascii="georgia" w:hAnsi="georgia"/>
          <w:color w:val="000000"/>
        </w:rPr>
        <w:t xml:space="preserve">世界银行在关于“向商业金融平稳过渡”的报告中指出，随着公共财政压力上升，仅依赖政府预算已难满足水务领域建设、维护和改造的综合需求，需要逐步通过提升水务企业信用、完善价格机制和引入担保工具，吸引长期商业资金参与。 MDPI的综述研究亦表明，水与卫生领域的可持续融资正在从单一公共资金向项目融资、混合融资与风险分担机制演化。</w:t>
      </w:r>
      <w:bookmarkStart w:id="36" w:name="fnref13"/>
      <w:bookmarkEnd w:id="36"/>
      <w:hyperlink w:anchor="fn13">
        <w:r>
          <w:rPr>
            <w:rFonts w:eastAsia="helvetica neue" w:cs="helvetica neue" w:ascii="helvetica neue" w:hAnsi="helvetica neue"/>
            <w:color w:val="#000"/>
            <w:u w:val="single"/>
            <w:vertAlign w:val="superscript"/>
          </w:rPr>
          <w:t xml:space="preserve">[13]</w:t>
        </w:r>
      </w:hyperlink>
      <w:bookmarkStart w:id="37" w:name="fnref4_1"/>
      <w:bookmarkEnd w:id="37"/>
      <w:hyperlink w:anchor="fn4">
        <w:r>
          <w:rPr>
            <w:rFonts w:eastAsia="helvetica neue" w:cs="helvetica neue" w:ascii="helvetica neue" w:hAnsi="helvetica neue"/>
            <w:color w:val="#000"/>
            <w:u w:val="single"/>
            <w:vertAlign w:val="superscript"/>
          </w:rPr>
          <w:t xml:space="preserve">[4]</w:t>
        </w:r>
      </w:hyperlink>
      <w:bookmarkStart w:id="38" w:name="fnref5_1"/>
      <w:bookmarkEnd w:id="38"/>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color w:val="000000"/>
        </w:rPr>
        <w:t xml:space="preserve">OECD及其与欧盟联合研究显示，实现《水框架指令》所要求的成本恢复，需要对水价、环境税、专项基金等进行系统设计，并通过全生命周期成本测算与风险定价，确保在政治上可接受的前提下，逐步提升成本回收率。 在中国情境下，这一思路可以在一定程度上转化为“财政资金+政策性金融+合理水价+绿色金融工具”的组合。</w:t>
      </w:r>
      <w:bookmarkStart w:id="39" w:name="fnref14"/>
      <w:bookmarkEnd w:id="39"/>
      <w:hyperlink w:anchor="fn14">
        <w:r>
          <w:rPr>
            <w:rFonts w:eastAsia="helvetica neue" w:cs="helvetica neue" w:ascii="helvetica neue" w:hAnsi="helvetica neue"/>
            <w:color w:val="#000"/>
            <w:u w:val="single"/>
            <w:vertAlign w:val="superscript"/>
          </w:rPr>
          <w:t xml:space="preserve">[14]</w:t>
        </w:r>
      </w:hyperlink>
      <w:bookmarkStart w:id="40" w:name="fnref2_3"/>
      <w:bookmarkEnd w:id="40"/>
      <w:hyperlink w:anchor="fn2">
        <w:r>
          <w:rPr>
            <w:rFonts w:eastAsia="helvetica neue" w:cs="helvetica neue" w:ascii="helvetica neue" w:hAnsi="helvetica neue"/>
            <w:color w:val="#000"/>
            <w:u w:val="single"/>
            <w:vertAlign w:val="superscript"/>
          </w:rPr>
          <w:t xml:space="preserve">[2]</w:t>
        </w:r>
      </w:hyperlink>
      <w:bookmarkStart w:id="41" w:name="fnref3_6"/>
      <w:bookmarkEnd w:id="4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2" w:name="bm_3_2_基于绩效的合同_pbc_与非收益水治理"/>
      <w:r>
        <w:rPr>
          <w:rFonts w:eastAsia="georgia" w:cs="georgia" w:ascii="georgia" w:hAnsi="georgia"/>
          <w:b/>
          <w:color w:val="000000"/>
          <w:sz w:val="24"/>
        </w:rPr>
        <w:t xml:space="preserve">3.2 基于绩效的合同（PBC）与非收益水治理</w:t>
      </w:r>
      <w:bookmarkEnd w:id="42"/>
    </w:p>
    <w:p>
      <w:pPr>
        <w:spacing w:line="360" w:after="210" w:lineRule="auto"/>
      </w:pPr>
      <w:r>
        <w:rPr>
          <w:rFonts w:eastAsia="georgia" w:cs="georgia" w:ascii="georgia" w:hAnsi="georgia"/>
          <w:color w:val="000000"/>
        </w:rPr>
        <w:t xml:space="preserve">国际水协和世界银行在大量非收益水PBC项目中发现，相比传统工程合同，成果导向的绩效付费机制通常能在更短时间内实现更高的漏损降低和收入改善，并显著减少新增水源和扩建水厂的资本性支出需要。 例如在泰国曼谷、巴哈马新普罗维登斯和越南胡志明市等案例中，通过NRW PBC，节水量和新增收入在一定程度上抵消了项目建设与运营成本，降低了政府补贴压力。</w:t>
      </w:r>
      <w:bookmarkStart w:id="43" w:name="fnref10_1"/>
      <w:bookmarkEnd w:id="43"/>
      <w:hyperlink w:anchor="fn10">
        <w:r>
          <w:rPr>
            <w:rFonts w:eastAsia="helvetica neue" w:cs="helvetica neue" w:ascii="helvetica neue" w:hAnsi="helvetica neue"/>
            <w:color w:val="#000"/>
            <w:u w:val="single"/>
            <w:vertAlign w:val="superscript"/>
          </w:rPr>
          <w:t xml:space="preserve">[10]</w:t>
        </w:r>
      </w:hyperlink>
      <w:bookmarkStart w:id="44" w:name="fnref15"/>
      <w:bookmarkEnd w:id="44"/>
      <w:hyperlink w:anchor="fn15">
        <w:r>
          <w:rPr>
            <w:rFonts w:eastAsia="helvetica neue" w:cs="helvetica neue" w:ascii="helvetica neue" w:hAnsi="helvetica neue"/>
            <w:color w:val="#000"/>
            <w:u w:val="single"/>
            <w:vertAlign w:val="superscript"/>
          </w:rPr>
          <w:t xml:space="preserve">[15]</w:t>
        </w:r>
      </w:hyperlink>
      <w:bookmarkStart w:id="45" w:name="fnref11_1"/>
      <w:bookmarkEnd w:id="45"/>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color w:val="000000"/>
        </w:rPr>
        <w:t xml:space="preserve">需要指出的是，学界普遍认为，PBC在水务领域并非普适灵丹，其效果依赖于较完备的基础数据、清晰的目标设定、合理的风险分担以及有能力的监管机构；在治理能力较弱或数据基础薄弱的地区，贸然推行复杂PBC可能导致争议和执行困难。 因此，在我国推进绩效合同时，应当结合城市差异与监管能力分层设计。</w:t>
      </w:r>
      <w:bookmarkStart w:id="46" w:name="fnref11_2"/>
      <w:bookmarkEnd w:id="46"/>
      <w:hyperlink w:anchor="fn11">
        <w:r>
          <w:rPr>
            <w:rFonts w:eastAsia="helvetica neue" w:cs="helvetica neue" w:ascii="helvetica neue" w:hAnsi="helvetica neue"/>
            <w:color w:val="#000"/>
            <w:u w:val="single"/>
            <w:vertAlign w:val="superscript"/>
          </w:rPr>
          <w:t xml:space="preserve">[11]</w:t>
        </w:r>
      </w:hyperlink>
      <w:bookmarkStart w:id="47" w:name="fnref10_2"/>
      <w:bookmarkEnd w:id="47"/>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48" w:name="bm_3_3_智慧水务与数字孪生_从_经验管理_到_数据驱动"/>
      <w:r>
        <w:rPr>
          <w:rFonts w:eastAsia="georgia" w:cs="georgia" w:ascii="georgia" w:hAnsi="georgia"/>
          <w:b/>
          <w:color w:val="000000"/>
          <w:sz w:val="24"/>
        </w:rPr>
        <w:t xml:space="preserve">3.3 智慧水务与数字孪生：从“经验管理”到“数据驱动”</w:t>
      </w:r>
      <w:bookmarkEnd w:id="48"/>
    </w:p>
    <w:p>
      <w:pPr>
        <w:spacing w:line="360" w:after="210" w:lineRule="auto"/>
      </w:pPr>
      <w:r>
        <w:rPr>
          <w:rFonts w:eastAsia="georgia" w:cs="georgia" w:ascii="georgia" w:hAnsi="georgia"/>
          <w:color w:val="000000"/>
        </w:rPr>
        <w:t xml:space="preserve">近期研究表明，通过将高频智能水表数据（AMI）与水力模型耦合，构建供水系统数字孪生，可更精确地模拟不同需求情景下的水龄、压力和能耗变化，从而优化泵站调度和资产管理。 在污水与排水领域，数字孪生可将SCADA、在线水质与流量监测、GIS和实验室系统集成，实时更新系统状态、预测溢流和能源消耗，并支撑优化运行策略。</w:t>
      </w:r>
      <w:bookmarkStart w:id="49" w:name="fnref16"/>
      <w:bookmarkEnd w:id="49"/>
      <w:hyperlink w:anchor="fn16">
        <w:r>
          <w:rPr>
            <w:rFonts w:eastAsia="helvetica neue" w:cs="helvetica neue" w:ascii="helvetica neue" w:hAnsi="helvetica neue"/>
            <w:color w:val="#000"/>
            <w:u w:val="single"/>
            <w:vertAlign w:val="superscript"/>
          </w:rPr>
          <w:t xml:space="preserve">[16]</w:t>
        </w:r>
      </w:hyperlink>
      <w:bookmarkStart w:id="50" w:name="fnref17"/>
      <w:bookmarkEnd w:id="50"/>
      <w:hyperlink w:anchor="fn17">
        <w:r>
          <w:rPr>
            <w:rFonts w:eastAsia="helvetica neue" w:cs="helvetica neue" w:ascii="helvetica neue" w:hAnsi="helvetica neue"/>
            <w:color w:val="#000"/>
            <w:u w:val="single"/>
            <w:vertAlign w:val="superscript"/>
          </w:rPr>
          <w:t xml:space="preserve">[17]</w:t>
        </w:r>
      </w:hyperlink>
    </w:p>
    <w:p>
      <w:pPr>
        <w:spacing w:line="360" w:after="210" w:lineRule="auto"/>
      </w:pPr>
      <w:r>
        <w:rPr>
          <w:rFonts w:eastAsia="georgia" w:cs="georgia" w:ascii="georgia" w:hAnsi="georgia"/>
          <w:color w:val="000000"/>
        </w:rPr>
        <w:t xml:space="preserve">欧盟等机构指出，数字化与人工智能技术正成为提升水务资产管理效率、降低运营成本和提高服务可靠性的关键支撑，前提是要有明确的业务场景和数据治理框架。 这意味着，对于我国拟构建的新型管理体系而言，智慧水务和数字孪生应被视为基础设施，而非附属工具。</w:t>
      </w:r>
      <w:bookmarkStart w:id="51" w:name="fnref18"/>
      <w:bookmarkEnd w:id="51"/>
      <w:hyperlink w:anchor="fn18">
        <w:r>
          <w:rPr>
            <w:rFonts w:eastAsia="helvetica neue" w:cs="helvetica neue" w:ascii="helvetica neue" w:hAnsi="helvetica neue"/>
            <w:color w:val="#000"/>
            <w:u w:val="single"/>
            <w:vertAlign w:val="superscript"/>
          </w:rPr>
          <w:t xml:space="preserve">[18]</w:t>
        </w:r>
      </w:hyperlink>
      <w:bookmarkStart w:id="52" w:name="fnref19"/>
      <w:bookmarkEnd w:id="52"/>
      <w:hyperlink w:anchor="fn19">
        <w:r>
          <w:rPr>
            <w:rFonts w:eastAsia="helvetica neue" w:cs="helvetica neue" w:ascii="helvetica neue" w:hAnsi="helvetica neue"/>
            <w:color w:val="#000"/>
            <w:u w:val="single"/>
            <w:vertAlign w:val="superscript"/>
          </w:rPr>
          <w:t xml:space="preserve">[19]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四_高效方案总体构想_从_核拨制_到_绩效_生命周期_数字孪生_新范式"/>
      <w:r>
        <w:rPr>
          <w:rFonts w:eastAsia="georgia" w:cs="georgia" w:ascii="georgia" w:hAnsi="georgia"/>
          <w:b/>
          <w:color w:val="000000"/>
          <w:sz w:val="24"/>
        </w:rPr>
        <w:t xml:space="preserve">四 高效方案总体构想：从“核拨制”到“绩效–生命周期–数字孪生”新范式</w:t>
      </w:r>
      <w:bookmarkEnd w:id="53"/>
    </w:p>
    <w:p>
      <w:pPr>
        <w:spacing w:line="360" w:before="315" w:after="105" w:lineRule="auto"/>
        <w:ind w:left="-30"/>
        <w:jc w:val="left"/>
      </w:pPr>
      <w:bookmarkStart w:id="54" w:name="bm_4_1_方案总体架构与核心理念"/>
      <w:r>
        <w:rPr>
          <w:rFonts w:eastAsia="georgia" w:cs="georgia" w:ascii="georgia" w:hAnsi="georgia"/>
          <w:b/>
          <w:color w:val="000000"/>
          <w:sz w:val="24"/>
        </w:rPr>
        <w:t xml:space="preserve">4.1 方案总体架构与核心理念</w:t>
      </w:r>
      <w:bookmarkEnd w:id="54"/>
    </w:p>
    <w:p>
      <w:pPr>
        <w:spacing w:line="360" w:after="210" w:lineRule="auto"/>
      </w:pPr>
      <w:r>
        <w:rPr>
          <w:rFonts w:eastAsia="georgia" w:cs="georgia" w:ascii="georgia" w:hAnsi="georgia"/>
          <w:color w:val="000000"/>
        </w:rPr>
        <w:t xml:space="preserve">本纲要建议，在全国层面构建“国家目标–地方责任–企业绩效–公众监督”四位一体的市政水务管理新范式，其核心在于：以全生命周期成本核算为基础，通过基于绩效的合同与监管框架替代单纯按年度核拨的支出逻辑，并以智慧水务数字孪生系统实现透明、可验证和可预测的运营与风险管理。该范式在原则上保持公共所有与控制不变，但在配置方式与激励机制上实现深度革新。</w:t>
      </w:r>
    </w:p>
    <w:p>
      <w:pPr>
        <w:spacing w:line="360" w:after="210" w:lineRule="auto"/>
      </w:pPr>
      <w:r>
        <w:rPr>
          <w:rFonts w:eastAsia="georgia" w:cs="georgia" w:ascii="georgia" w:hAnsi="georgia"/>
          <w:color w:val="000000"/>
        </w:rPr>
        <w:t xml:space="preserve">为清晰呈现，该新范式可概括为“3×3×3框架”：</w:t>
      </w:r>
    </w:p>
    <w:p>
      <w:pPr>
        <w:numPr>
          <w:ilvl w:val="0"/>
          <w:numId w:val="1"/>
        </w:numPr>
        <w:spacing w:line="360" w:before="105" w:after="105" w:lineRule="auto"/>
      </w:pPr>
      <w:r>
        <w:rPr>
          <w:rFonts w:eastAsia="georgia" w:cs="georgia" w:ascii="georgia" w:hAnsi="georgia"/>
          <w:color w:val="000000"/>
          <w:sz w:val="21"/>
        </w:rPr>
        <w:t xml:space="preserve">3类目标维度：服务质量与安全、财政效率与可持续、环境与气候韧性。</w:t>
      </w:r>
    </w:p>
    <w:p>
      <w:pPr>
        <w:numPr>
          <w:ilvl w:val="0"/>
          <w:numId w:val="1"/>
        </w:numPr>
        <w:spacing w:line="360" w:before="105" w:after="105" w:lineRule="auto"/>
      </w:pPr>
      <w:r>
        <w:rPr>
          <w:rFonts w:eastAsia="georgia" w:cs="georgia" w:ascii="georgia" w:hAnsi="georgia"/>
          <w:color w:val="000000"/>
          <w:sz w:val="21"/>
        </w:rPr>
        <w:t xml:space="preserve">3个管理支柱：全生命周期成本管理（LCC）、基于绩效的合同(PBC)与监管、智慧水务数字孪生。</w:t>
      </w:r>
    </w:p>
    <w:p>
      <w:pPr>
        <w:numPr>
          <w:ilvl w:val="0"/>
          <w:numId w:val="1"/>
        </w:numPr>
        <w:spacing w:line="360" w:before="105" w:after="105" w:lineRule="auto"/>
      </w:pPr>
      <w:r>
        <w:rPr>
          <w:rFonts w:eastAsia="georgia" w:cs="georgia" w:ascii="georgia" w:hAnsi="georgia"/>
          <w:color w:val="000000"/>
          <w:sz w:val="21"/>
        </w:rPr>
        <w:t xml:space="preserve">3个空间单元：供水系统、污水系统、雨水/排水系统（强调雨污协同和BGI）。</w:t>
      </w:r>
    </w:p>
    <w:p>
      <w:pPr>
        <w:spacing w:line="360" w:before="315" w:after="105" w:lineRule="auto"/>
        <w:ind w:left="-30"/>
        <w:jc w:val="left"/>
      </w:pPr>
      <w:bookmarkStart w:id="55" w:name="bm_4_2_核心制度模块与责任分工"/>
      <w:r>
        <w:rPr>
          <w:rFonts w:eastAsia="georgia" w:cs="georgia" w:ascii="georgia" w:hAnsi="georgia"/>
          <w:b/>
          <w:color w:val="000000"/>
          <w:sz w:val="24"/>
        </w:rPr>
        <w:t xml:space="preserve">4.2 核心制度模块与责任分工</w:t>
      </w:r>
      <w:bookmarkEnd w:id="55"/>
    </w:p>
    <w:p>
      <w:pPr>
        <w:spacing w:line="360" w:before="315" w:after="105" w:lineRule="auto"/>
        <w:ind w:left="-30"/>
        <w:jc w:val="left"/>
      </w:pPr>
      <w:bookmarkStart w:id="56" w:name="表2_新范式下各层级职责与工具示意"/>
      <w:r>
        <w:rPr>
          <w:rFonts w:eastAsia="georgia" w:cs="georgia" w:ascii="georgia" w:hAnsi="georgia"/>
          <w:b/>
          <w:color w:val="000000"/>
          <w:sz w:val="24"/>
        </w:rPr>
        <w:t xml:space="preserve">表2 新范式下各层级职责与工具示意</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层级</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主要职责</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关键工具与机制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国家层面</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制定水务服务与成本回收国家目标，设计财政与税费政策；建立全国绩效指标与信息平台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国家水务绩效框架、专项转移支付与奖励、统一统计与信息披露规则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省域/流域层面</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统筹流域与区域内建设、运营、维护和改造计划；协调雨污系统协同与BGI布局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区域水务规划、流域一体化调度平台、跨市项目联合融资与PBC打包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城市/运营主体</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实施具体建设项目、运营维护管理、数字孪生运行；落实绩效合同与应急预案</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多年综合绩效合同、运营维护计划、数字孪生模型与决策支持系统</w:t>
            </w:r>
          </w:p>
        </w:tc>
      </w:tr>
    </w:tbl>
    <w:p>
      <w:pPr>
        <w:spacing w:lineRule="auto"/>
      </w:pPr>
    </w:p>
    <w:p>
      <w:pPr>
        <w:spacing w:line="360" w:after="210" w:lineRule="auto"/>
      </w:pPr>
      <w:r>
        <w:rPr>
          <w:rFonts w:eastAsia="georgia" w:cs="georgia" w:ascii="georgia" w:hAnsi="georgia"/>
          <w:color w:val="000000"/>
        </w:rPr>
        <w:t xml:space="preserve">在此框架中，财政部门逐步从“项目逐笔核拨”转向“围绕结果的中长期框架性安排”，通过对城市或水务企业签订中长期绩效协议，将部分建设、运营、维护、改造和应急成本打包纳入统一考核与资金安排。</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五_制度设计一_全生命周期成本核算与资金重构"/>
      <w:r>
        <w:rPr>
          <w:rFonts w:eastAsia="georgia" w:cs="georgia" w:ascii="georgia" w:hAnsi="georgia"/>
          <w:b/>
          <w:color w:val="000000"/>
          <w:sz w:val="24"/>
        </w:rPr>
        <w:t xml:space="preserve">五 制度设计一：全生命周期成本核算与资金重构</w:t>
      </w:r>
      <w:bookmarkEnd w:id="57"/>
    </w:p>
    <w:p>
      <w:pPr>
        <w:spacing w:line="360" w:before="315" w:after="105" w:lineRule="auto"/>
        <w:ind w:left="-30"/>
        <w:jc w:val="left"/>
      </w:pPr>
      <w:bookmarkStart w:id="58" w:name="bm_5_1_建立_全生命周期成本_财政承受力_双基线"/>
      <w:r>
        <w:rPr>
          <w:rFonts w:eastAsia="georgia" w:cs="georgia" w:ascii="georgia" w:hAnsi="georgia"/>
          <w:b/>
          <w:color w:val="000000"/>
          <w:sz w:val="24"/>
        </w:rPr>
        <w:t xml:space="preserve">5.1 建立“全生命周期成本+财政承受力”双基线</w:t>
      </w:r>
      <w:bookmarkEnd w:id="58"/>
    </w:p>
    <w:p>
      <w:pPr>
        <w:spacing w:line="360" w:after="210" w:lineRule="auto"/>
      </w:pPr>
      <w:r>
        <w:rPr>
          <w:rFonts w:eastAsia="georgia" w:cs="georgia" w:ascii="georgia" w:hAnsi="georgia"/>
          <w:color w:val="000000"/>
        </w:rPr>
        <w:t xml:space="preserve">借鉴OECD提出的成本恢复原则和全寿命周期方法，有必要在国家层面建立市政水务全生命周期成本基线和财政承受力基线，作为政策制定与预算安排的上位依据。</w:t>
      </w:r>
      <w:bookmarkStart w:id="59" w:name="fnref2_4"/>
      <w:bookmarkEnd w:id="59"/>
      <w:hyperlink w:anchor="fn2">
        <w:r>
          <w:rPr>
            <w:rFonts w:eastAsia="helvetica neue" w:cs="helvetica neue" w:ascii="helvetica neue" w:hAnsi="helvetica neue"/>
            <w:color w:val="#000"/>
            <w:u w:val="single"/>
            <w:vertAlign w:val="superscript"/>
          </w:rPr>
          <w:t xml:space="preserve">[2]</w:t>
        </w:r>
      </w:hyperlink>
      <w:bookmarkStart w:id="60" w:name="fnref3_7"/>
      <w:bookmarkEnd w:id="6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61" w:name="表3_市政水务资金重构的两条基线"/>
      <w:r>
        <w:rPr>
          <w:rFonts w:eastAsia="georgia" w:cs="georgia" w:ascii="georgia" w:hAnsi="georgia"/>
          <w:b/>
          <w:color w:val="000000"/>
          <w:sz w:val="24"/>
        </w:rPr>
        <w:t xml:space="preserve">表3 市政水务资金重构的两条基线</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基线类型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主要内涵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全生命周期成本基线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按照建设、运营、维护、改造与报废阶段，评估达到既定服务与合规水平所需总成本，包括雨污协同与BGI配置所带来的节约或增量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财政承受力基线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在既定宏观财政框架下，可用于水务系统的财政支出上限与结构，包括资本性支出与运行性支出的合理比例</w:t>
            </w:r>
          </w:p>
        </w:tc>
      </w:tr>
    </w:tbl>
    <w:p>
      <w:pPr>
        <w:spacing w:lineRule="auto"/>
      </w:pPr>
    </w:p>
    <w:p>
      <w:pPr>
        <w:spacing w:line="360" w:after="210" w:lineRule="auto"/>
      </w:pPr>
      <w:r>
        <w:rPr>
          <w:rFonts w:eastAsia="georgia" w:cs="georgia" w:ascii="georgia" w:hAnsi="georgia"/>
          <w:color w:val="000000"/>
        </w:rPr>
        <w:t xml:space="preserve">在此基础上，可逐步将“隐性成本”显性化，例如将长期不足的维护、改造和应急投入转化为明确的预算需求，并通过与BGI和雨污协同项目联动，量化因源头减排和分布式调蓄带来的运营成本与应急成本节约。</w:t>
      </w:r>
    </w:p>
    <w:p>
      <w:pPr>
        <w:spacing w:line="360" w:before="315" w:after="105" w:lineRule="auto"/>
        <w:ind w:left="-30"/>
        <w:jc w:val="left"/>
      </w:pPr>
      <w:bookmarkStart w:id="62" w:name="bm_5_2_改造年度核拨为_多年度支出上限_绩效挂钩"/>
      <w:r>
        <w:rPr>
          <w:rFonts w:eastAsia="georgia" w:cs="georgia" w:ascii="georgia" w:hAnsi="georgia"/>
          <w:b/>
          <w:color w:val="000000"/>
          <w:sz w:val="24"/>
        </w:rPr>
        <w:t xml:space="preserve">5.2 改造年度核拨为“多年度支出上限+绩效挂钩”</w:t>
      </w:r>
      <w:bookmarkEnd w:id="62"/>
    </w:p>
    <w:p>
      <w:pPr>
        <w:spacing w:line="360" w:after="210" w:lineRule="auto"/>
      </w:pPr>
      <w:r>
        <w:rPr>
          <w:rFonts w:eastAsia="georgia" w:cs="georgia" w:ascii="georgia" w:hAnsi="georgia"/>
          <w:color w:val="000000"/>
        </w:rPr>
        <w:t xml:space="preserve">参考部分国家在水价监管和公用事业管制中采用的“多年度收入上限（price cap或revenue cap）”机制，本纲要建议将现行单年度核拨制升级为“3–5年滚动的水务综合支出上限+绩效考核”的安排。</w:t>
      </w:r>
      <w:bookmarkStart w:id="63" w:name="fnref2_5"/>
      <w:bookmarkEnd w:id="63"/>
      <w:hyperlink w:anchor="fn2">
        <w:r>
          <w:rPr>
            <w:rFonts w:eastAsia="helvetica neue" w:cs="helvetica neue" w:ascii="helvetica neue" w:hAnsi="helvetica neue"/>
            <w:color w:val="#000"/>
            <w:u w:val="single"/>
            <w:vertAlign w:val="superscript"/>
          </w:rPr>
          <w:t xml:space="preserve">[2]</w:t>
        </w:r>
      </w:hyperlink>
      <w:bookmarkStart w:id="64" w:name="fnref3_8"/>
      <w:bookmarkEnd w:id="64"/>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以城市为单元，可在测算LCC的基础上，为建设、运营、维护、改造和应急准备分别设定中长期预算区间，允许水务企业在区间内跨年度调整支出结构，只要达成既定绩效指标（如供水连续性、污水达标率、内涝事件频次、非收益水率、能耗强度等）。 这在某种程度上将激励从“用完预算”转向“在支出约束下优化资产与服务”。</w:t>
      </w:r>
      <w:bookmarkStart w:id="65" w:name="fnref6_2"/>
      <w:bookmarkEnd w:id="65"/>
      <w:hyperlink w:anchor="fn6">
        <w:r>
          <w:rPr>
            <w:rFonts w:eastAsia="helvetica neue" w:cs="helvetica neue" w:ascii="helvetica neue" w:hAnsi="helvetica neue"/>
            <w:color w:val="#000"/>
            <w:u w:val="single"/>
            <w:vertAlign w:val="superscript"/>
          </w:rPr>
          <w:t xml:space="preserve">[6]</w:t>
        </w:r>
      </w:hyperlink>
      <w:bookmarkStart w:id="66" w:name="fnref9_1"/>
      <w:bookmarkEnd w:id="66"/>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67" w:name="bm_5_3_鼓励资本性支出与运营性支出的优化替代"/>
      <w:r>
        <w:rPr>
          <w:rFonts w:eastAsia="georgia" w:cs="georgia" w:ascii="georgia" w:hAnsi="georgia"/>
          <w:b/>
          <w:color w:val="000000"/>
          <w:sz w:val="24"/>
        </w:rPr>
        <w:t xml:space="preserve">5.3 鼓励资本性支出与运营性支出的优化替代</w:t>
      </w:r>
      <w:bookmarkEnd w:id="67"/>
    </w:p>
    <w:p>
      <w:pPr>
        <w:spacing w:line="360" w:after="210" w:lineRule="auto"/>
      </w:pPr>
      <w:r>
        <w:rPr>
          <w:rFonts w:eastAsia="georgia" w:cs="georgia" w:ascii="georgia" w:hAnsi="georgia"/>
          <w:color w:val="000000"/>
        </w:rPr>
        <w:t xml:space="preserve">世界水理事会–OECD研究指出，通过加强项目设计阶段的LCC分析和维护策略优化，可以在相当程度上用运营维护优化和需求侧管理替代部分高成本扩建投资。 例如，通过NRW治理和能源优化，可以避免或推迟新水厂或新泵站的建设支出。</w:t>
      </w:r>
      <w:bookmarkStart w:id="68" w:name="fnref15_1"/>
      <w:bookmarkEnd w:id="68"/>
      <w:hyperlink w:anchor="fn15">
        <w:r>
          <w:rPr>
            <w:rFonts w:eastAsia="helvetica neue" w:cs="helvetica neue" w:ascii="helvetica neue" w:hAnsi="helvetica neue"/>
            <w:color w:val="#000"/>
            <w:u w:val="single"/>
            <w:vertAlign w:val="superscript"/>
          </w:rPr>
          <w:t xml:space="preserve">[15]</w:t>
        </w:r>
      </w:hyperlink>
      <w:bookmarkStart w:id="69" w:name="fnref11_3"/>
      <w:bookmarkEnd w:id="69"/>
      <w:hyperlink w:anchor="fn11">
        <w:r>
          <w:rPr>
            <w:rFonts w:eastAsia="helvetica neue" w:cs="helvetica neue" w:ascii="helvetica neue" w:hAnsi="helvetica neue"/>
            <w:color w:val="#000"/>
            <w:u w:val="single"/>
            <w:vertAlign w:val="superscript"/>
          </w:rPr>
          <w:t xml:space="preserve">[11]</w:t>
        </w:r>
      </w:hyperlink>
      <w:bookmarkStart w:id="70" w:name="fnref3_9"/>
      <w:bookmarkEnd w:id="70"/>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在我国情境下，建议在可行性研究和预算评审阶段强制引入“建–运–维–改–应急”一体化LCC对比，将“多投建、少投运维”的方案与“适度压缩建设成本、加强维护与应急投入、强化雨污协同”的方案进行系统比较，从财政效率和风险角度择优决策。</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六_制度设计二_基于绩效的综合水务合同与监管框架"/>
      <w:r>
        <w:rPr>
          <w:rFonts w:eastAsia="georgia" w:cs="georgia" w:ascii="georgia" w:hAnsi="georgia"/>
          <w:b/>
          <w:color w:val="000000"/>
          <w:sz w:val="24"/>
        </w:rPr>
        <w:t xml:space="preserve">六 制度设计二：基于绩效的综合水务合同与监管框架</w:t>
      </w:r>
      <w:bookmarkEnd w:id="71"/>
    </w:p>
    <w:p>
      <w:pPr>
        <w:spacing w:line="360" w:before="315" w:after="105" w:lineRule="auto"/>
        <w:ind w:left="-30"/>
        <w:jc w:val="left"/>
      </w:pPr>
      <w:bookmarkStart w:id="72" w:name="bm_6_1_从工程合同到_全生命周期绩效合同"/>
      <w:r>
        <w:rPr>
          <w:rFonts w:eastAsia="georgia" w:cs="georgia" w:ascii="georgia" w:hAnsi="georgia"/>
          <w:b/>
          <w:color w:val="000000"/>
          <w:sz w:val="24"/>
        </w:rPr>
        <w:t xml:space="preserve">6.1 从工程合同到“全生命周期绩效合同”</w:t>
      </w:r>
      <w:bookmarkEnd w:id="72"/>
    </w:p>
    <w:p>
      <w:pPr>
        <w:spacing w:line="360" w:after="210" w:lineRule="auto"/>
      </w:pPr>
      <w:r>
        <w:rPr>
          <w:rFonts w:eastAsia="georgia" w:cs="georgia" w:ascii="georgia" w:hAnsi="georgia"/>
          <w:color w:val="000000"/>
        </w:rPr>
        <w:t xml:space="preserve">借鉴世界银行在多国NRW PBC中的经验，本纲要提出“市政水务综合绩效合同（Integrated Water Utility Performance-Based Contract，IWU-PBC）”概念，用以在一定程度上替代单一建设工程合同或年度运维托管合同。</w:t>
      </w:r>
      <w:bookmarkStart w:id="73" w:name="fnref10_3"/>
      <w:bookmarkEnd w:id="73"/>
      <w:hyperlink w:anchor="fn10">
        <w:r>
          <w:rPr>
            <w:rFonts w:eastAsia="helvetica neue" w:cs="helvetica neue" w:ascii="helvetica neue" w:hAnsi="helvetica neue"/>
            <w:color w:val="#000"/>
            <w:u w:val="single"/>
            <w:vertAlign w:val="superscript"/>
          </w:rPr>
          <w:t xml:space="preserve">[10]</w:t>
        </w:r>
      </w:hyperlink>
      <w:bookmarkStart w:id="74" w:name="fnref11_4"/>
      <w:bookmarkEnd w:id="74"/>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color w:val="000000"/>
        </w:rPr>
        <w:t xml:space="preserve">IWU-PBC的核心特征包括：</w:t>
      </w:r>
    </w:p>
    <w:p>
      <w:pPr>
        <w:numPr>
          <w:ilvl w:val="0"/>
          <w:numId w:val="2"/>
        </w:numPr>
        <w:spacing w:line="360" w:before="105" w:after="105" w:lineRule="auto"/>
      </w:pPr>
      <w:r>
        <w:rPr>
          <w:rFonts w:eastAsia="georgia" w:cs="georgia" w:ascii="georgia" w:hAnsi="georgia"/>
          <w:color w:val="000000"/>
          <w:sz w:val="21"/>
        </w:rPr>
        <w:t xml:space="preserve">合同范围覆盖建设、运营、维护、部分改造和应急准备等关键活动，并允许将雨水管理与污水处理协同纳入一体化考核。</w:t>
      </w:r>
    </w:p>
    <w:p>
      <w:pPr>
        <w:numPr>
          <w:ilvl w:val="0"/>
          <w:numId w:val="2"/>
        </w:numPr>
        <w:spacing w:line="360" w:before="105" w:after="105" w:lineRule="auto"/>
      </w:pPr>
      <w:r>
        <w:rPr>
          <w:rFonts w:eastAsia="georgia" w:cs="georgia" w:ascii="georgia" w:hAnsi="georgia"/>
          <w:color w:val="000000"/>
          <w:sz w:val="21"/>
        </w:rPr>
        <w:t xml:space="preserve">支付机制由“按工程量付费”转向“基础服务费+绩效挂钩浮动费”，浮动部分与漏损降低、能耗降低、达标率、内涝减少等结果指标相关。</w:t>
      </w:r>
    </w:p>
    <w:p>
      <w:pPr>
        <w:numPr>
          <w:ilvl w:val="0"/>
          <w:numId w:val="2"/>
        </w:numPr>
        <w:spacing w:line="360" w:before="105" w:after="105" w:lineRule="auto"/>
      </w:pPr>
      <w:r>
        <w:rPr>
          <w:rFonts w:eastAsia="georgia" w:cs="georgia" w:ascii="georgia" w:hAnsi="georgia"/>
          <w:color w:val="000000"/>
          <w:sz w:val="21"/>
        </w:rPr>
        <w:t xml:space="preserve">风险由公共部门与运营方按可控性分配，将可通过管理和技术手段降低的风险（如NRW、能耗）适度转移给合同相对方。</w:t>
      </w:r>
    </w:p>
    <w:p>
      <w:pPr>
        <w:spacing w:line="360" w:before="315" w:after="105" w:lineRule="auto"/>
        <w:ind w:left="-30"/>
        <w:jc w:val="left"/>
      </w:pPr>
      <w:bookmarkStart w:id="75" w:name="bm_6_2_典型合同模式的比较"/>
      <w:r>
        <w:rPr>
          <w:rFonts w:eastAsia="georgia" w:cs="georgia" w:ascii="georgia" w:hAnsi="georgia"/>
          <w:b/>
          <w:color w:val="000000"/>
          <w:sz w:val="24"/>
        </w:rPr>
        <w:t xml:space="preserve">6.2 典型合同模式的比较</w:t>
      </w:r>
      <w:bookmarkEnd w:id="75"/>
    </w:p>
    <w:p>
      <w:pPr>
        <w:spacing w:line="360" w:before="315" w:after="105" w:lineRule="auto"/>
        <w:ind w:left="-30"/>
        <w:jc w:val="left"/>
      </w:pPr>
      <w:bookmarkStart w:id="76" w:name="表4_三类合同_财务模式比较"/>
      <w:r>
        <w:rPr>
          <w:rFonts w:eastAsia="georgia" w:cs="georgia" w:ascii="georgia" w:hAnsi="georgia"/>
          <w:b/>
          <w:color w:val="000000"/>
          <w:sz w:val="24"/>
        </w:rPr>
        <w:t xml:space="preserve">表4 三类合同/财务模式比较</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特征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传统核拨制+工程合同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运营托管制</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IWU-PBC（拟议高效方案）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资金来源</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财政年度核拨为主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财政核拨+部分自收自支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财政+政策金融+合理水价+绩效奖励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建设–运营–维护整合程度</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低，分散立项与核拨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中，运营与维护整合</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高，建–运–维–改–应急一体化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绩效激励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弱，重过程合规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中，有限绩效约定</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强，支付与多维绩效紧密挂钩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雨污系统协同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弱，分部门、分项目</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视托管范围而定</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强，纳入统一绩效与LCC考核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风险分担与透明度</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风险主要在政府</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部分运营风险外包</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按风险类型精细分担，信息披露强化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对数字化与数据质量的要求</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相对较低</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高，需要高质量数据支撑绩效核算</w:t>
            </w:r>
          </w:p>
        </w:tc>
      </w:tr>
    </w:tbl>
    <w:p>
      <w:pPr>
        <w:spacing w:lineRule="auto"/>
      </w:pPr>
    </w:p>
    <w:p>
      <w:pPr>
        <w:spacing w:line="360" w:after="210" w:lineRule="auto"/>
      </w:pPr>
      <w:r>
        <w:rPr>
          <w:rFonts w:eastAsia="georgia" w:cs="georgia" w:ascii="georgia" w:hAnsi="georgia"/>
          <w:color w:val="000000"/>
        </w:rPr>
        <w:t xml:space="preserve">国际经验表明，在治理能力较高、数据基础较好的地区，PBC类合同有较大潜力提升成本效率和服务质量；在能力较弱地区，可先从单一领域（如NRW、能效）的小规模PBC试点开始，逐步过渡。</w:t>
      </w:r>
      <w:bookmarkStart w:id="77" w:name="fnref20"/>
      <w:bookmarkEnd w:id="77"/>
      <w:hyperlink w:anchor="fn20">
        <w:r>
          <w:rPr>
            <w:rFonts w:eastAsia="helvetica neue" w:cs="helvetica neue" w:ascii="helvetica neue" w:hAnsi="helvetica neue"/>
            <w:color w:val="#000"/>
            <w:u w:val="single"/>
            <w:vertAlign w:val="superscript"/>
          </w:rPr>
          <w:t xml:space="preserve">[20]</w:t>
        </w:r>
      </w:hyperlink>
      <w:bookmarkStart w:id="78" w:name="fnref11_5"/>
      <w:bookmarkEnd w:id="78"/>
      <w:hyperlink w:anchor="fn11">
        <w:r>
          <w:rPr>
            <w:rFonts w:eastAsia="helvetica neue" w:cs="helvetica neue" w:ascii="helvetica neue" w:hAnsi="helvetica neue"/>
            <w:color w:val="#000"/>
            <w:u w:val="single"/>
            <w:vertAlign w:val="superscript"/>
          </w:rPr>
          <w:t xml:space="preserve">[11]</w:t>
        </w:r>
      </w:hyperlink>
      <w:bookmarkStart w:id="79" w:name="fnref10_4"/>
      <w:bookmarkEnd w:id="79"/>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80" w:name="bm_6_3_监督与问责_从_程序合规_到_结果导向"/>
      <w:r>
        <w:rPr>
          <w:rFonts w:eastAsia="georgia" w:cs="georgia" w:ascii="georgia" w:hAnsi="georgia"/>
          <w:b/>
          <w:color w:val="000000"/>
          <w:sz w:val="24"/>
        </w:rPr>
        <w:t xml:space="preserve">6.3 监督与问责：从“程序合规”到“结果导向”</w:t>
      </w:r>
      <w:bookmarkEnd w:id="80"/>
    </w:p>
    <w:p>
      <w:pPr>
        <w:spacing w:line="360" w:after="210" w:lineRule="auto"/>
      </w:pPr>
      <w:r>
        <w:rPr>
          <w:rFonts w:eastAsia="georgia" w:cs="georgia" w:ascii="georgia" w:hAnsi="georgia"/>
          <w:color w:val="000000"/>
        </w:rPr>
        <w:t xml:space="preserve">在实施IWU-PBC过程中，有必要同步建立“监管合同”，明确政府监管机构、第三方审计和公众参与在绩效评估与信息披露中的角色。 国际研究指出，将契约治理与关系治理结合，既通过严格合同条款保障绩效，又通过合作机制和风险共担增强项目长期可持续性，是水务PPP成功的重要因素。</w:t>
      </w:r>
      <w:bookmarkStart w:id="81" w:name="fnref21"/>
      <w:bookmarkEnd w:id="81"/>
      <w:hyperlink w:anchor="fn21">
        <w:r>
          <w:rPr>
            <w:rFonts w:eastAsia="helvetica neue" w:cs="helvetica neue" w:ascii="helvetica neue" w:hAnsi="helvetica neue"/>
            <w:color w:val="#000"/>
            <w:u w:val="single"/>
            <w:vertAlign w:val="superscript"/>
          </w:rPr>
          <w:t xml:space="preserve">[21]</w:t>
        </w:r>
      </w:hyperlink>
      <w:bookmarkStart w:id="82" w:name="fnref22"/>
      <w:bookmarkEnd w:id="82"/>
      <w:hyperlink w:anchor="fn22">
        <w:r>
          <w:rPr>
            <w:rFonts w:eastAsia="helvetica neue" w:cs="helvetica neue" w:ascii="helvetica neue" w:hAnsi="helvetica neue"/>
            <w:color w:val="#000"/>
            <w:u w:val="single"/>
            <w:vertAlign w:val="superscript"/>
          </w:rPr>
          <w:t xml:space="preserve">[22]</w:t>
        </w:r>
      </w:hyperlink>
      <w:bookmarkStart w:id="83" w:name="fnref20_1"/>
      <w:bookmarkEnd w:id="83"/>
      <w:hyperlink w:anchor="fn20">
        <w:r>
          <w:rPr>
            <w:rFonts w:eastAsia="helvetica neue" w:cs="helvetica neue" w:ascii="helvetica neue" w:hAnsi="helvetica neue"/>
            <w:color w:val="#000"/>
            <w:u w:val="single"/>
            <w:vertAlign w:val="superscript"/>
          </w:rPr>
          <w:t xml:space="preserve">[20]</w:t>
        </w:r>
      </w:hyperlink>
      <w:bookmarkStart w:id="84" w:name="fnref6_3"/>
      <w:bookmarkEnd w:id="84"/>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color w:val="000000"/>
        </w:rPr>
        <w:t xml:space="preserve">监管框架应当包括：统一绩效指标体系、独立的技术与财务审核、分级预警和纠偏机制，以及对未达标情形的责任追究与补救路径，同时兼顾成本合理性和企业可持续经营需求。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七_制度设计三_智慧水务数字孪生与数据基础设施"/>
      <w:r>
        <w:rPr>
          <w:rFonts w:eastAsia="georgia" w:cs="georgia" w:ascii="georgia" w:hAnsi="georgia"/>
          <w:b/>
          <w:color w:val="000000"/>
          <w:sz w:val="24"/>
        </w:rPr>
        <w:t xml:space="preserve">七 制度设计三：智慧水务数字孪生与数据基础设施</w:t>
      </w:r>
      <w:bookmarkEnd w:id="85"/>
    </w:p>
    <w:p>
      <w:pPr>
        <w:spacing w:line="360" w:before="315" w:after="105" w:lineRule="auto"/>
        <w:ind w:left="-30"/>
        <w:jc w:val="left"/>
      </w:pPr>
      <w:bookmarkStart w:id="86" w:name="bm_7_1_数字孪生_lcc_pbc_的三位一体"/>
      <w:r>
        <w:rPr>
          <w:rFonts w:eastAsia="georgia" w:cs="georgia" w:ascii="georgia" w:hAnsi="georgia"/>
          <w:b/>
          <w:color w:val="000000"/>
          <w:sz w:val="24"/>
        </w:rPr>
        <w:t xml:space="preserve">7.1 “数字孪生+LCC+PBC”的三位一体</w:t>
      </w:r>
      <w:bookmarkEnd w:id="86"/>
    </w:p>
    <w:p>
      <w:pPr>
        <w:spacing w:line="360" w:after="210" w:lineRule="auto"/>
      </w:pPr>
      <w:r>
        <w:rPr>
          <w:rFonts w:eastAsia="georgia" w:cs="georgia" w:ascii="georgia" w:hAnsi="georgia"/>
          <w:color w:val="000000"/>
        </w:rPr>
        <w:t xml:space="preserve">数字孪生在供水与排水系统中的应用实践表明，通过将实时监测数据与仿真模型结合，可以实时评估管网压力、水龄、能耗、溢流风险等，并据此优化调度策略与维护计划，从而降低运营成本和延长资产寿命。</w:t>
      </w:r>
      <w:bookmarkStart w:id="87" w:name="fnref17_1"/>
      <w:bookmarkEnd w:id="87"/>
      <w:hyperlink w:anchor="fn17">
        <w:r>
          <w:rPr>
            <w:rFonts w:eastAsia="helvetica neue" w:cs="helvetica neue" w:ascii="helvetica neue" w:hAnsi="helvetica neue"/>
            <w:color w:val="#000"/>
            <w:u w:val="single"/>
            <w:vertAlign w:val="superscript"/>
          </w:rPr>
          <w:t xml:space="preserve">[17]</w:t>
        </w:r>
      </w:hyperlink>
      <w:bookmarkStart w:id="88" w:name="fnref16_1"/>
      <w:bookmarkEnd w:id="88"/>
      <w:hyperlink w:anchor="fn16">
        <w:r>
          <w:rPr>
            <w:rFonts w:eastAsia="helvetica neue" w:cs="helvetica neue" w:ascii="helvetica neue" w:hAnsi="helvetica neue"/>
            <w:color w:val="#000"/>
            <w:u w:val="single"/>
            <w:vertAlign w:val="superscript"/>
          </w:rPr>
          <w:t xml:space="preserve">[16]</w:t>
        </w:r>
      </w:hyperlink>
    </w:p>
    <w:p>
      <w:pPr>
        <w:spacing w:line="360" w:after="210" w:lineRule="auto"/>
      </w:pPr>
      <w:r>
        <w:rPr>
          <w:rFonts w:eastAsia="georgia" w:cs="georgia" w:ascii="georgia" w:hAnsi="georgia"/>
          <w:color w:val="000000"/>
        </w:rPr>
        <w:t xml:space="preserve">在本高效方案中，建议形成“数字孪生–全生命周期成本–绩效合同”三位一体结构：</w:t>
      </w:r>
    </w:p>
    <w:p>
      <w:pPr>
        <w:numPr>
          <w:ilvl w:val="0"/>
          <w:numId w:val="3"/>
        </w:numPr>
        <w:spacing w:line="360" w:before="105" w:after="105" w:lineRule="auto"/>
      </w:pPr>
      <w:r>
        <w:rPr>
          <w:rFonts w:eastAsia="georgia" w:cs="georgia" w:ascii="georgia" w:hAnsi="georgia"/>
          <w:color w:val="000000"/>
          <w:sz w:val="21"/>
        </w:rPr>
        <w:t xml:space="preserve">数字孪生提供实时与情景数据，支持LCC测算与PBC指标核算。</w:t>
      </w:r>
    </w:p>
    <w:p>
      <w:pPr>
        <w:numPr>
          <w:ilvl w:val="0"/>
          <w:numId w:val="3"/>
        </w:numPr>
        <w:spacing w:line="360" w:before="105" w:after="105" w:lineRule="auto"/>
      </w:pPr>
      <w:r>
        <w:rPr>
          <w:rFonts w:eastAsia="georgia" w:cs="georgia" w:ascii="georgia" w:hAnsi="georgia"/>
          <w:color w:val="000000"/>
          <w:sz w:val="21"/>
        </w:rPr>
        <w:t xml:space="preserve">LCC为数字孪生给出的不同情景（如提前改造、增加维护、加强雨污协同）提供经济性判断依据。</w:t>
      </w:r>
    </w:p>
    <w:p>
      <w:pPr>
        <w:numPr>
          <w:ilvl w:val="0"/>
          <w:numId w:val="3"/>
        </w:numPr>
        <w:spacing w:line="360" w:before="105" w:after="105" w:lineRule="auto"/>
      </w:pPr>
      <w:r>
        <w:rPr>
          <w:rFonts w:eastAsia="georgia" w:cs="georgia" w:ascii="georgia" w:hAnsi="georgia"/>
          <w:color w:val="000000"/>
          <w:sz w:val="21"/>
        </w:rPr>
        <w:t xml:space="preserve">PBC将数字孪生和LCC产出的成果内嵌进激励与约束机制中，实现“数据–模型–激励”的闭环。</w:t>
      </w:r>
    </w:p>
    <w:p>
      <w:pPr>
        <w:spacing w:line="360" w:before="315" w:after="105" w:lineRule="auto"/>
        <w:ind w:left="-30"/>
        <w:jc w:val="left"/>
      </w:pPr>
      <w:bookmarkStart w:id="89" w:name="bm_7_2_数字孪生系统的功能模块与实施路径"/>
      <w:r>
        <w:rPr>
          <w:rFonts w:eastAsia="georgia" w:cs="georgia" w:ascii="georgia" w:hAnsi="georgia"/>
          <w:b/>
          <w:color w:val="000000"/>
          <w:sz w:val="24"/>
        </w:rPr>
        <w:t xml:space="preserve">7.2 数字孪生系统的功能模块与实施路径</w:t>
      </w:r>
      <w:bookmarkEnd w:id="89"/>
    </w:p>
    <w:p>
      <w:pPr>
        <w:spacing w:line="360" w:after="210" w:lineRule="auto"/>
      </w:pPr>
      <w:r>
        <w:rPr>
          <w:rFonts w:eastAsia="georgia" w:cs="georgia" w:ascii="georgia" w:hAnsi="georgia"/>
          <w:color w:val="000000"/>
        </w:rPr>
        <w:t xml:space="preserve">欧盟和多家国际机构的研究提出，数字水务转型应重点围绕需求管理、漏损控制、能耗优化、资产管理和韧性提升等场景，循序渐进推进，而非一次性“大而全”。</w:t>
      </w:r>
      <w:bookmarkStart w:id="90" w:name="fnref19_1"/>
      <w:bookmarkEnd w:id="90"/>
      <w:hyperlink w:anchor="fn19">
        <w:r>
          <w:rPr>
            <w:rFonts w:eastAsia="helvetica neue" w:cs="helvetica neue" w:ascii="helvetica neue" w:hAnsi="helvetica neue"/>
            <w:color w:val="#000"/>
            <w:u w:val="single"/>
            <w:vertAlign w:val="superscript"/>
          </w:rPr>
          <w:t xml:space="preserve">[19]</w:t>
        </w:r>
      </w:hyperlink>
      <w:bookmarkStart w:id="91" w:name="fnref17_2"/>
      <w:bookmarkEnd w:id="91"/>
      <w:hyperlink w:anchor="fn17">
        <w:r>
          <w:rPr>
            <w:rFonts w:eastAsia="helvetica neue" w:cs="helvetica neue" w:ascii="helvetica neue" w:hAnsi="helvetica neue"/>
            <w:color w:val="#000"/>
            <w:u w:val="single"/>
            <w:vertAlign w:val="superscript"/>
          </w:rPr>
          <w:t xml:space="preserve">[17]</w:t>
        </w:r>
      </w:hyperlink>
      <w:bookmarkStart w:id="92" w:name="fnref18_1"/>
      <w:bookmarkEnd w:id="92"/>
      <w:hyperlink w:anchor="fn18">
        <w:r>
          <w:rPr>
            <w:rFonts w:eastAsia="helvetica neue" w:cs="helvetica neue" w:ascii="helvetica neue" w:hAnsi="helvetica neue"/>
            <w:color w:val="#000"/>
            <w:u w:val="single"/>
            <w:vertAlign w:val="superscript"/>
          </w:rPr>
          <w:t xml:space="preserve">[18]</w:t>
        </w:r>
      </w:hyperlink>
    </w:p>
    <w:p>
      <w:pPr>
        <w:spacing w:line="360" w:before="315" w:after="105" w:lineRule="auto"/>
        <w:ind w:left="-30"/>
        <w:jc w:val="left"/>
      </w:pPr>
      <w:bookmarkStart w:id="93" w:name="表5_市政水务数字孪生的关键功能模块"/>
      <w:r>
        <w:rPr>
          <w:rFonts w:eastAsia="georgia" w:cs="georgia" w:ascii="georgia" w:hAnsi="georgia"/>
          <w:b/>
          <w:color w:val="000000"/>
          <w:sz w:val="24"/>
        </w:rPr>
        <w:t xml:space="preserve">表5 市政水务数字孪生的关键功能模块</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模块</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面向供水/污水/雨水的典型应用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实时监测与预警</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对压力、水质、流量、雨量和水位进行监测，提前预警爆管、溢流与内涝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需求与入流预测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利用AI预测用水需求和污水/雨水入流，为调度和负荷管理提供依据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能源与化学品优化</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优化泵站启停、曝气强度和药剂投加，降低运营能耗和药耗</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资产健康管理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结合检测数据和失效历史，对管网和关键设备进行健康评估与更新规划</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应急推演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对极端降雨、污染事故和设备故障进行仿真，优化应急预案和资源配置</w:t>
            </w:r>
          </w:p>
        </w:tc>
      </w:tr>
    </w:tbl>
    <w:p>
      <w:pPr>
        <w:spacing w:lineRule="auto"/>
      </w:pPr>
    </w:p>
    <w:p>
      <w:pPr>
        <w:spacing w:line="360" w:after="210" w:lineRule="auto"/>
      </w:pPr>
      <w:r>
        <w:rPr>
          <w:rFonts w:eastAsia="georgia" w:cs="georgia" w:ascii="georgia" w:hAnsi="georgia"/>
          <w:color w:val="000000"/>
        </w:rPr>
        <w:t xml:space="preserve">在推进过程中，可先从“大口径管网与关键设施+重点片区”起步，逐步扩展到全市乃至流域范围，并与城市防洪、交通和应急管理系统对接，形成智慧城市框架下的水务子系统。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八_概念创新_排水系统_韧性_效率_可持续性_三维模型"/>
      <w:r>
        <w:rPr>
          <w:rFonts w:eastAsia="georgia" w:cs="georgia" w:ascii="georgia" w:hAnsi="georgia"/>
          <w:b/>
          <w:color w:val="000000"/>
          <w:sz w:val="24"/>
        </w:rPr>
        <w:t xml:space="preserve">八 概念创新：排水系统“韧性–效率–可持续性”三维模型</w:t>
      </w:r>
      <w:bookmarkEnd w:id="94"/>
    </w:p>
    <w:p>
      <w:pPr>
        <w:spacing w:line="360" w:before="315" w:after="105" w:lineRule="auto"/>
        <w:ind w:left="-30"/>
        <w:jc w:val="left"/>
      </w:pPr>
      <w:bookmarkStart w:id="95" w:name="bm_8_1_三维模型框架与指标体系"/>
      <w:r>
        <w:rPr>
          <w:rFonts w:eastAsia="georgia" w:cs="georgia" w:ascii="georgia" w:hAnsi="georgia"/>
          <w:b/>
          <w:color w:val="000000"/>
          <w:sz w:val="24"/>
        </w:rPr>
        <w:t xml:space="preserve">8.1 三维模型框架与指标体系</w:t>
      </w:r>
      <w:bookmarkEnd w:id="95"/>
    </w:p>
    <w:p>
      <w:pPr>
        <w:spacing w:line="360" w:after="210" w:lineRule="auto"/>
      </w:pPr>
      <w:r>
        <w:rPr>
          <w:rFonts w:eastAsia="georgia" w:cs="georgia" w:ascii="georgia" w:hAnsi="georgia"/>
          <w:color w:val="000000"/>
        </w:rPr>
        <w:t xml:space="preserve">在雨污系统协同视角下，本纲要提出“排水系统韧性–效率–可持续性三维模型”概念，用于指导投资决策与绩效考核。学界的相关研究指向，分散化与模块化排水与再生水系统在提升资源效率与韧性方面具有潜力，但其经济性与适用性依赖于具体城市形态、人口密度和管理能力。</w:t>
      </w:r>
      <w:bookmarkStart w:id="96" w:name="fnref12_1"/>
      <w:bookmarkEnd w:id="96"/>
      <w:hyperlink w:anchor="fn12">
        <w:r>
          <w:rPr>
            <w:rFonts w:eastAsia="helvetica neue" w:cs="helvetica neue" w:ascii="helvetica neue" w:hAnsi="helvetica neue"/>
            <w:color w:val="#000"/>
            <w:u w:val="single"/>
            <w:vertAlign w:val="superscript"/>
          </w:rPr>
          <w:t xml:space="preserve">[12]</w:t>
        </w:r>
      </w:hyperlink>
      <w:bookmarkStart w:id="97" w:name="fnref7_3"/>
      <w:bookmarkEnd w:id="97"/>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color w:val="000000"/>
        </w:rPr>
        <w:t xml:space="preserve">三维模型的三个轴分别为：</w:t>
      </w:r>
    </w:p>
    <w:p>
      <w:pPr>
        <w:numPr>
          <w:ilvl w:val="0"/>
          <w:numId w:val="4"/>
        </w:numPr>
        <w:spacing w:line="360" w:before="105" w:after="105" w:lineRule="auto"/>
      </w:pPr>
      <w:r>
        <w:rPr>
          <w:rFonts w:eastAsia="georgia" w:cs="georgia" w:ascii="georgia" w:hAnsi="georgia"/>
          <w:color w:val="000000"/>
          <w:sz w:val="21"/>
        </w:rPr>
        <w:t xml:space="preserve">韧性（R）：系统抵御极端降雨、上游污染和设施故障的能力，指标包括内涝事件频率与深度、关键设施冗余度、应急响应时间等。</w:t>
      </w:r>
    </w:p>
    <w:p>
      <w:pPr>
        <w:numPr>
          <w:ilvl w:val="0"/>
          <w:numId w:val="4"/>
        </w:numPr>
        <w:spacing w:line="360" w:before="105" w:after="105" w:lineRule="auto"/>
      </w:pPr>
      <w:r>
        <w:rPr>
          <w:rFonts w:eastAsia="georgia" w:cs="georgia" w:ascii="georgia" w:hAnsi="georgia"/>
          <w:color w:val="000000"/>
          <w:sz w:val="21"/>
        </w:rPr>
        <w:t xml:space="preserve">效率（E）：在一定服务水平下的综合成本与资源利用效率，包括单位处理量的运营成本、维护成本、能耗和化学品利用，以及因雨污协同带来的溢流减排效益。</w:t>
      </w:r>
    </w:p>
    <w:p>
      <w:pPr>
        <w:numPr>
          <w:ilvl w:val="0"/>
          <w:numId w:val="4"/>
        </w:numPr>
        <w:spacing w:line="360" w:before="105" w:after="105" w:lineRule="auto"/>
      </w:pPr>
      <w:r>
        <w:rPr>
          <w:rFonts w:eastAsia="georgia" w:cs="georgia" w:ascii="georgia" w:hAnsi="georgia"/>
          <w:color w:val="000000"/>
          <w:sz w:val="21"/>
        </w:rPr>
        <w:t xml:space="preserve">可持续性（S）：环境与资源循环绩效，包括再生水利用率、雨水就地消纳比例、污泥资源化程度和温室气体排放强度等。</w:t>
      </w:r>
    </w:p>
    <w:p>
      <w:pPr>
        <w:spacing w:line="360" w:after="210" w:lineRule="auto"/>
      </w:pPr>
      <w:r>
        <w:rPr>
          <w:rFonts w:eastAsia="georgia" w:cs="georgia" w:ascii="georgia" w:hAnsi="georgia"/>
          <w:color w:val="000000"/>
        </w:rPr>
        <w:t xml:space="preserve">通过数字孪生模拟不同投资组合（如加大BGI投入、强化管网改造、提升厂站工艺等）对R–E–S三维空间位置的影响，可以帮助决策者在财政约束下选择“最优折中点”，而不是单纯追求某一维度的极致。</w:t>
      </w:r>
    </w:p>
    <w:p>
      <w:pPr>
        <w:spacing w:line="360" w:before="315" w:after="105" w:lineRule="auto"/>
        <w:ind w:left="-30"/>
        <w:jc w:val="left"/>
      </w:pPr>
      <w:bookmarkStart w:id="98" w:name="bm_8_2_三维模型在投资与预算中的应用"/>
      <w:r>
        <w:rPr>
          <w:rFonts w:eastAsia="georgia" w:cs="georgia" w:ascii="georgia" w:hAnsi="georgia"/>
          <w:b/>
          <w:color w:val="000000"/>
          <w:sz w:val="24"/>
        </w:rPr>
        <w:t xml:space="preserve">8.2 三维模型在投资与预算中的应用</w:t>
      </w:r>
      <w:bookmarkEnd w:id="98"/>
    </w:p>
    <w:p>
      <w:pPr>
        <w:spacing w:line="360" w:after="210" w:lineRule="auto"/>
      </w:pPr>
      <w:r>
        <w:rPr>
          <w:rFonts w:eastAsia="georgia" w:cs="georgia" w:ascii="georgia" w:hAnsi="georgia"/>
          <w:color w:val="000000"/>
        </w:rPr>
        <w:t xml:space="preserve">在实践中，可将三维模型嵌入预算编制与绩效考核：</w:t>
      </w:r>
    </w:p>
    <w:p>
      <w:pPr>
        <w:numPr>
          <w:ilvl w:val="0"/>
          <w:numId w:val="5"/>
        </w:numPr>
        <w:spacing w:line="360" w:before="105" w:after="105" w:lineRule="auto"/>
      </w:pPr>
      <w:r>
        <w:rPr>
          <w:rFonts w:eastAsia="georgia" w:cs="georgia" w:ascii="georgia" w:hAnsi="georgia"/>
          <w:color w:val="000000"/>
          <w:sz w:val="21"/>
        </w:rPr>
        <w:t xml:space="preserve">在项目可研阶段，对不同方案进行R–E–S评分，并量化对建设、运营、维护、改造和应急成本的影响；</w:t>
      </w:r>
    </w:p>
    <w:p>
      <w:pPr>
        <w:numPr>
          <w:ilvl w:val="0"/>
          <w:numId w:val="5"/>
        </w:numPr>
        <w:spacing w:line="360" w:before="105" w:after="105" w:lineRule="auto"/>
      </w:pPr>
      <w:r>
        <w:rPr>
          <w:rFonts w:eastAsia="georgia" w:cs="georgia" w:ascii="georgia" w:hAnsi="georgia"/>
          <w:color w:val="000000"/>
          <w:sz w:val="21"/>
        </w:rPr>
        <w:t xml:space="preserve">在PBC或运营协议中，将R–E–S相关指标纳入绩效付费；</w:t>
      </w:r>
    </w:p>
    <w:p>
      <w:pPr>
        <w:numPr>
          <w:ilvl w:val="0"/>
          <w:numId w:val="5"/>
        </w:numPr>
        <w:spacing w:line="360" w:before="105" w:after="105" w:lineRule="auto"/>
      </w:pPr>
      <w:r>
        <w:rPr>
          <w:rFonts w:eastAsia="georgia" w:cs="georgia" w:ascii="georgia" w:hAnsi="georgia"/>
          <w:color w:val="000000"/>
          <w:sz w:val="21"/>
        </w:rPr>
        <w:t xml:space="preserve">在省级或流域层面，以R–E–S改进程度作为分配奖励性转移支付的依据，引导地方优先推进雨污系统协同和源头减排。</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九_管理流程与协同机制的_可视化_重构"/>
      <w:r>
        <w:rPr>
          <w:rFonts w:eastAsia="georgia" w:cs="georgia" w:ascii="georgia" w:hAnsi="georgia"/>
          <w:b/>
          <w:color w:val="000000"/>
          <w:sz w:val="24"/>
        </w:rPr>
        <w:t xml:space="preserve">九 管理流程与协同机制的“可视化”重构</w:t>
      </w:r>
      <w:bookmarkEnd w:id="99"/>
    </w:p>
    <w:p>
      <w:pPr>
        <w:spacing w:line="360" w:before="315" w:after="105" w:lineRule="auto"/>
        <w:ind w:left="-30"/>
        <w:jc w:val="left"/>
      </w:pPr>
      <w:bookmarkStart w:id="100" w:name="bm_9_1_政策_资金_绩效闭环流程_文本流程图"/>
      <w:r>
        <w:rPr>
          <w:rFonts w:eastAsia="georgia" w:cs="georgia" w:ascii="georgia" w:hAnsi="georgia"/>
          <w:b/>
          <w:color w:val="000000"/>
          <w:sz w:val="24"/>
        </w:rPr>
        <w:t xml:space="preserve">9.1 政策—资金—绩效闭环流程（文本流程图）</w:t>
      </w:r>
      <w:bookmarkEnd w:id="100"/>
    </w:p>
    <w:p>
      <w:pPr>
        <w:spacing w:line="360" w:after="210" w:lineRule="auto"/>
      </w:pPr>
      <w:r>
        <w:rPr>
          <w:rFonts w:eastAsia="georgia" w:cs="georgia" w:ascii="georgia" w:hAnsi="georgia"/>
          <w:color w:val="000000"/>
        </w:rPr>
        <w:t xml:space="preserve">为体现从核拨制到绩效导向的转变，可构建如下闭环流程：</w:t>
      </w:r>
    </w:p>
    <w:p>
      <w:pPr>
        <w:spacing w:line="360" w:after="210" w:lineRule="auto"/>
      </w:pPr>
      <w:r>
        <w:rPr>
          <w:rFonts w:eastAsia="georgia" w:cs="georgia" w:ascii="georgia" w:hAnsi="georgia"/>
          <w:color w:val="000000"/>
        </w:rPr>
        <w:t xml:space="preserve">【图1 国家市政水务“政策–资金–绩效”闭环流程示意】</w:t>
      </w:r>
    </w:p>
    <w:p>
      <w:pPr>
        <w:numPr>
          <w:ilvl w:val="0"/>
          <w:numId w:val="6"/>
        </w:numPr>
        <w:spacing w:line="360" w:before="105" w:after="105" w:lineRule="auto"/>
      </w:pPr>
      <w:r>
        <w:rPr>
          <w:rFonts w:eastAsia="georgia" w:cs="georgia" w:ascii="georgia" w:hAnsi="georgia"/>
          <w:color w:val="000000"/>
          <w:sz w:val="21"/>
        </w:rPr>
        <w:t xml:space="preserve">国家层面：明确全国水务服务与成本恢复阶段性目标，发布指标与政策框架。</w:t>
      </w:r>
    </w:p>
    <w:p>
      <w:pPr>
        <w:numPr>
          <w:ilvl w:val="0"/>
          <w:numId w:val="6"/>
        </w:numPr>
        <w:spacing w:line="360" w:before="105" w:after="105" w:lineRule="auto"/>
      </w:pPr>
      <w:r>
        <w:rPr>
          <w:rFonts w:eastAsia="georgia" w:cs="georgia" w:ascii="georgia" w:hAnsi="georgia"/>
          <w:color w:val="000000"/>
          <w:sz w:val="21"/>
        </w:rPr>
        <w:t xml:space="preserve">省域/流域层面：编制区域水务与雨污协同规划，形成中长期项目与资金需求清单。</w:t>
      </w:r>
    </w:p>
    <w:p>
      <w:pPr>
        <w:numPr>
          <w:ilvl w:val="0"/>
          <w:numId w:val="6"/>
        </w:numPr>
        <w:spacing w:line="360" w:before="105" w:after="105" w:lineRule="auto"/>
      </w:pPr>
      <w:r>
        <w:rPr>
          <w:rFonts w:eastAsia="georgia" w:cs="georgia" w:ascii="georgia" w:hAnsi="georgia"/>
          <w:color w:val="000000"/>
          <w:sz w:val="21"/>
        </w:rPr>
        <w:t xml:space="preserve">财政与金融部门：根据LCC与财政基线，确定各地多年度支出上限和政策性金融支持额度。</w:t>
      </w:r>
    </w:p>
    <w:p>
      <w:pPr>
        <w:numPr>
          <w:ilvl w:val="0"/>
          <w:numId w:val="6"/>
        </w:numPr>
        <w:spacing w:line="360" w:before="105" w:after="105" w:lineRule="auto"/>
      </w:pPr>
      <w:r>
        <w:rPr>
          <w:rFonts w:eastAsia="georgia" w:cs="georgia" w:ascii="georgia" w:hAnsi="georgia"/>
          <w:color w:val="000000"/>
          <w:sz w:val="21"/>
        </w:rPr>
        <w:t xml:space="preserve">城市/水务企业：通过IWU-PBC等形式，将建设、运营、维护、改造与应急任务打包实施，并接入数字孪生。</w:t>
      </w:r>
    </w:p>
    <w:p>
      <w:pPr>
        <w:numPr>
          <w:ilvl w:val="0"/>
          <w:numId w:val="6"/>
        </w:numPr>
        <w:spacing w:line="360" w:before="105" w:after="105" w:lineRule="auto"/>
      </w:pPr>
      <w:r>
        <w:rPr>
          <w:rFonts w:eastAsia="georgia" w:cs="georgia" w:ascii="georgia" w:hAnsi="georgia"/>
          <w:color w:val="000000"/>
          <w:sz w:val="21"/>
        </w:rPr>
        <w:t xml:space="preserve">监管与公众：依据统一指标体系和数据平台，对服务绩效和财务表现进行监督与评价。</w:t>
      </w:r>
    </w:p>
    <w:p>
      <w:pPr>
        <w:numPr>
          <w:ilvl w:val="0"/>
          <w:numId w:val="6"/>
        </w:numPr>
        <w:spacing w:line="360" w:before="105" w:after="105" w:lineRule="auto"/>
      </w:pPr>
      <w:r>
        <w:rPr>
          <w:rFonts w:eastAsia="georgia" w:cs="georgia" w:ascii="georgia" w:hAnsi="georgia"/>
          <w:color w:val="000000"/>
          <w:sz w:val="21"/>
        </w:rPr>
        <w:t xml:space="preserve">评价与反馈：根据绩效结果调整下一周期的财政支持水平、政策工具与监管要求，形成滚动改进。</w:t>
      </w:r>
    </w:p>
    <w:p>
      <w:pPr>
        <w:spacing w:line="360" w:before="315" w:after="105" w:lineRule="auto"/>
        <w:ind w:left="-30"/>
        <w:jc w:val="left"/>
      </w:pPr>
      <w:bookmarkStart w:id="101" w:name="bm_9_2_概念框图_新范式要素关系"/>
      <w:r>
        <w:rPr>
          <w:rFonts w:eastAsia="georgia" w:cs="georgia" w:ascii="georgia" w:hAnsi="georgia"/>
          <w:b/>
          <w:color w:val="000000"/>
          <w:sz w:val="24"/>
        </w:rPr>
        <w:t xml:space="preserve">9.2 概念框图：新范式要素关系</w:t>
      </w:r>
      <w:bookmarkEnd w:id="101"/>
    </w:p>
    <w:p>
      <w:pPr>
        <w:spacing w:line="360" w:after="210" w:lineRule="auto"/>
      </w:pPr>
      <w:r>
        <w:rPr>
          <w:rFonts w:eastAsia="georgia" w:cs="georgia" w:ascii="georgia" w:hAnsi="georgia"/>
          <w:color w:val="000000"/>
        </w:rPr>
        <w:t xml:space="preserve">【图2 市政水务新范式要素关系框图（文字描述）】</w:t>
      </w:r>
    </w:p>
    <w:p>
      <w:pPr>
        <w:numPr>
          <w:ilvl w:val="0"/>
          <w:numId w:val="7"/>
        </w:numPr>
        <w:spacing w:line="360" w:before="105" w:after="105" w:lineRule="auto"/>
      </w:pPr>
      <w:r>
        <w:rPr>
          <w:rFonts w:eastAsia="georgia" w:cs="georgia" w:ascii="georgia" w:hAnsi="georgia"/>
          <w:color w:val="000000"/>
          <w:sz w:val="21"/>
        </w:rPr>
        <w:t xml:space="preserve">上层框：国家目标与规范（服务水平、成本恢复、环境与气候目标）。</w:t>
      </w:r>
    </w:p>
    <w:p>
      <w:pPr>
        <w:numPr>
          <w:ilvl w:val="0"/>
          <w:numId w:val="7"/>
        </w:numPr>
        <w:spacing w:line="360" w:before="105" w:after="105" w:lineRule="auto"/>
      </w:pPr>
      <w:r>
        <w:rPr>
          <w:rFonts w:eastAsia="georgia" w:cs="georgia" w:ascii="georgia" w:hAnsi="georgia"/>
          <w:color w:val="000000"/>
          <w:sz w:val="21"/>
        </w:rPr>
        <w:t xml:space="preserve">中层框（并列）：</w:t>
      </w:r>
    </w:p>
    <w:p>
      <w:pPr>
        <w:numPr>
          <w:ilvl w:val="1"/>
          <w:numId w:val="7"/>
        </w:numPr>
        <w:spacing w:line="360" w:before="105" w:after="105" w:lineRule="auto"/>
      </w:pPr>
      <w:r>
        <w:rPr>
          <w:rFonts w:eastAsia="georgia" w:cs="georgia" w:ascii="georgia" w:hAnsi="georgia"/>
          <w:color w:val="000000"/>
          <w:sz w:val="21"/>
        </w:rPr>
        <w:t xml:space="preserve">LCC与预算框架；</w:t>
      </w:r>
    </w:p>
    <w:p>
      <w:pPr>
        <w:numPr>
          <w:ilvl w:val="1"/>
          <w:numId w:val="7"/>
        </w:numPr>
        <w:spacing w:line="360" w:before="105" w:after="105" w:lineRule="auto"/>
      </w:pPr>
      <w:r>
        <w:rPr>
          <w:rFonts w:eastAsia="georgia" w:cs="georgia" w:ascii="georgia" w:hAnsi="georgia"/>
          <w:color w:val="000000"/>
          <w:sz w:val="21"/>
        </w:rPr>
        <w:t xml:space="preserve">绩效合同与监管体系；</w:t>
      </w:r>
    </w:p>
    <w:p>
      <w:pPr>
        <w:numPr>
          <w:ilvl w:val="1"/>
          <w:numId w:val="7"/>
        </w:numPr>
        <w:spacing w:line="360" w:before="105" w:after="105" w:lineRule="auto"/>
      </w:pPr>
      <w:r>
        <w:rPr>
          <w:rFonts w:eastAsia="georgia" w:cs="georgia" w:ascii="georgia" w:hAnsi="georgia"/>
          <w:color w:val="000000"/>
          <w:sz w:val="21"/>
        </w:rPr>
        <w:t xml:space="preserve">数字孪生与数据基础设施。</w:t>
      </w:r>
    </w:p>
    <w:p>
      <w:pPr>
        <w:numPr>
          <w:ilvl w:val="0"/>
          <w:numId w:val="7"/>
        </w:numPr>
        <w:spacing w:line="360" w:before="105" w:after="105" w:lineRule="auto"/>
      </w:pPr>
      <w:r>
        <w:rPr>
          <w:rFonts w:eastAsia="georgia" w:cs="georgia" w:ascii="georgia" w:hAnsi="georgia"/>
          <w:color w:val="000000"/>
          <w:sz w:val="21"/>
        </w:rPr>
        <w:t xml:space="preserve">底层框：供水–污水–雨水系统及BGI工程群。</w:t>
      </w:r>
    </w:p>
    <w:p>
      <w:pPr>
        <w:numPr>
          <w:ilvl w:val="0"/>
          <w:numId w:val="7"/>
        </w:numPr>
        <w:spacing w:line="360" w:before="105" w:after="105" w:lineRule="auto"/>
      </w:pPr>
      <w:r>
        <w:rPr>
          <w:rFonts w:eastAsia="georgia" w:cs="georgia" w:ascii="georgia" w:hAnsi="georgia"/>
          <w:color w:val="000000"/>
          <w:sz w:val="21"/>
        </w:rPr>
        <w:t xml:space="preserve">连接箭头：国家目标向中层输入约束与要求，中层再通过合同和数据驱动底层系统运行，底层绩效结果经监测反馈回中层与上层。</w:t>
      </w:r>
    </w:p>
    <w:p>
      <w:pPr>
        <w:spacing w:line="360" w:after="210" w:lineRule="auto"/>
      </w:pPr>
      <w:r>
        <w:rPr>
          <w:rFonts w:eastAsia="georgia" w:cs="georgia" w:ascii="georgia" w:hAnsi="georgia"/>
          <w:color w:val="000000"/>
        </w:rPr>
        <w:t xml:space="preserve">通过这种框图式的逻辑呈现，可以在一定程度上帮助决策者理解制度模块之间的耦合关系与协同潜力。</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十_风险_约束与实施节奏的辩证分析"/>
      <w:r>
        <w:rPr>
          <w:rFonts w:eastAsia="georgia" w:cs="georgia" w:ascii="georgia" w:hAnsi="georgia"/>
          <w:b/>
          <w:color w:val="000000"/>
          <w:sz w:val="24"/>
        </w:rPr>
        <w:t xml:space="preserve">十 风险、约束与实施节奏的辩证分析</w:t>
      </w:r>
      <w:bookmarkEnd w:id="102"/>
    </w:p>
    <w:p>
      <w:pPr>
        <w:spacing w:line="360" w:before="315" w:after="105" w:lineRule="auto"/>
        <w:ind w:left="-30"/>
        <w:jc w:val="left"/>
      </w:pPr>
      <w:bookmarkStart w:id="103" w:name="bm_10_1_方案潜在局限性与适用前提"/>
      <w:r>
        <w:rPr>
          <w:rFonts w:eastAsia="georgia" w:cs="georgia" w:ascii="georgia" w:hAnsi="georgia"/>
          <w:b/>
          <w:color w:val="000000"/>
          <w:sz w:val="24"/>
        </w:rPr>
        <w:t xml:space="preserve">10.1 方案潜在局限性与适用前提</w:t>
      </w:r>
      <w:bookmarkEnd w:id="103"/>
    </w:p>
    <w:p>
      <w:pPr>
        <w:spacing w:line="360" w:after="210" w:lineRule="auto"/>
      </w:pPr>
      <w:r>
        <w:rPr>
          <w:rFonts w:eastAsia="georgia" w:cs="georgia" w:ascii="georgia" w:hAnsi="georgia"/>
          <w:color w:val="000000"/>
        </w:rPr>
        <w:t xml:space="preserve">需要指出的是，尽管国际与国内专家普遍主张向绩效导向和LCC管理转型，但该高效方案在实施中仍然面临多方面风险和前提条件：</w:t>
      </w:r>
    </w:p>
    <w:p>
      <w:pPr>
        <w:numPr>
          <w:ilvl w:val="0"/>
          <w:numId w:val="8"/>
        </w:numPr>
        <w:spacing w:line="360" w:before="105" w:after="105" w:lineRule="auto"/>
      </w:pPr>
      <w:r>
        <w:rPr>
          <w:rFonts w:eastAsia="georgia" w:cs="georgia" w:ascii="georgia" w:hAnsi="georgia"/>
          <w:color w:val="000000"/>
          <w:sz w:val="21"/>
        </w:rPr>
        <w:t xml:space="preserve">能力约束：PBC、数字孪生和LCC测算均对地方政府和水务企业的专业能力提出较高要求，在中小城市和基层单位可能存在明显的人才与技术短板。</w:t>
      </w:r>
      <w:bookmarkStart w:id="104" w:name="fnref5_2"/>
      <w:bookmarkEnd w:id="104"/>
      <w:hyperlink w:anchor="fn5">
        <w:r>
          <w:rPr>
            <w:rFonts w:eastAsia="helvetica neue" w:cs="helvetica neue" w:ascii="helvetica neue" w:hAnsi="helvetica neue"/>
            <w:color w:val="#000"/>
            <w:sz w:val="21"/>
            <w:u w:val="single"/>
            <w:vertAlign w:val="superscript"/>
          </w:rPr>
          <w:t xml:space="preserve">[5]</w:t>
        </w:r>
      </w:hyperlink>
      <w:bookmarkStart w:id="105" w:name="fnref6_4"/>
      <w:bookmarkEnd w:id="105"/>
      <w:hyperlink w:anchor="fn6">
        <w:r>
          <w:rPr>
            <w:rFonts w:eastAsia="helvetica neue" w:cs="helvetica neue" w:ascii="helvetica neue" w:hAnsi="helvetica neue"/>
            <w:color w:val="#000"/>
            <w:sz w:val="21"/>
            <w:u w:val="single"/>
            <w:vertAlign w:val="superscript"/>
          </w:rPr>
          <w:t xml:space="preserve">[6]</w:t>
        </w:r>
      </w:hyperlink>
    </w:p>
    <w:p>
      <w:pPr>
        <w:numPr>
          <w:ilvl w:val="0"/>
          <w:numId w:val="8"/>
        </w:numPr>
        <w:spacing w:line="360" w:before="105" w:after="105" w:lineRule="auto"/>
      </w:pPr>
      <w:r>
        <w:rPr>
          <w:rFonts w:eastAsia="georgia" w:cs="georgia" w:ascii="georgia" w:hAnsi="georgia"/>
          <w:color w:val="000000"/>
          <w:sz w:val="21"/>
        </w:rPr>
        <w:t xml:space="preserve">数据基础：若基础资产台账、管网信息和运行数据质量不足，则数字孪生模型和绩效核算的可靠性有限，可能引发合同争议与监管困境。</w:t>
      </w:r>
      <w:bookmarkStart w:id="106" w:name="fnref16_2"/>
      <w:bookmarkEnd w:id="106"/>
      <w:hyperlink w:anchor="fn16">
        <w:r>
          <w:rPr>
            <w:rFonts w:eastAsia="helvetica neue" w:cs="helvetica neue" w:ascii="helvetica neue" w:hAnsi="helvetica neue"/>
            <w:color w:val="#000"/>
            <w:sz w:val="21"/>
            <w:u w:val="single"/>
            <w:vertAlign w:val="superscript"/>
          </w:rPr>
          <w:t xml:space="preserve">[16]</w:t>
        </w:r>
      </w:hyperlink>
      <w:bookmarkStart w:id="107" w:name="fnref19_2"/>
      <w:bookmarkEnd w:id="107"/>
      <w:hyperlink w:anchor="fn19">
        <w:r>
          <w:rPr>
            <w:rFonts w:eastAsia="helvetica neue" w:cs="helvetica neue" w:ascii="helvetica neue" w:hAnsi="helvetica neue"/>
            <w:color w:val="#000"/>
            <w:sz w:val="21"/>
            <w:u w:val="single"/>
            <w:vertAlign w:val="superscript"/>
          </w:rPr>
          <w:t xml:space="preserve">[19]</w:t>
        </w:r>
      </w:hyperlink>
    </w:p>
    <w:p>
      <w:pPr>
        <w:numPr>
          <w:ilvl w:val="0"/>
          <w:numId w:val="8"/>
        </w:numPr>
        <w:spacing w:line="360" w:before="105" w:after="105" w:lineRule="auto"/>
      </w:pPr>
      <w:r>
        <w:rPr>
          <w:rFonts w:eastAsia="georgia" w:cs="georgia" w:ascii="georgia" w:hAnsi="georgia"/>
          <w:color w:val="000000"/>
          <w:sz w:val="21"/>
        </w:rPr>
        <w:t xml:space="preserve">政治与社会可接受性：水价调整、资金结构变化和风险重新分配均可能引发公众和利益相关方关注，需要在一定程度上通过渐进实施、信息披露与补贴政策加以平衡。</w:t>
      </w:r>
      <w:bookmarkStart w:id="108" w:name="fnref14_1"/>
      <w:bookmarkEnd w:id="108"/>
      <w:hyperlink w:anchor="fn14">
        <w:r>
          <w:rPr>
            <w:rFonts w:eastAsia="helvetica neue" w:cs="helvetica neue" w:ascii="helvetica neue" w:hAnsi="helvetica neue"/>
            <w:color w:val="#000"/>
            <w:sz w:val="21"/>
            <w:u w:val="single"/>
            <w:vertAlign w:val="superscript"/>
          </w:rPr>
          <w:t xml:space="preserve">[14]</w:t>
        </w:r>
      </w:hyperlink>
      <w:bookmarkStart w:id="109" w:name="fnref2_6"/>
      <w:bookmarkEnd w:id="10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因此，本纲要强调“关键领域突破+配套渐进”的改革节奏，即先在部分具备条件的地区和环节开展试点，通过实践优化和总结经验，再逐步推广到全国范围。</w:t>
      </w:r>
    </w:p>
    <w:p>
      <w:pPr>
        <w:spacing w:line="360" w:before="315" w:after="105" w:lineRule="auto"/>
        <w:ind w:left="-30"/>
        <w:jc w:val="left"/>
      </w:pPr>
      <w:bookmarkStart w:id="110" w:name="bm_10_2_与气候适应_循环经济和智慧城市的对接"/>
      <w:r>
        <w:rPr>
          <w:rFonts w:eastAsia="georgia" w:cs="georgia" w:ascii="georgia" w:hAnsi="georgia"/>
          <w:b/>
          <w:color w:val="000000"/>
          <w:sz w:val="24"/>
        </w:rPr>
        <w:t xml:space="preserve">10.2 与气候适应、循环经济和智慧城市的对接</w:t>
      </w:r>
      <w:bookmarkEnd w:id="110"/>
    </w:p>
    <w:p>
      <w:pPr>
        <w:spacing w:line="360" w:after="210" w:lineRule="auto"/>
      </w:pPr>
      <w:r>
        <w:rPr>
          <w:rFonts w:eastAsia="georgia" w:cs="georgia" w:ascii="georgia" w:hAnsi="georgia"/>
          <w:color w:val="000000"/>
        </w:rPr>
        <w:t xml:space="preserve">从更宏大的政策背景看，水务管理改革与国家在气候变化适应、碳达峰碳中和、循环经济和智慧城市等领域的战略高度相关。 一般而言，通过雨污系统协同、再生水利用和污泥资源化，可以在降低长期运营和改造成本的同时，为城市提供新的水源与能源，形成“水–能–物质循环”闭环。</w:t>
      </w:r>
      <w:bookmarkStart w:id="111" w:name="fnref7_4"/>
      <w:bookmarkEnd w:id="111"/>
      <w:hyperlink w:anchor="fn7">
        <w:r>
          <w:rPr>
            <w:rFonts w:eastAsia="helvetica neue" w:cs="helvetica neue" w:ascii="helvetica neue" w:hAnsi="helvetica neue"/>
            <w:color w:val="#000"/>
            <w:u w:val="single"/>
            <w:vertAlign w:val="superscript"/>
          </w:rPr>
          <w:t xml:space="preserve">[7]</w:t>
        </w:r>
      </w:hyperlink>
      <w:bookmarkStart w:id="112" w:name="fnref12_2"/>
      <w:bookmarkEnd w:id="112"/>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color w:val="000000"/>
        </w:rPr>
        <w:t xml:space="preserve">智慧水务和数字孪生作为城市数字基础设施的一部分，与智慧交通、能源和安全系统协同，有助于在极端天气和突发事件中实现综合指挥和多部门联动，提升整个城市系统的韧性和应急响应能力。 这意味着，水务管理体制改革不宜被视为孤立工程，而应被嵌入国家和地方的整体治理现代化进程。</w:t>
      </w:r>
      <w:bookmarkStart w:id="113" w:name="fnref17_3"/>
      <w:bookmarkEnd w:id="113"/>
      <w:hyperlink w:anchor="fn17">
        <w:r>
          <w:rPr>
            <w:rFonts w:eastAsia="helvetica neue" w:cs="helvetica neue" w:ascii="helvetica neue" w:hAnsi="helvetica neue"/>
            <w:color w:val="#000"/>
            <w:u w:val="single"/>
            <w:vertAlign w:val="superscript"/>
          </w:rPr>
          <w:t xml:space="preserve">[17]</w:t>
        </w:r>
      </w:hyperlink>
      <w:bookmarkStart w:id="114" w:name="fnref19_3"/>
      <w:bookmarkEnd w:id="114"/>
      <w:hyperlink w:anchor="fn19">
        <w:r>
          <w:rPr>
            <w:rFonts w:eastAsia="helvetica neue" w:cs="helvetica neue" w:ascii="helvetica neue" w:hAnsi="helvetica neue"/>
            <w:color w:val="#000"/>
            <w:u w:val="single"/>
            <w:vertAlign w:val="superscript"/>
          </w:rPr>
          <w:t xml:space="preserve">[19]</w:t>
        </w:r>
      </w:hyperlink>
      <w:bookmarkStart w:id="115" w:name="fnref16_3"/>
      <w:bookmarkEnd w:id="115"/>
      <w:hyperlink w:anchor="fn16">
        <w:r>
          <w:rPr>
            <w:rFonts w:eastAsia="helvetica neue" w:cs="helvetica neue" w:ascii="helvetica neue" w:hAnsi="helvetica neue"/>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十一_分阶段实施路线与重点抓手"/>
      <w:r>
        <w:rPr>
          <w:rFonts w:eastAsia="georgia" w:cs="georgia" w:ascii="georgia" w:hAnsi="georgia"/>
          <w:b/>
          <w:color w:val="000000"/>
          <w:sz w:val="24"/>
        </w:rPr>
        <w:t xml:space="preserve">十一 分阶段实施路线与重点抓手</w:t>
      </w:r>
      <w:bookmarkEnd w:id="116"/>
    </w:p>
    <w:p>
      <w:pPr>
        <w:spacing w:line="360" w:before="315" w:after="105" w:lineRule="auto"/>
        <w:ind w:left="-30"/>
        <w:jc w:val="left"/>
      </w:pPr>
      <w:bookmarkStart w:id="117" w:name="bm_11_1_短期_1_3年_制度与数据基础夯实"/>
      <w:r>
        <w:rPr>
          <w:rFonts w:eastAsia="georgia" w:cs="georgia" w:ascii="georgia" w:hAnsi="georgia"/>
          <w:b/>
          <w:color w:val="000000"/>
          <w:sz w:val="24"/>
        </w:rPr>
        <w:t xml:space="preserve">11.1 短期（1–3年）：制度与数据基础夯实</w:t>
      </w:r>
      <w:bookmarkEnd w:id="117"/>
    </w:p>
    <w:p>
      <w:pPr>
        <w:numPr>
          <w:ilvl w:val="0"/>
          <w:numId w:val="9"/>
        </w:numPr>
        <w:spacing w:line="360" w:before="105" w:after="105" w:lineRule="auto"/>
      </w:pPr>
      <w:r>
        <w:rPr>
          <w:rFonts w:eastAsia="georgia" w:cs="georgia" w:ascii="georgia" w:hAnsi="georgia"/>
          <w:color w:val="000000"/>
          <w:sz w:val="21"/>
        </w:rPr>
        <w:t xml:space="preserve">制定国家层面的市政水务服务与成本恢复指导意见，明确“建–运–维–改–应急”一体化LCC原则。</w:t>
      </w:r>
    </w:p>
    <w:p>
      <w:pPr>
        <w:numPr>
          <w:ilvl w:val="0"/>
          <w:numId w:val="9"/>
        </w:numPr>
        <w:spacing w:line="360" w:before="105" w:after="105" w:lineRule="auto"/>
      </w:pPr>
      <w:r>
        <w:rPr>
          <w:rFonts w:eastAsia="georgia" w:cs="georgia" w:ascii="georgia" w:hAnsi="georgia"/>
          <w:color w:val="000000"/>
          <w:sz w:val="21"/>
        </w:rPr>
        <w:t xml:space="preserve">在若干具备条件的城市开展NRW PBC、能效PBC和小规模IWU-PBC试点，重点聚焦供水系统与重点流域污水系统。</w:t>
      </w:r>
      <w:bookmarkStart w:id="118" w:name="fnref15_2"/>
      <w:bookmarkEnd w:id="118"/>
      <w:hyperlink w:anchor="fn15">
        <w:r>
          <w:rPr>
            <w:rFonts w:eastAsia="helvetica neue" w:cs="helvetica neue" w:ascii="helvetica neue" w:hAnsi="helvetica neue"/>
            <w:color w:val="#000"/>
            <w:sz w:val="21"/>
            <w:u w:val="single"/>
            <w:vertAlign w:val="superscript"/>
          </w:rPr>
          <w:t xml:space="preserve">[15]</w:t>
        </w:r>
      </w:hyperlink>
      <w:bookmarkStart w:id="119" w:name="fnref11_6"/>
      <w:bookmarkEnd w:id="119"/>
      <w:hyperlink w:anchor="fn11">
        <w:r>
          <w:rPr>
            <w:rFonts w:eastAsia="helvetica neue" w:cs="helvetica neue" w:ascii="helvetica neue" w:hAnsi="helvetica neue"/>
            <w:color w:val="#000"/>
            <w:sz w:val="21"/>
            <w:u w:val="single"/>
            <w:vertAlign w:val="superscript"/>
          </w:rPr>
          <w:t xml:space="preserve">[11]</w:t>
        </w:r>
      </w:hyperlink>
    </w:p>
    <w:p>
      <w:pPr>
        <w:numPr>
          <w:ilvl w:val="0"/>
          <w:numId w:val="9"/>
        </w:numPr>
        <w:spacing w:line="360" w:before="105" w:after="105" w:lineRule="auto"/>
      </w:pPr>
      <w:r>
        <w:rPr>
          <w:rFonts w:eastAsia="georgia" w:cs="georgia" w:ascii="georgia" w:hAnsi="georgia"/>
          <w:color w:val="000000"/>
          <w:sz w:val="21"/>
        </w:rPr>
        <w:t xml:space="preserve">建设全国水务信息平台和部分城市数字孪生原型系统，梳理和补齐资产台账与关键运行数据。</w:t>
      </w:r>
    </w:p>
    <w:p>
      <w:pPr>
        <w:spacing w:line="360" w:before="315" w:after="105" w:lineRule="auto"/>
        <w:ind w:left="-30"/>
        <w:jc w:val="left"/>
      </w:pPr>
      <w:bookmarkStart w:id="120" w:name="bm_11_2_中期_3_7年_模式成型与区域推广"/>
      <w:r>
        <w:rPr>
          <w:rFonts w:eastAsia="georgia" w:cs="georgia" w:ascii="georgia" w:hAnsi="georgia"/>
          <w:b/>
          <w:color w:val="000000"/>
          <w:sz w:val="24"/>
        </w:rPr>
        <w:t xml:space="preserve">11.2 中期（3–7年）：模式成型与区域推广</w:t>
      </w:r>
      <w:bookmarkEnd w:id="120"/>
    </w:p>
    <w:p>
      <w:pPr>
        <w:numPr>
          <w:ilvl w:val="0"/>
          <w:numId w:val="10"/>
        </w:numPr>
        <w:spacing w:line="360" w:before="105" w:after="105" w:lineRule="auto"/>
      </w:pPr>
      <w:r>
        <w:rPr>
          <w:rFonts w:eastAsia="georgia" w:cs="georgia" w:ascii="georgia" w:hAnsi="georgia"/>
          <w:color w:val="000000"/>
          <w:sz w:val="21"/>
        </w:rPr>
        <w:t xml:space="preserve">在试点基础上，总结并发布IWU-PBC与LCC评估的标准化指南，逐步将“年度核拨”转化为“多年度综合支出框架+绩效考核”。</w:t>
      </w:r>
    </w:p>
    <w:p>
      <w:pPr>
        <w:numPr>
          <w:ilvl w:val="0"/>
          <w:numId w:val="10"/>
        </w:numPr>
        <w:spacing w:line="360" w:before="105" w:after="105" w:lineRule="auto"/>
      </w:pPr>
      <w:r>
        <w:rPr>
          <w:rFonts w:eastAsia="georgia" w:cs="georgia" w:ascii="georgia" w:hAnsi="georgia"/>
          <w:color w:val="000000"/>
          <w:sz w:val="21"/>
        </w:rPr>
        <w:t xml:space="preserve">在重点流域和城市群内推广雨污系统协同规划与BGI一体化建设，通过PBC等机制将BGI运维与传统灰色基础设施运维一并纳入绩效考核。</w:t>
      </w:r>
    </w:p>
    <w:p>
      <w:pPr>
        <w:numPr>
          <w:ilvl w:val="0"/>
          <w:numId w:val="10"/>
        </w:numPr>
        <w:spacing w:line="360" w:before="105" w:after="105" w:lineRule="auto"/>
      </w:pPr>
      <w:r>
        <w:rPr>
          <w:rFonts w:eastAsia="georgia" w:cs="georgia" w:ascii="georgia" w:hAnsi="georgia"/>
          <w:color w:val="000000"/>
          <w:sz w:val="21"/>
        </w:rPr>
        <w:t xml:space="preserve">建立与国家气候适应与减排目标对接的水务韧性指标，将应急成本与韧性投资纳入中长期预算安排。</w:t>
      </w:r>
    </w:p>
    <w:p>
      <w:pPr>
        <w:spacing w:line="360" w:before="315" w:after="105" w:lineRule="auto"/>
        <w:ind w:left="-30"/>
        <w:jc w:val="left"/>
      </w:pPr>
      <w:bookmarkStart w:id="121" w:name="bm_11_3_长期_7年以上_全国范式与持续优化"/>
      <w:r>
        <w:rPr>
          <w:rFonts w:eastAsia="georgia" w:cs="georgia" w:ascii="georgia" w:hAnsi="georgia"/>
          <w:b/>
          <w:color w:val="000000"/>
          <w:sz w:val="24"/>
        </w:rPr>
        <w:t xml:space="preserve">11.3 长期（7年以上）：全国范式与持续优化</w:t>
      </w:r>
      <w:bookmarkEnd w:id="121"/>
    </w:p>
    <w:p>
      <w:pPr>
        <w:numPr>
          <w:ilvl w:val="0"/>
          <w:numId w:val="11"/>
        </w:numPr>
        <w:spacing w:line="360" w:before="105" w:after="105" w:lineRule="auto"/>
      </w:pPr>
      <w:r>
        <w:rPr>
          <w:rFonts w:eastAsia="georgia" w:cs="georgia" w:ascii="georgia" w:hAnsi="georgia"/>
          <w:color w:val="000000"/>
          <w:sz w:val="21"/>
        </w:rPr>
        <w:t xml:space="preserve">在全国范围内基本完成从核拨制为主到绩效–LCC–数字孪生新范式的制度转型，实现财政效率提升与服务质量改善的“可量化成果”。</w:t>
      </w:r>
    </w:p>
    <w:p>
      <w:pPr>
        <w:numPr>
          <w:ilvl w:val="0"/>
          <w:numId w:val="11"/>
        </w:numPr>
        <w:spacing w:line="360" w:before="105" w:after="105" w:lineRule="auto"/>
      </w:pPr>
      <w:r>
        <w:rPr>
          <w:rFonts w:eastAsia="georgia" w:cs="georgia" w:ascii="georgia" w:hAnsi="georgia"/>
          <w:color w:val="000000"/>
          <w:sz w:val="21"/>
        </w:rPr>
        <w:t xml:space="preserve">形成覆盖供水、污水与雨水系统的全国性数字孪生网络，推动跨区域调度、风险预警与协同应急。</w:t>
      </w:r>
    </w:p>
    <w:p>
      <w:pPr>
        <w:numPr>
          <w:ilvl w:val="0"/>
          <w:numId w:val="11"/>
        </w:numPr>
        <w:spacing w:line="360" w:before="105" w:after="105" w:lineRule="auto"/>
      </w:pPr>
      <w:r>
        <w:rPr>
          <w:rFonts w:eastAsia="georgia" w:cs="georgia" w:ascii="georgia" w:hAnsi="georgia"/>
          <w:color w:val="000000"/>
          <w:sz w:val="21"/>
        </w:rPr>
        <w:t xml:space="preserve">持续根据技术进步和气候情景变化调整LCC参数和绩效指标，保持市政水务管理体系的动态适应性与前瞻性。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十二_对决策层的若干政策建议要点"/>
      <w:r>
        <w:rPr>
          <w:rFonts w:eastAsia="georgia" w:cs="georgia" w:ascii="georgia" w:hAnsi="georgia"/>
          <w:b/>
          <w:color w:val="000000"/>
          <w:sz w:val="24"/>
        </w:rPr>
        <w:t xml:space="preserve">十二 对决策层的若干政策建议要点</w:t>
      </w:r>
      <w:bookmarkEnd w:id="122"/>
    </w:p>
    <w:p>
      <w:pPr>
        <w:spacing w:line="360" w:after="210" w:lineRule="auto"/>
      </w:pPr>
      <w:r>
        <w:rPr>
          <w:rFonts w:eastAsia="georgia" w:cs="georgia" w:ascii="georgia" w:hAnsi="georgia"/>
          <w:color w:val="000000"/>
        </w:rPr>
        <w:t xml:space="preserve">在综合上述分析和国际经验的基础上，本纲要在一定程度上建议决策层重点考虑以下方向（仅列要点，具体方案可进一步研究细化）：</w:t>
      </w:r>
    </w:p>
    <w:p>
      <w:pPr>
        <w:numPr>
          <w:ilvl w:val="0"/>
          <w:numId w:val="12"/>
        </w:numPr>
        <w:spacing w:line="360" w:after="210" w:lineRule="auto"/>
      </w:pPr>
      <w:r>
        <w:rPr>
          <w:rFonts w:eastAsia="georgia" w:cs="georgia" w:ascii="georgia" w:hAnsi="georgia"/>
          <w:color w:val="000000"/>
          <w:sz w:val="21"/>
        </w:rPr>
        <w:t xml:space="preserve">将“全生命周期成本核算（含建设、运营、维护、改造与应急）”作为市政水务项目立项与预算评审的必备约束条件，逐步改变“重建轻运维”的投资倾向。</w:t>
      </w:r>
      <w:bookmarkStart w:id="123" w:name="fnref1_4"/>
      <w:bookmarkEnd w:id="123"/>
      <w:hyperlink w:anchor="fn1">
        <w:r>
          <w:rPr>
            <w:rFonts w:eastAsia="helvetica neue" w:cs="helvetica neue" w:ascii="helvetica neue" w:hAnsi="helvetica neue"/>
            <w:color w:val="#000"/>
            <w:sz w:val="21"/>
            <w:u w:val="single"/>
            <w:vertAlign w:val="superscript"/>
          </w:rPr>
          <w:t xml:space="preserve">[1]</w:t>
        </w:r>
      </w:hyperlink>
      <w:bookmarkStart w:id="124" w:name="fnref3_10"/>
      <w:bookmarkEnd w:id="124"/>
      <w:hyperlink w:anchor="fn3">
        <w:r>
          <w:rPr>
            <w:rFonts w:eastAsia="helvetica neue" w:cs="helvetica neue" w:ascii="helvetica neue" w:hAnsi="helvetica neue"/>
            <w:color w:val="#000"/>
            <w:sz w:val="21"/>
            <w:u w:val="single"/>
            <w:vertAlign w:val="superscript"/>
          </w:rPr>
          <w:t xml:space="preserve">[3]</w:t>
        </w:r>
      </w:hyperlink>
    </w:p>
    <w:p>
      <w:pPr>
        <w:numPr>
          <w:ilvl w:val="0"/>
          <w:numId w:val="12"/>
        </w:numPr>
        <w:spacing w:line="360" w:after="210" w:lineRule="auto"/>
      </w:pPr>
      <w:r>
        <w:rPr>
          <w:rFonts w:eastAsia="georgia" w:cs="georgia" w:ascii="georgia" w:hAnsi="georgia"/>
          <w:color w:val="000000"/>
          <w:sz w:val="21"/>
        </w:rPr>
        <w:t xml:space="preserve">以控制财政支出、提高资金使用效率为核心政治目标，通过多年度支出框架和绩效挂钩转移支付，替代单一年度核拨制，形成结果导向的财政支持机制。</w:t>
      </w:r>
      <w:bookmarkStart w:id="125" w:name="fnref3_11"/>
      <w:bookmarkEnd w:id="125"/>
      <w:hyperlink w:anchor="fn3">
        <w:r>
          <w:rPr>
            <w:rFonts w:eastAsia="helvetica neue" w:cs="helvetica neue" w:ascii="helvetica neue" w:hAnsi="helvetica neue"/>
            <w:color w:val="#000"/>
            <w:sz w:val="21"/>
            <w:u w:val="single"/>
            <w:vertAlign w:val="superscript"/>
          </w:rPr>
          <w:t xml:space="preserve">[3]</w:t>
        </w:r>
      </w:hyperlink>
      <w:bookmarkStart w:id="126" w:name="fnref2_7"/>
      <w:bookmarkEnd w:id="126"/>
      <w:hyperlink w:anchor="fn2">
        <w:r>
          <w:rPr>
            <w:rFonts w:eastAsia="helvetica neue" w:cs="helvetica neue" w:ascii="helvetica neue" w:hAnsi="helvetica neue"/>
            <w:color w:val="#000"/>
            <w:sz w:val="21"/>
            <w:u w:val="single"/>
            <w:vertAlign w:val="superscript"/>
          </w:rPr>
          <w:t xml:space="preserve">[2]</w:t>
        </w:r>
      </w:hyperlink>
    </w:p>
    <w:p>
      <w:pPr>
        <w:numPr>
          <w:ilvl w:val="0"/>
          <w:numId w:val="12"/>
        </w:numPr>
        <w:spacing w:line="360" w:after="210" w:lineRule="auto"/>
      </w:pPr>
      <w:r>
        <w:rPr>
          <w:rFonts w:eastAsia="georgia" w:cs="georgia" w:ascii="georgia" w:hAnsi="georgia"/>
          <w:color w:val="000000"/>
          <w:sz w:val="21"/>
        </w:rPr>
        <w:t xml:space="preserve">率先在非收益水治理、能耗优化和关键流域污水系统中推行PBC和IWU-PBC试点，验证“以绩效换效率、以效率换空间”的政策逻辑，同时严控合同复杂度和风险外溢。</w:t>
      </w:r>
    </w:p>
    <w:p>
      <w:pPr>
        <w:numPr>
          <w:ilvl w:val="0"/>
          <w:numId w:val="12"/>
        </w:numPr>
        <w:spacing w:line="360" w:after="210" w:lineRule="auto"/>
      </w:pPr>
      <w:r>
        <w:rPr>
          <w:rFonts w:eastAsia="georgia" w:cs="georgia" w:ascii="georgia" w:hAnsi="georgia"/>
          <w:color w:val="000000"/>
          <w:sz w:val="21"/>
        </w:rPr>
        <w:t xml:space="preserve">将雨污系统协同和BGI建设纳入统一规划和绩效体系，明确其在降低长期运营成本与应急成本方面的LCC效益，避免碎片化投资。</w:t>
      </w:r>
    </w:p>
    <w:p>
      <w:pPr>
        <w:numPr>
          <w:ilvl w:val="0"/>
          <w:numId w:val="12"/>
        </w:numPr>
        <w:spacing w:line="360" w:after="210" w:lineRule="auto"/>
      </w:pPr>
      <w:r>
        <w:rPr>
          <w:rFonts w:eastAsia="georgia" w:cs="georgia" w:ascii="georgia" w:hAnsi="georgia"/>
          <w:color w:val="000000"/>
          <w:sz w:val="21"/>
        </w:rPr>
        <w:t xml:space="preserve">将智慧水务和数字孪生提升为国家和地方数字基础设施建设的重要组成部分，通过专门资金和标准体系，支撑绩效合同执行、风险管理和政策评估。</w:t>
      </w:r>
    </w:p>
    <w:p>
      <w:pPr>
        <w:numPr>
          <w:ilvl w:val="0"/>
          <w:numId w:val="12"/>
        </w:numPr>
        <w:spacing w:line="360" w:after="210" w:lineRule="auto"/>
      </w:pPr>
      <w:r>
        <w:rPr>
          <w:rFonts w:eastAsia="georgia" w:cs="georgia" w:ascii="georgia" w:hAnsi="georgia"/>
          <w:color w:val="000000"/>
          <w:sz w:val="21"/>
        </w:rPr>
        <w:t xml:space="preserve">强化公众参与与信息披露，通过发布服务质量、成本结构和绩效指标，增强改革的透明度与社会可接受性，同时为水价和财政政策调整提供社会基础。</w:t>
      </w:r>
      <w:bookmarkStart w:id="127" w:name="fnref6_5"/>
      <w:bookmarkEnd w:id="127"/>
      <w:hyperlink w:anchor="fn6">
        <w:r>
          <w:rPr>
            <w:rFonts w:eastAsia="helvetica neue" w:cs="helvetica neue" w:ascii="helvetica neue" w:hAnsi="helvetica neue"/>
            <w:color w:val="#000"/>
            <w:sz w:val="21"/>
            <w:u w:val="single"/>
            <w:vertAlign w:val="superscript"/>
          </w:rPr>
          <w:t xml:space="preserve">[6]</w:t>
        </w:r>
      </w:hyperlink>
      <w:bookmarkStart w:id="128" w:name="fnref14_2"/>
      <w:bookmarkEnd w:id="128"/>
      <w:hyperlink w:anchor="fn14">
        <w:r>
          <w:rPr>
            <w:rFonts w:eastAsia="helvetica neue" w:cs="helvetica neue" w:ascii="helvetica neue" w:hAnsi="helvetica neue"/>
            <w:color w:val="#000"/>
            <w:sz w:val="21"/>
            <w:u w:val="single"/>
            <w:vertAlign w:val="superscript"/>
          </w:rPr>
          <w:t xml:space="preserve">[14]</w:t>
        </w:r>
      </w:hyperlink>
    </w:p>
    <w:p>
      <w:pPr>
        <w:spacing w:line="360" w:after="210" w:lineRule="auto"/>
      </w:pPr>
      <w:r>
        <w:rPr>
          <w:rFonts w:eastAsia="georgia" w:cs="georgia" w:ascii="georgia" w:hAnsi="georgia"/>
          <w:color w:val="000000"/>
        </w:rPr>
        <w:t xml:space="preserve">在总体上，本纲要所提出的“高效方案”既是对现有核拨制的系统性修正，也是向符合国际趋势、契合我国财政与治理改革方向的新范式过渡的路径设计，仍有必要在更多地区和情境中通过试点与研究进一步检验和完善。</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9" w:name="fn1"/>
    <w:bookmarkEnd w:id="129"/>
    <w:p>
      <w:pPr>
        <w:numPr>
          <w:ilvl w:val="0"/>
          <w:numId w:val="14"/>
        </w:numPr>
        <w:spacing w:line="360" w:after="210" w:lineRule="auto"/>
      </w:pPr>
      <w:hyperlink r:id="rId6">
        <w:r>
          <w:rPr>
            <w:rFonts w:eastAsia="helvetica neue" w:cs="helvetica neue" w:ascii="helvetica neue" w:hAnsi="helvetica neue"/>
            <w:color w:val="#000"/>
            <w:sz w:val="18"/>
            <w:u w:val="single"/>
          </w:rPr>
          <w:t xml:space="preserve">https://www.gwp.org/globalassets/global/toolbox/references/managing-water-for-all.-an-oecd-perspective-on-pricing-and-financing-oecd-2009.pdf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0" w:name="fn2"/>
    <w:bookmarkEnd w:id="130"/>
    <w:p>
      <w:pPr>
        <w:numPr>
          <w:ilvl w:val="0"/>
          <w:numId w:val="14"/>
        </w:numPr>
        <w:spacing w:line="360" w:after="210" w:lineRule="auto"/>
      </w:pPr>
      <w:hyperlink r:id="rId7">
        <w:r>
          <w:rPr>
            <w:rFonts w:eastAsia="helvetica neue" w:cs="helvetica neue" w:ascii="helvetica neue" w:hAnsi="helvetica neue"/>
            <w:color w:val="#000"/>
            <w:sz w:val="18"/>
            <w:u w:val="single"/>
          </w:rPr>
          <w:t xml:space="preserve">https://www.oecd.org/content/dam/oecd/en/publications/reports/2024/05/cost-recovery-for-water-services-under-the-water-framework-directive_fe64e164/e2a363e3-en.pdf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1" w:name="fn3"/>
    <w:bookmarkEnd w:id="131"/>
    <w:p>
      <w:pPr>
        <w:numPr>
          <w:ilvl w:val="0"/>
          <w:numId w:val="14"/>
        </w:numPr>
        <w:spacing w:line="360" w:after="210" w:lineRule="auto"/>
      </w:pPr>
      <w:hyperlink r:id="rId8">
        <w:r>
          <w:rPr>
            <w:rFonts w:eastAsia="helvetica neue" w:cs="helvetica neue" w:ascii="helvetica neue" w:hAnsi="helvetica neue"/>
            <w:color w:val="#000"/>
            <w:sz w:val="18"/>
            <w:u w:val="single"/>
          </w:rPr>
          <w:t xml:space="preserve">https://www.worldwatercouncil.org/sites/default/files/2017-10/WWC_OECD_Water-fit-to-finance_Report.pdf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2" w:name="fn4"/>
    <w:bookmarkEnd w:id="132"/>
    <w:p>
      <w:pPr>
        <w:numPr>
          <w:ilvl w:val="0"/>
          <w:numId w:val="14"/>
        </w:numPr>
        <w:spacing w:line="360" w:after="210" w:lineRule="auto"/>
      </w:pPr>
      <w:hyperlink r:id="rId9">
        <w:r>
          <w:rPr>
            <w:rFonts w:eastAsia="helvetica neue" w:cs="helvetica neue" w:ascii="helvetica neue" w:hAnsi="helvetica neue"/>
            <w:color w:val="#000"/>
            <w:sz w:val="18"/>
            <w:u w:val="single"/>
          </w:rPr>
          <w:t xml:space="preserve">https://www.mdpi.com/2412-3811/6/1/9/pdf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3" w:name="fn5"/>
    <w:bookmarkEnd w:id="133"/>
    <w:p>
      <w:pPr>
        <w:numPr>
          <w:ilvl w:val="0"/>
          <w:numId w:val="14"/>
        </w:numPr>
        <w:spacing w:line="360" w:after="210" w:lineRule="auto"/>
      </w:pPr>
      <w:hyperlink r:id="rId10">
        <w:r>
          <w:rPr>
            <w:rFonts w:eastAsia="helvetica neue" w:cs="helvetica neue" w:ascii="helvetica neue" w:hAnsi="helvetica neue"/>
            <w:color w:val="#000"/>
            <w:sz w:val="18"/>
            <w:u w:val="single"/>
          </w:rPr>
          <w:t xml:space="preserve">https://www.mdpi.com/2071-1050/11/3/821/pdf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4" w:name="fn6"/>
    <w:bookmarkEnd w:id="134"/>
    <w:p>
      <w:pPr>
        <w:numPr>
          <w:ilvl w:val="0"/>
          <w:numId w:val="14"/>
        </w:numPr>
        <w:spacing w:line="360" w:after="210" w:lineRule="auto"/>
      </w:pPr>
      <w:hyperlink r:id="rId11">
        <w:r>
          <w:rPr>
            <w:rFonts w:eastAsia="helvetica neue" w:cs="helvetica neue" w:ascii="helvetica neue" w:hAnsi="helvetica neue"/>
            <w:color w:val="#000"/>
            <w:sz w:val="18"/>
            <w:u w:val="single"/>
          </w:rPr>
          <w:t xml:space="preserve">https://www.pseau.org/outils/ouvrages/world_bank_strengthening_governance_of_local_water_and_sanitation_utilities_for_improved_service_delivery_2017.pdf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5" w:name="fn7"/>
    <w:bookmarkEnd w:id="135"/>
    <w:p>
      <w:pPr>
        <w:numPr>
          <w:ilvl w:val="0"/>
          <w:numId w:val="14"/>
        </w:numPr>
        <w:spacing w:line="360" w:after="210" w:lineRule="auto"/>
      </w:pPr>
      <w:hyperlink r:id="rId12">
        <w:r>
          <w:rPr>
            <w:rFonts w:eastAsia="helvetica neue" w:cs="helvetica neue" w:ascii="helvetica neue" w:hAnsi="helvetica neue"/>
            <w:color w:val="#000"/>
            <w:sz w:val="18"/>
            <w:u w:val="single"/>
          </w:rPr>
          <w:t xml:space="preserve">https://iwaponline.com/wp/article-pdf/23/S1/31/979374/023000031.pdf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6" w:name="fn8"/>
    <w:bookmarkEnd w:id="136"/>
    <w:p>
      <w:pPr>
        <w:numPr>
          <w:ilvl w:val="0"/>
          <w:numId w:val="14"/>
        </w:numPr>
        <w:spacing w:line="360" w:after="210" w:lineRule="auto"/>
      </w:pPr>
      <w:hyperlink r:id="rId13">
        <w:r>
          <w:rPr>
            <w:rFonts w:eastAsia="helvetica neue" w:cs="helvetica neue" w:ascii="helvetica neue" w:hAnsi="helvetica neue"/>
            <w:color w:val="#000"/>
            <w:sz w:val="18"/>
            <w:u w:val="single"/>
          </w:rPr>
          <w:t xml:space="preserve">https://sdgs.un.org/partnerships/facing-cost-recovery-constrains-water-infrastructure-development-apply-bankable-and</w:t>
        </w:r>
      </w:hyperlink>
      <w:r>
        <w:rPr>
          <w:rFonts w:eastAsia="georgia" w:cs="georgia" w:ascii="georgia" w:hAnsi="georgia"/>
          <w:color w:val="000000"/>
          <w:sz w:val="18"/>
        </w:rPr>
        <w:t xml:space="preserve"> </w:t>
      </w:r>
    </w:p>
    <w:bookmarkStart w:id="137" w:name="fn9"/>
    <w:bookmarkEnd w:id="137"/>
    <w:p>
      <w:pPr>
        <w:numPr>
          <w:ilvl w:val="0"/>
          <w:numId w:val="14"/>
        </w:numPr>
        <w:spacing w:line="360" w:after="210" w:lineRule="auto"/>
      </w:pPr>
      <w:hyperlink r:id="rId14">
        <w:r>
          <w:rPr>
            <w:rFonts w:eastAsia="helvetica neue" w:cs="helvetica neue" w:ascii="helvetica neue" w:hAnsi="helvetica neue"/>
            <w:color w:val="#000"/>
            <w:sz w:val="18"/>
            <w:u w:val="single"/>
          </w:rPr>
          <w:t xml:space="preserve">https://openknowledge.worldbank.org/bitstream/10986/6605/1/461320PUB0Box3101OFFICIAL0USE0ONLY1.pdf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8" w:name="fn10"/>
    <w:bookmarkEnd w:id="138"/>
    <w:p>
      <w:pPr>
        <w:numPr>
          <w:ilvl w:val="0"/>
          <w:numId w:val="14"/>
        </w:numPr>
        <w:spacing w:line="360" w:after="210" w:lineRule="auto"/>
      </w:pPr>
      <w:hyperlink r:id="rId15">
        <w:r>
          <w:rPr>
            <w:rFonts w:eastAsia="helvetica neue" w:cs="helvetica neue" w:ascii="helvetica neue" w:hAnsi="helvetica neue"/>
            <w:color w:val="#000"/>
            <w:sz w:val="18"/>
            <w:u w:val="single"/>
          </w:rPr>
          <w:t xml:space="preserve">https://www.iwa-network.org/projects/performance-based-contracts-for-non-revenue-water-market-development/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9" w:name="fn11"/>
    <w:bookmarkEnd w:id="139"/>
    <w:p>
      <w:pPr>
        <w:numPr>
          <w:ilvl w:val="0"/>
          <w:numId w:val="14"/>
        </w:numPr>
        <w:spacing w:line="360" w:after="210" w:lineRule="auto"/>
      </w:pPr>
      <w:hyperlink r:id="rId16">
        <w:r>
          <w:rPr>
            <w:rFonts w:eastAsia="helvetica neue" w:cs="helvetica neue" w:ascii="helvetica neue" w:hAnsi="helvetica neue"/>
            <w:color w:val="#000"/>
            <w:sz w:val="18"/>
            <w:u w:val="single"/>
          </w:rPr>
          <w:t xml:space="preserve">https://documents1.worldbank.org/curated/en/314541537521949076/pdf/130050-20-9-2018-12-7-9-WPBCforNRWOperationalManualWEBPDF.pdf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0" w:name="fn12"/>
    <w:bookmarkEnd w:id="140"/>
    <w:p>
      <w:pPr>
        <w:numPr>
          <w:ilvl w:val="0"/>
          <w:numId w:val="14"/>
        </w:numPr>
        <w:spacing w:line="360" w:after="210" w:lineRule="auto"/>
      </w:pPr>
      <w:hyperlink r:id="rId17">
        <w:r>
          <w:rPr>
            <w:rFonts w:eastAsia="helvetica neue" w:cs="helvetica neue" w:ascii="helvetica neue" w:hAnsi="helvetica neue"/>
            <w:color w:val="#000"/>
            <w:sz w:val="18"/>
            <w:u w:val="single"/>
          </w:rPr>
          <w:t xml:space="preserve">https://www.nature.com/articles/s44221-024-00303-9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1" w:name="fn13"/>
    <w:bookmarkEnd w:id="141"/>
    <w:p>
      <w:pPr>
        <w:numPr>
          <w:ilvl w:val="0"/>
          <w:numId w:val="14"/>
        </w:numPr>
        <w:spacing w:line="360" w:after="210" w:lineRule="auto"/>
      </w:pPr>
      <w:hyperlink r:id="rId18">
        <w:r>
          <w:rPr>
            <w:rFonts w:eastAsia="helvetica neue" w:cs="helvetica neue" w:ascii="helvetica neue" w:hAnsi="helvetica neue"/>
            <w:color w:val="#000"/>
            <w:sz w:val="18"/>
            <w:u w:val="single"/>
          </w:rPr>
          <w:t xml:space="preserve">https://openknowledge.worldbank.org/bitstream/10986/27948/5/119048-WP-P159188-PUBLIC.pdf</w:t>
        </w:r>
      </w:hyperlink>
      <w:r>
        <w:rPr>
          <w:rFonts w:eastAsia="georgia" w:cs="georgia" w:ascii="georgia" w:hAnsi="georgia"/>
          <w:color w:val="000000"/>
          <w:sz w:val="18"/>
        </w:rPr>
        <w:t xml:space="preserve"> </w:t>
      </w:r>
    </w:p>
    <w:bookmarkStart w:id="142" w:name="fn14"/>
    <w:bookmarkEnd w:id="142"/>
    <w:p>
      <w:pPr>
        <w:numPr>
          <w:ilvl w:val="0"/>
          <w:numId w:val="14"/>
        </w:numPr>
        <w:spacing w:line="360" w:after="210" w:lineRule="auto"/>
      </w:pPr>
      <w:hyperlink r:id="rId19">
        <w:r>
          <w:rPr>
            <w:rFonts w:eastAsia="helvetica neue" w:cs="helvetica neue" w:ascii="helvetica neue" w:hAnsi="helvetica neue"/>
            <w:color w:val="#000"/>
            <w:sz w:val="18"/>
            <w:u w:val="single"/>
          </w:rPr>
          <w:t xml:space="preserve">https://www.aquapublica.eu/article/news/new-oecd-study-investment-needs-water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3" w:name="fn15"/>
    <w:bookmarkEnd w:id="143"/>
    <w:p>
      <w:pPr>
        <w:numPr>
          <w:ilvl w:val="0"/>
          <w:numId w:val="14"/>
        </w:numPr>
        <w:spacing w:line="360" w:after="210" w:lineRule="auto"/>
      </w:pPr>
      <w:hyperlink r:id="rId20">
        <w:r>
          <w:rPr>
            <w:rFonts w:eastAsia="helvetica neue" w:cs="helvetica neue" w:ascii="helvetica neue" w:hAnsi="helvetica neue"/>
            <w:color w:val="#000"/>
            <w:sz w:val="18"/>
            <w:u w:val="single"/>
          </w:rPr>
          <w:t xml:space="preserve">https://documents1.worldbank.org/curated/en/404821468021006833/pdf/800230WP0ENGLI0Box0379797B00PUBLIC0.pdf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4" w:name="fn16"/>
    <w:bookmarkEnd w:id="144"/>
    <w:p>
      <w:pPr>
        <w:numPr>
          <w:ilvl w:val="0"/>
          <w:numId w:val="14"/>
        </w:numPr>
        <w:spacing w:line="360" w:after="210" w:lineRule="auto"/>
      </w:pPr>
      <w:hyperlink r:id="rId21">
        <w:r>
          <w:rPr>
            <w:rFonts w:eastAsia="helvetica neue" w:cs="helvetica neue" w:ascii="helvetica neue" w:hAnsi="helvetica neue"/>
            <w:color w:val="#000"/>
            <w:sz w:val="18"/>
            <w:u w:val="single"/>
          </w:rPr>
          <w:t xml:space="preserve">https://pmc.ncbi.nlm.nih.gov/articles/PMC8572083/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5" w:name="fn17"/>
    <w:bookmarkEnd w:id="145"/>
    <w:p>
      <w:pPr>
        <w:numPr>
          <w:ilvl w:val="0"/>
          <w:numId w:val="14"/>
        </w:numPr>
        <w:spacing w:line="360" w:after="210" w:lineRule="auto"/>
      </w:pPr>
      <w:hyperlink r:id="rId22">
        <w:r>
          <w:rPr>
            <w:rFonts w:eastAsia="helvetica neue" w:cs="helvetica neue" w:ascii="helvetica neue" w:hAnsi="helvetica neue"/>
            <w:color w:val="#000"/>
            <w:sz w:val="18"/>
            <w:u w:val="single"/>
          </w:rPr>
          <w:t xml:space="preserve">https://kh.aquaenergyexpo.com/wp-content/uploads/2022/11/Operational-digital-twins-in-the-urban-water-sector.pdf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6" w:name="fn18"/>
    <w:bookmarkEnd w:id="146"/>
    <w:p>
      <w:pPr>
        <w:numPr>
          <w:ilvl w:val="0"/>
          <w:numId w:val="14"/>
        </w:numPr>
        <w:spacing w:line="360" w:after="210" w:lineRule="auto"/>
      </w:pPr>
      <w:hyperlink r:id="rId23">
        <w:r>
          <w:rPr>
            <w:rFonts w:eastAsia="helvetica neue" w:cs="helvetica neue" w:ascii="helvetica neue" w:hAnsi="helvetica neue"/>
            <w:color w:val="#000"/>
            <w:sz w:val="18"/>
            <w:u w:val="single"/>
          </w:rPr>
          <w:t xml:space="preserve">https://www.adb.org/sites/default/files/publication/614891/artificial-intelligence-smart-water-management-systems.pdf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7" w:name="fn19"/>
    <w:bookmarkEnd w:id="147"/>
    <w:p>
      <w:pPr>
        <w:numPr>
          <w:ilvl w:val="0"/>
          <w:numId w:val="14"/>
        </w:numPr>
        <w:spacing w:line="360" w:after="210" w:lineRule="auto"/>
      </w:pPr>
      <w:hyperlink r:id="rId24">
        <w:r>
          <w:rPr>
            <w:rFonts w:eastAsia="helvetica neue" w:cs="helvetica neue" w:ascii="helvetica neue" w:hAnsi="helvetica neue"/>
            <w:color w:val="#000"/>
            <w:sz w:val="18"/>
            <w:u w:val="single"/>
          </w:rPr>
          <w:t xml:space="preserve">https://ec.europa.eu/research/participants/documents/downloadPublic?documentIds=080166e5f715649b&amp;appId=PPGMS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8" w:name="fn20"/>
    <w:bookmarkEnd w:id="148"/>
    <w:p>
      <w:pPr>
        <w:numPr>
          <w:ilvl w:val="0"/>
          <w:numId w:val="14"/>
        </w:numPr>
        <w:spacing w:line="360" w:after="210" w:lineRule="auto"/>
      </w:pPr>
      <w:hyperlink r:id="rId25">
        <w:r>
          <w:rPr>
            <w:rFonts w:eastAsia="helvetica neue" w:cs="helvetica neue" w:ascii="helvetica neue" w:hAnsi="helvetica neue"/>
            <w:color w:val="#000"/>
            <w:sz w:val="18"/>
            <w:u w:val="single"/>
          </w:rPr>
          <w:t xml:space="preserve">https://www.tandfonline.com/doi/pdf/10.1080/23311975.2023.2263994?needAccess=true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9" w:name="fn21"/>
    <w:bookmarkEnd w:id="149"/>
    <w:p>
      <w:pPr>
        <w:numPr>
          <w:ilvl w:val="0"/>
          <w:numId w:val="14"/>
        </w:numPr>
        <w:spacing w:line="360" w:after="210" w:lineRule="auto"/>
      </w:pPr>
      <w:hyperlink r:id="rId26">
        <w:r>
          <w:rPr>
            <w:rFonts w:eastAsia="helvetica neue" w:cs="helvetica neue" w:ascii="helvetica neue" w:hAnsi="helvetica neue"/>
            <w:color w:val="#000"/>
            <w:sz w:val="18"/>
            <w:u w:val="single"/>
          </w:rPr>
          <w:t xml:space="preserve">https://www.mdpi.com/2073-4441/12/12/3352/pdf</w:t>
        </w:r>
      </w:hyperlink>
      <w:r>
        <w:rPr>
          <w:rFonts w:eastAsia="georgia" w:cs="georgia" w:ascii="georgia" w:hAnsi="georgia"/>
          <w:color w:val="000000"/>
          <w:sz w:val="18"/>
        </w:rPr>
        <w:t xml:space="preserve"> </w:t>
      </w:r>
    </w:p>
    <w:bookmarkStart w:id="150" w:name="fn22"/>
    <w:bookmarkEnd w:id="150"/>
    <w:p>
      <w:pPr>
        <w:numPr>
          <w:ilvl w:val="0"/>
          <w:numId w:val="14"/>
        </w:numPr>
        <w:spacing w:line="360" w:after="210" w:lineRule="auto"/>
      </w:pPr>
      <w:hyperlink r:id="rId27">
        <w:r>
          <w:rPr>
            <w:rFonts w:eastAsia="helvetica neue" w:cs="helvetica neue" w:ascii="helvetica neue" w:hAnsi="helvetica neue"/>
            <w:color w:val="#000"/>
            <w:sz w:val="18"/>
            <w:u w:val="single"/>
          </w:rPr>
          <w:t xml:space="preserve">https://downloads.hindawi.com/journals/complexity/2020/8895980.pdf</w:t>
        </w:r>
      </w:hyperlink>
      <w:r>
        <w:rPr>
          <w:rFonts w:eastAsia="georgia" w:cs="georgia" w:ascii="georgia" w:hAnsi="georgia"/>
          <w:color w:val="000000"/>
          <w:sz w:val="18"/>
        </w:rPr>
        <w:t xml:space="preserve"> </w:t>
      </w:r>
    </w:p>
    <w:bookmarkStart w:id="151" w:name="fn23"/>
    <w:bookmarkEnd w:id="151"/>
    <w:p>
      <w:pPr>
        <w:numPr>
          <w:ilvl w:val="0"/>
          <w:numId w:val="14"/>
        </w:numPr>
        <w:spacing w:line="360" w:after="210" w:lineRule="auto"/>
      </w:pPr>
      <w:hyperlink r:id="rId28">
        <w:r>
          <w:rPr>
            <w:rFonts w:eastAsia="helvetica neue" w:cs="helvetica neue" w:ascii="helvetica neue" w:hAnsi="helvetica neue"/>
            <w:color w:val="#000"/>
            <w:sz w:val="18"/>
            <w:u w:val="single"/>
          </w:rPr>
          <w:t xml:space="preserve">https://openknowledge.worldbank.org/entities/publication/b68b0f34-16b6-5c6b-ad9c-582b62af7c50</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62ac24f34380201e8d55e270fae25f91c5a12c9.png" TargetMode="Internal"/><Relationship Id="rId6" Type="http://schemas.openxmlformats.org/officeDocument/2006/relationships/hyperlink" Target="https://www.gwp.org/globalassets/global/toolbox/references/managing-water-for-all.-an-oecd-perspective-on-pricing-and-financing-oecd-2009.pdf" TargetMode="External"/><Relationship Id="rId7" Type="http://schemas.openxmlformats.org/officeDocument/2006/relationships/hyperlink" Target="https://www.oecd.org/content/dam/oecd/en/publications/reports/2024/05/cost-recovery-for-water-services-under-the-water-framework-directive_fe64e164/e2a363e3-en.pdf" TargetMode="External"/><Relationship Id="rId8" Type="http://schemas.openxmlformats.org/officeDocument/2006/relationships/hyperlink" Target="https://www.worldwatercouncil.org/sites/default/files/2017-10/WWC_OECD_Water-fit-to-finance_Report.pdf" TargetMode="External"/><Relationship Id="rId9" Type="http://schemas.openxmlformats.org/officeDocument/2006/relationships/hyperlink" Target="https://www.mdpi.com/2412-3811/6/1/9/pdf" TargetMode="External"/><Relationship Id="rId10" Type="http://schemas.openxmlformats.org/officeDocument/2006/relationships/hyperlink" Target="https://www.mdpi.com/2071-1050/11/3/821/pdf" TargetMode="External"/><Relationship Id="rId11" Type="http://schemas.openxmlformats.org/officeDocument/2006/relationships/hyperlink" Target="https://www.pseau.org/outils/ouvrages/world_bank_strengthening_governance_of_local_water_and_sanitation_utilities_for_improved_service_delivery_2017.pdf" TargetMode="External"/><Relationship Id="rId12" Type="http://schemas.openxmlformats.org/officeDocument/2006/relationships/hyperlink" Target="https://iwaponline.com/wp/article-pdf/23/S1/31/979374/023000031.pdf" TargetMode="External"/><Relationship Id="rId13" Type="http://schemas.openxmlformats.org/officeDocument/2006/relationships/hyperlink" Target="https://sdgs.un.org/partnerships/facing-cost-recovery-constrains-water-infrastructure-development-apply-bankable-and" TargetMode="External"/><Relationship Id="rId14" Type="http://schemas.openxmlformats.org/officeDocument/2006/relationships/hyperlink" Target="https://openknowledge.worldbank.org/bitstream/10986/6605/1/461320PUB0Box3101OFFICIAL0USE0ONLY1.pdf" TargetMode="External"/><Relationship Id="rId15" Type="http://schemas.openxmlformats.org/officeDocument/2006/relationships/hyperlink" Target="https://www.iwa-network.org/projects/performance-based-contracts-for-non-revenue-water-market-development/" TargetMode="External"/><Relationship Id="rId16" Type="http://schemas.openxmlformats.org/officeDocument/2006/relationships/hyperlink" Target="https://documents1.worldbank.org/curated/en/314541537521949076/pdf/130050-20-9-2018-12-7-9-WPBCforNRWOperationalManualWEBPDF.pdf" TargetMode="External"/><Relationship Id="rId17" Type="http://schemas.openxmlformats.org/officeDocument/2006/relationships/hyperlink" Target="https://www.nature.com/articles/s44221-024-00303-9" TargetMode="External"/><Relationship Id="rId18" Type="http://schemas.openxmlformats.org/officeDocument/2006/relationships/hyperlink" Target="https://openknowledge.worldbank.org/bitstream/10986/27948/5/119048-WP-P159188-PUBLIC.pdf" TargetMode="External"/><Relationship Id="rId19" Type="http://schemas.openxmlformats.org/officeDocument/2006/relationships/hyperlink" Target="https://www.aquapublica.eu/article/news/new-oecd-study-investment-needs-water" TargetMode="External"/><Relationship Id="rId20" Type="http://schemas.openxmlformats.org/officeDocument/2006/relationships/hyperlink" Target="https://documents1.worldbank.org/curated/en/404821468021006833/pdf/800230WP0ENGLI0Box0379797B00PUBLIC0.pdf" TargetMode="External"/><Relationship Id="rId21" Type="http://schemas.openxmlformats.org/officeDocument/2006/relationships/hyperlink" Target="https://pmc.ncbi.nlm.nih.gov/articles/PMC8572083/" TargetMode="External"/><Relationship Id="rId22" Type="http://schemas.openxmlformats.org/officeDocument/2006/relationships/hyperlink" Target="https://kh.aquaenergyexpo.com/wp-content/uploads/2022/11/Operational-digital-twins-in-the-urban-water-sector.pdf" TargetMode="External"/><Relationship Id="rId23" Type="http://schemas.openxmlformats.org/officeDocument/2006/relationships/hyperlink" Target="https://www.adb.org/sites/default/files/publication/614891/artificial-intelligence-smart-water-management-systems.pdf" TargetMode="External"/><Relationship Id="rId24" Type="http://schemas.openxmlformats.org/officeDocument/2006/relationships/hyperlink" Target="https://ec.europa.eu/research/participants/documents/downloadPublic?documentIds=080166e5f715649b&amp;appId=PPGMS" TargetMode="External"/><Relationship Id="rId25" Type="http://schemas.openxmlformats.org/officeDocument/2006/relationships/hyperlink" Target="https://www.tandfonline.com/doi/pdf/10.1080/23311975.2023.2263994?needAccess=true" TargetMode="External"/><Relationship Id="rId26" Type="http://schemas.openxmlformats.org/officeDocument/2006/relationships/hyperlink" Target="https://www.mdpi.com/2073-4441/12/12/3352/pdf" TargetMode="External"/><Relationship Id="rId27" Type="http://schemas.openxmlformats.org/officeDocument/2006/relationships/hyperlink" Target="https://downloads.hindawi.com/journals/complexity/2020/8895980.pdf" TargetMode="External"/><Relationship Id="rId28" Type="http://schemas.openxmlformats.org/officeDocument/2006/relationships/hyperlink" Target="https://openknowledge.worldbank.org/entities/publication/b68b0f34-16b6-5c6b-ad9c-582b62af7c5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2026-02-25T14:45:59.530Z</dcterms:created>
  <dcterms:modified xsi:type="dcterms:W3CDTF">2026-02-25T14:45:59.530Z</dcterms:modified>
</cp:coreProperties>
</file>