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市政污水处理效率提升核心方案简报"/>
      <w:r>
        <w:rPr>
          <w:rFonts w:eastAsia="Georgia" w:cs="Georgia" w:ascii="Georgia" w:hAnsi="Georgia"/>
          <w:b/>
          <w:sz w:val="56"/>
        </w:rPr>
        <w:t xml:space="preserve">市政污水处理效率提升核心方案简报</w:t>
      </w:r>
      <w:bookmarkEnd w:id="0"/>
    </w:p>
    <w:p>
      <w:pPr>
        <w:spacing w:after="210" w:lineRule="auto"/>
      </w:pPr>
      <w:r>
        <w:rPr>
          <w:b/>
        </w:rPr>
        <w:t xml:space="preserve">内部决策文件</w:t>
      </w:r>
      <w:r>
        <w:rPr/>
        <w:t xml:space="preserve"> | </w:t>
      </w:r>
      <w:r>
        <w:rPr>
          <w:b/>
        </w:rPr>
        <w:t xml:space="preserve">水务管理部门</w:t>
      </w:r>
      <w:r>
        <w:rPr/>
        <w:t xml:space="preserve"> | </w:t>
      </w:r>
      <w:r>
        <w:rPr>
          <w:b/>
        </w:rPr>
        <w:t xml:space="preserve">2025年12月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一_现行_核拨制_的关键问题"/>
      <w:r>
        <w:rPr>
          <w:rFonts w:eastAsia="Georgia" w:cs="Georgia" w:ascii="Georgia" w:hAnsi="Georgia"/>
          <w:b/>
          <w:sz w:val="42"/>
        </w:rPr>
        <w:t xml:space="preserve">一、现行"核拨制"的关键问题</w:t>
      </w:r>
      <w:bookmarkEnd w:id="1"/>
    </w:p>
    <w:p>
      <w:pPr>
        <w:spacing w:line="271" w:before="240" w:lineRule="auto"/>
      </w:pPr>
      <w:bookmarkStart w:id="2" w:name="问题诊断"/>
      <w:r>
        <w:rPr>
          <w:rFonts w:eastAsia="Georgia" w:cs="Georgia" w:ascii="Georgia" w:hAnsi="Georgia"/>
          <w:b/>
          <w:sz w:val="33"/>
        </w:rPr>
        <w:t xml:space="preserve">问题诊断</w:t>
      </w:r>
      <w:bookmarkEnd w:id="2"/>
    </w:p>
    <w:p>
      <w:pPr>
        <w:spacing w:after="210" w:lineRule="auto"/>
      </w:pPr>
      <w:r>
        <w:rPr>
          <w:b/>
        </w:rPr>
        <w:t xml:space="preserve">根本症结：</w:t>
      </w:r>
      <w:r>
        <w:rPr>
          <w:rFonts w:eastAsia="Georgia" w:cs="Georgia" w:ascii="Georgia" w:hAnsi="Georgia"/>
        </w:rPr>
        <w:t xml:space="preserve"> 资金与服务质量脱钩，企业缺乏降本增效的经济驱动力。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具体表现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实际后果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预算与实际支出脱节，年度剩余资金反而被视为"浪费"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成本控制动力不足，反而鼓励企业"跑冒滴漏"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运营效率高低，政府拨款一致，无奖惩区分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高效企业和低效企业待遇相同，劣币驱逐良币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管网维护以"坏了再修"替代定期预防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故障频发，应急成本高，系统可靠性下降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技术升级、设备更新资金紧张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工艺陈旧，能耗高，难以达到严格排放标准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核心数据：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核拨制企业的运营成本平均高出市场招标价格10-15%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管网故障率：被动维护模式比预防性维护模式高30-50%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污水处理能耗：部分厂的能耗指标在业界中位水平下浮30%的空间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二_核心解决方案_特许经营绩效合同制"/>
      <w:r>
        <w:rPr>
          <w:rFonts w:eastAsia="Georgia" w:cs="Georgia" w:ascii="Georgia" w:hAnsi="Georgia"/>
          <w:b/>
          <w:sz w:val="42"/>
        </w:rPr>
        <w:t xml:space="preserve">二、核心解决方案：特许经营绩效合同制</w:t>
      </w:r>
      <w:bookmarkEnd w:id="3"/>
    </w:p>
    <w:p>
      <w:pPr>
        <w:spacing w:line="271" w:before="240" w:lineRule="auto"/>
      </w:pPr>
      <w:bookmarkStart w:id="4" w:name="方案要点"/>
      <w:r>
        <w:rPr>
          <w:rFonts w:eastAsia="Georgia" w:cs="Georgia" w:ascii="Georgia" w:hAnsi="Georgia"/>
          <w:b/>
          <w:sz w:val="33"/>
        </w:rPr>
        <w:t xml:space="preserve">方案要点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采用**"政府授权+绩效合同+按质付费"** 的特许经营模式，核心是：</w:t>
      </w:r>
      <w:r>
        <w:rPr>
          <w:b/>
        </w:rPr>
        <w:t xml:space="preserve">政府不再按预定成本拨款，改为按照实现的服务质量和效率指标支付费用。</w:t>
      </w:r>
    </w:p>
    <w:p>
      <w:pPr>
        <w:spacing w:line="271" w:before="240" w:lineRule="auto"/>
      </w:pPr>
      <w:bookmarkStart w:id="5" w:name="bm_2_1_模式架构"/>
      <w:r>
        <w:rPr>
          <w:rFonts w:eastAsia="Georgia" w:cs="Georgia" w:ascii="Georgia" w:hAnsi="Georgia"/>
          <w:b/>
          <w:sz w:val="28"/>
        </w:rPr>
        <w:t xml:space="preserve">2.1 模式架构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政府水务部门（特许人）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设定服务标准和绩效指标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监督考核评估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按考核结果支付费用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└─────────────┬───────────────────────┘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├──签订特许经营协议──┐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（10-15年）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┌─────────────▼──────────────────────┐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特许经营企业（被特许人）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承担全部运营成本和市场风险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自主优化管理、降低成本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按照合同标准提供服务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• 根据考核评分获得相应报酬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└────────────────────────────────────┘</w:t>
      </w:r>
    </w:p>
    <w:p>
      <w:pPr>
        <w:spacing w:line="271" w:before="240" w:lineRule="auto"/>
      </w:pPr>
      <w:bookmarkStart w:id="6" w:name="bm_2_2_三层关键机制"/>
      <w:r>
        <w:rPr>
          <w:rFonts w:eastAsia="Georgia" w:cs="Georgia" w:ascii="Georgia" w:hAnsi="Georgia"/>
          <w:b/>
          <w:sz w:val="28"/>
        </w:rPr>
        <w:t xml:space="preserve">2.2 三层关键机制</w:t>
      </w:r>
      <w:bookmarkEnd w:id="6"/>
    </w:p>
    <w:p>
      <w:pPr>
        <w:spacing w:after="210" w:lineRule="auto"/>
      </w:pPr>
      <w:r>
        <w:rPr>
          <w:b/>
        </w:rPr>
        <w:t xml:space="preserve">（1）绩效指标体系（约束条件）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企业获得的费用与以下指标直接挂钩：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指标类别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具体指标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权重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考核方式</w:t>
            </w:r>
          </w:p>
        </w:tc>
      </w:tr>
      <w:tr>
        <w:trPr>
          <w:cantSplit/>
        </w:trPr>
        <w:tc>
          <w:tcPr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处理质量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出水COD浓度达标率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25%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周监测，达标100%</w:t>
            </w:r>
          </w:p>
        </w:tc>
      </w:tr>
      <w:tr>
        <w:trPr>
          <w:cantSplit/>
        </w:trPr>
        <w:tc>
          <w:tcPr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出水氨氮达标率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25%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超标每项扣5%</w:t>
            </w:r>
          </w:p>
        </w:tc>
      </w:tr>
      <w:tr>
        <w:trPr>
          <w:cantSplit/>
        </w:trPr>
        <w:tc>
          <w:tcPr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出水总磷达标率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等级制评分</w:t>
            </w:r>
          </w:p>
        </w:tc>
      </w:tr>
      <w:tr>
        <w:trPr>
          <w:cantSplit/>
        </w:trPr>
        <w:tc>
          <w:tcPr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运营效率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能耗指标（度/吨）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15%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同行业对标</w:t>
            </w:r>
          </w:p>
        </w:tc>
      </w:tr>
      <w:tr>
        <w:trPr>
          <w:cantSplit/>
        </w:trPr>
        <w:tc>
          <w:tcPr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药剂成本（元/吨）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与行业均值比较</w:t>
            </w:r>
          </w:p>
        </w:tc>
      </w:tr>
      <w:tr>
        <w:trPr>
          <w:cantSplit/>
        </w:trPr>
        <w:tc>
          <w:tcPr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可靠性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应急响应时间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抽查响应速度</w:t>
            </w:r>
          </w:p>
        </w:tc>
      </w:tr>
      <w:tr>
        <w:trPr>
          <w:cantSplit/>
        </w:trPr>
        <w:tc>
          <w:tcPr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故障率（次/年）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管网巡查记录</w:t>
            </w:r>
          </w:p>
        </w:tc>
      </w:tr>
      <w:tr>
        <w:trPr>
          <w:cantSplit/>
        </w:trPr>
        <w:tc>
          <w:tcPr>
            <w:vMerge w:val="restart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社会满意度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用户投诉处理率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投诉回复时限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绩效考核指标体系示例</w:t>
      </w:r>
    </w:p>
    <w:p>
      <w:pPr>
        <w:spacing w:after="210" w:lineRule="auto"/>
      </w:pPr>
      <w:r>
        <w:rPr>
          <w:b/>
        </w:rPr>
        <w:t xml:space="preserve">（2）费用支付公式（激励机制）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年度拨款 = 基础费用 × [100% + (考核评分 - 60) × K]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其中：</w:t>
      </w:r>
      <w:r>
        <w:rPr/>
        <w:br w:type="textWrapping"/>
      </w:r>
      <w:r>
        <w:rPr>
          <w:rFonts w:eastAsia="Georgia" w:cs="Georgia" w:ascii="Georgia" w:hAnsi="Georgia"/>
        </w:rPr>
        <w:t xml:space="preserve">• 基础费用：根据处理量和行业基准成本核定，通常比原核拨制低10-15%</w:t>
      </w:r>
      <w:r>
        <w:rPr/>
        <w:br w:type="textWrapping"/>
      </w:r>
      <w:r>
        <w:rPr>
          <w:rFonts w:eastAsia="Georgia" w:cs="Georgia" w:ascii="Georgia" w:hAnsi="Georgia"/>
        </w:rPr>
        <w:t xml:space="preserve">• 考核评分：满分100分，60分为及格线</w:t>
      </w:r>
      <w:r>
        <w:rPr/>
        <w:br w:type="textWrapping"/>
      </w:r>
      <w:r>
        <w:rPr>
          <w:rFonts w:eastAsia="Georgia" w:cs="Georgia" w:ascii="Georgia" w:hAnsi="Georgia"/>
        </w:rPr>
        <w:t xml:space="preserve">• K值：激励系数，通常设定为0.5%-1%</w:t>
      </w:r>
      <w:r>
        <w:rPr/>
        <w:br w:type="textWrapping"/>
      </w:r>
      <w:r>
        <w:rPr>
          <w:rFonts w:eastAsia="Georgia" w:cs="Georgia" w:ascii="Georgia" w:hAnsi="Georgia"/>
        </w:rPr>
        <w:t xml:space="preserve">→ 得分80分：拨款额 = 基础费用 × (100% + 20 × 0.75%) = 基础费用 × 115%</w:t>
      </w:r>
      <w:r>
        <w:rPr/>
        <w:br w:type="textWrapping"/>
      </w:r>
      <w:r>
        <w:rPr>
          <w:rFonts w:eastAsia="Georgia" w:cs="Georgia" w:ascii="Georgia" w:hAnsi="Georgia"/>
        </w:rPr>
        <w:t xml:space="preserve">→ 得分60分：拨款额 = 基础费用 × 100%</w:t>
      </w:r>
      <w:r>
        <w:rPr/>
        <w:br w:type="textWrapping"/>
      </w:r>
      <w:r>
        <w:rPr>
          <w:rFonts w:eastAsia="Georgia" w:cs="Georgia" w:ascii="Georgia" w:hAnsi="Georgia"/>
        </w:rPr>
        <w:t xml:space="preserve">→ 得分50分：拨款额 = 基础费用 × 92.5%（处罚）</w:t>
      </w:r>
    </w:p>
    <w:p>
      <w:pPr>
        <w:spacing w:after="210" w:lineRule="auto"/>
      </w:pPr>
      <w:r>
        <w:rPr>
          <w:b/>
        </w:rPr>
        <w:t xml:space="preserve">直观效果：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高效运营的企业收入增加15-20%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低效运营的企业收入下降10-15%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收入差异足以激励企业积极改进</w:t>
      </w:r>
    </w:p>
    <w:p>
      <w:pPr>
        <w:spacing w:after="210" w:lineRule="auto"/>
      </w:pPr>
      <w:r>
        <w:rPr>
          <w:b/>
        </w:rPr>
        <w:t xml:space="preserve">（3）合同风险分担机制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风险类型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承担方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处理办法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污水量波动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共担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±15%范围内按实际量调整；超过范围由政府承担溢价部分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原材料涨价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共担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浮动部分50%由企业承担，50%由政府补偿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政策调整（排放标准升级）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政府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政府补贴提标增量成本的50-70%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管理不善导致的故障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企业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企业全额承担，同时扣分处罚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重大突发事件（极端降雨等）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共担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事先设定应急启动条件，触发时双方共同应对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三_政府行动清单"/>
      <w:r>
        <w:rPr>
          <w:rFonts w:eastAsia="Georgia" w:cs="Georgia" w:ascii="Georgia" w:hAnsi="Georgia"/>
          <w:b/>
          <w:sz w:val="42"/>
        </w:rPr>
        <w:t xml:space="preserve">三、政府行动清单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政府部门需要完成以下核心行动，方可启动该方案。</w:t>
      </w:r>
    </w:p>
    <w:p>
      <w:pPr>
        <w:spacing w:line="271" w:before="240" w:lineRule="auto"/>
      </w:pPr>
      <w:bookmarkStart w:id="8" w:name="第一步_前期制度准备_1_2个月"/>
      <w:r>
        <w:rPr>
          <w:rFonts w:eastAsia="Georgia" w:cs="Georgia" w:ascii="Georgia" w:hAnsi="Georgia"/>
          <w:b/>
          <w:sz w:val="33"/>
        </w:rPr>
        <w:t xml:space="preserve">第一步：前期制度准备（1-2个月）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具体行动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负责部门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完成期限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制定《特许经营协议范本》</w:t>
            </w:r>
            <w:r>
              <w:rPr>
                <w:rFonts w:eastAsia="Georgia" w:cs="Georgia" w:ascii="Georgia" w:hAnsi="Georgia"/>
              </w:rPr>
              <w:t xml:space="preserve"> 包含指标定义、费用公式、风险条款等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法规科、计划科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编制《绩效考核实施细则》</w:t>
            </w:r>
            <w:r>
              <w:rPr>
                <w:rFonts w:eastAsia="Georgia" w:cs="Georgia" w:ascii="Georgia" w:hAnsi="Georgia"/>
              </w:rPr>
              <w:t xml:space="preserve"> 明确计分规则、监测方法、数据来源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运营监管科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建立在线监测与数据采集系统</w:t>
            </w:r>
            <w:r>
              <w:rPr>
                <w:rFonts w:eastAsia="Georgia" w:cs="Georgia" w:ascii="Georgia" w:hAnsi="Georgia"/>
              </w:rPr>
              <w:t xml:space="preserve"> 确保绩效指标可实时追踪、自动对标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信息中心、监测站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8周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清理历史财务数据</w:t>
            </w:r>
            <w:r>
              <w:rPr>
                <w:rFonts w:eastAsia="Georgia" w:cs="Georgia" w:ascii="Georgia" w:hAnsi="Georgia"/>
              </w:rPr>
              <w:t xml:space="preserve"> 确定基础费用基准、建立成本模型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财务科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4周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9" w:name="第二步_项目实施_2_4个月"/>
      <w:r>
        <w:rPr>
          <w:rFonts w:eastAsia="Georgia" w:cs="Georgia" w:ascii="Georgia" w:hAnsi="Georgia"/>
          <w:b/>
          <w:sz w:val="33"/>
        </w:rPr>
        <w:t xml:space="preserve">第二步：项目实施（2-4个月）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具体行动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负责部门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完成期限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目标企业（或部门）遴选与公示</w:t>
            </w:r>
            <w:r>
              <w:rPr>
                <w:rFonts w:eastAsia="Georgia" w:cs="Georgia" w:ascii="Georgia" w:hAnsi="Georgia"/>
              </w:rPr>
              <w:t xml:space="preserve"> 选定试点污水处理厂（建议选2-3个）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监管部门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招标与合作协议签订</w:t>
            </w:r>
            <w:r>
              <w:rPr>
                <w:rFonts w:eastAsia="Georgia" w:cs="Georgia" w:ascii="Georgia" w:hAnsi="Georgia"/>
              </w:rPr>
              <w:t xml:space="preserve"> 通过竞争性谈判或招标选择运营伙伴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采购部门、法律顾问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员工培训与系统部署</w:t>
            </w:r>
            <w:r>
              <w:rPr>
                <w:rFonts w:eastAsia="Georgia" w:cs="Georgia" w:ascii="Georgia" w:hAnsi="Georgia"/>
              </w:rPr>
              <w:t xml:space="preserve"> 确保企业、政府、监测机构都理解新机制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HR部门、运营方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系统试运行（1个月）</w:t>
            </w:r>
            <w:r>
              <w:rPr>
                <w:rFonts w:eastAsia="Georgia" w:cs="Georgia" w:ascii="Georgia" w:hAnsi="Georgia"/>
              </w:rPr>
              <w:t xml:space="preserve"> 验证数据采集、计算公式、支付流程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全部部门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4周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0" w:name="第三步_正式运行与监督_持续"/>
      <w:r>
        <w:rPr>
          <w:rFonts w:eastAsia="Georgia" w:cs="Georgia" w:ascii="Georgia" w:hAnsi="Georgia"/>
          <w:b/>
          <w:sz w:val="33"/>
        </w:rPr>
        <w:t xml:space="preserve">第三步：正式运行与监督（持续）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具体行动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负责部门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频率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周期性绩效监测与评分</w:t>
            </w:r>
            <w:r>
              <w:rPr>
                <w:rFonts w:eastAsia="Georgia" w:cs="Georgia" w:ascii="Georgia" w:hAnsi="Georgia"/>
              </w:rPr>
              <w:t xml:space="preserve"> 汇总各项指标数据，计算月度/季度评分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运营监管科、监测站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每月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费用拨款与调整</w:t>
            </w:r>
            <w:r>
              <w:rPr>
                <w:rFonts w:eastAsia="Georgia" w:cs="Georgia" w:ascii="Georgia" w:hAnsi="Georgia"/>
              </w:rPr>
              <w:t xml:space="preserve"> 根据评分结果调整本期拨款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财务科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每月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季度评估会议</w:t>
            </w:r>
            <w:r>
              <w:rPr>
                <w:rFonts w:eastAsia="Georgia" w:cs="Georgia" w:ascii="Georgia" w:hAnsi="Georgia"/>
              </w:rPr>
              <w:t xml:space="preserve"> 分析运营情况，研究改进方向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全部部门 + 运营方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每季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年度绩效总结与调整</w:t>
            </w:r>
            <w:r>
              <w:rPr>
                <w:rFonts w:eastAsia="Georgia" w:cs="Georgia" w:ascii="Georgia" w:hAnsi="Georgia"/>
              </w:rPr>
              <w:t xml:space="preserve"> 评估方案效果，微调指标和系数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监管部门、法律团队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每年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建立申诉与争议处理机制</w:t>
            </w:r>
            <w:r>
              <w:rPr>
                <w:rFonts w:eastAsia="Georgia" w:cs="Georgia" w:ascii="Georgia" w:hAnsi="Georgia"/>
              </w:rPr>
              <w:t xml:space="preserve"> 企业如对评分有异议，可提交复核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纪检监察部门、独立仲裁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随时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1" w:name="第四步_法律与政策基础_同步进行"/>
      <w:r>
        <w:rPr>
          <w:rFonts w:eastAsia="Georgia" w:cs="Georgia" w:ascii="Georgia" w:hAnsi="Georgia"/>
          <w:b/>
          <w:sz w:val="33"/>
        </w:rPr>
        <w:t xml:space="preserve">第四步：法律与政策基础（同步进行）</w:t>
      </w:r>
      <w:bookmarkEnd w:id="11"/>
    </w:p>
    <w:p>
      <w:pPr>
        <w:spacing w:after="210" w:lineRule="auto"/>
      </w:pPr>
      <w:r>
        <w:rPr>
          <w:b/>
        </w:rPr>
        <w:t xml:space="preserve">必需修改或新增的文件/制度：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修订《城市污水处理管理办法》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明确特许经营制的法律地位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规定政府和企业的权利义务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新增争议处理条款（仲裁、诉讼选项）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制定《污水处理服务质量标准（地方标准）》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规范COD、氨氮等主要指标的检测方法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明确考核周期和数据验证方式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确保不同企业的可比性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建立《特许经营风险防范预案》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污水量激增、重大突发事件的应对流程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明确政府补偿或风险分担的触发条件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完善《污水处理费征收与使用管理办法》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确保污水处理费专款专用于服务采购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规定费用调整机制（通常3-5年评估一次）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四_政府部门能力建设要求"/>
      <w:r>
        <w:rPr>
          <w:rFonts w:eastAsia="Georgia" w:cs="Georgia" w:ascii="Georgia" w:hAnsi="Georgia"/>
          <w:b/>
          <w:sz w:val="42"/>
        </w:rPr>
        <w:t xml:space="preserve">四、政府部门能力建设要求</w:t>
      </w:r>
      <w:bookmarkEnd w:id="12"/>
    </w:p>
    <w:p>
      <w:pPr>
        <w:spacing w:line="271" w:before="240" w:lineRule="auto"/>
      </w:pPr>
      <w:bookmarkStart w:id="13" w:name="必需建立的关键机构与能力"/>
      <w:r>
        <w:rPr>
          <w:rFonts w:eastAsia="Georgia" w:cs="Georgia" w:ascii="Georgia" w:hAnsi="Georgia"/>
          <w:b/>
          <w:sz w:val="33"/>
        </w:rPr>
        <w:t xml:space="preserve">必需建立的关键机构与能力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能力需求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具体内容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配置建议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独立监测与评估机制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建立自有或第三方的水质、能耗监测实验室，确保数据真实可信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新增或优化1个监测中心，配备3-5名专业人员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绩效管理与数据分析团队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能够汇总、计算、验证各项指标，生成月度/季度评分报告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新增或转岗2-3名数据分析人员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合同与风险管理能力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能够起草、谈判、执行特许经营协议，处理纠纷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引入专业律师团队或聘请法律顾问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政府采购与招标能力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规范化的竞争招标流程，确保选择最优运营方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现有采购部门强化培训，引入政府购买服务规范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利益相关方沟通能力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与企业、环保部门、社会公众的有效沟通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建立定期协调会议制度，配置专职联络人员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4" w:name="数据系统与信息化投资"/>
      <w:r>
        <w:rPr>
          <w:rFonts w:eastAsia="Georgia" w:cs="Georgia" w:ascii="Georgia" w:hAnsi="Georgia"/>
          <w:b/>
          <w:sz w:val="33"/>
        </w:rPr>
        <w:t xml:space="preserve">数据系统与信息化投资</w:t>
      </w:r>
      <w:bookmarkEnd w:id="14"/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在线监测系统</w:t>
      </w:r>
      <w:r>
        <w:rPr>
          <w:rFonts w:eastAsia="Georgia" w:cs="Georgia" w:ascii="Georgia" w:hAnsi="Georgia"/>
        </w:rPr>
        <w:t xml:space="preserve">：投资50-100万元建设，包括COD、氨氮、总磷等实时在线仪器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GIS管理平台</w:t>
      </w:r>
      <w:r>
        <w:rPr>
          <w:rFonts w:eastAsia="Georgia" w:cs="Georgia" w:ascii="Georgia" w:hAnsi="Georgia"/>
        </w:rPr>
        <w:t xml:space="preserve">：整合污水处理厂、泵站、管网的地理信息和运行数据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费用计算与支付系统</w:t>
      </w:r>
      <w:r>
        <w:rPr>
          <w:rFonts w:eastAsia="Georgia" w:cs="Georgia" w:ascii="Georgia" w:hAnsi="Georgia"/>
        </w:rPr>
        <w:t xml:space="preserve">：自动化计算绩效评分和对应费用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信息公开平台</w:t>
      </w:r>
      <w:r>
        <w:rPr>
          <w:rFonts w:eastAsia="Georgia" w:cs="Georgia" w:ascii="Georgia" w:hAnsi="Georgia"/>
        </w:rPr>
        <w:t xml:space="preserve">：向公众发布月度运营成绩和费用拨款情况</w:t>
      </w:r>
    </w:p>
    <w:p>
      <w:pPr>
        <w:spacing w:after="210" w:lineRule="auto"/>
      </w:pPr>
      <w:r>
        <w:rPr>
          <w:b/>
        </w:rPr>
        <w:t xml:space="preserve">投资总额</w:t>
      </w:r>
      <w:r>
        <w:rPr>
          <w:rFonts w:eastAsia="Georgia" w:cs="Georgia" w:ascii="Georgia" w:hAnsi="Georgia"/>
        </w:rPr>
        <w:t xml:space="preserve">：150-250万元（一次性），可通过污水处理费中提取部分承担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五_预期效益与风险评估"/>
      <w:r>
        <w:rPr>
          <w:rFonts w:eastAsia="Georgia" w:cs="Georgia" w:ascii="Georgia" w:hAnsi="Georgia"/>
          <w:b/>
          <w:sz w:val="42"/>
        </w:rPr>
        <w:t xml:space="preserve">五、预期效益与风险评估</w:t>
      </w:r>
      <w:bookmarkEnd w:id="15"/>
    </w:p>
    <w:p>
      <w:pPr>
        <w:spacing w:line="271" w:before="240" w:lineRule="auto"/>
      </w:pPr>
      <w:bookmarkStart w:id="16" w:name="预期效益_3年内可见成效"/>
      <w:r>
        <w:rPr>
          <w:rFonts w:eastAsia="Georgia" w:cs="Georgia" w:ascii="Georgia" w:hAnsi="Georgia"/>
          <w:b/>
          <w:sz w:val="33"/>
        </w:rPr>
        <w:t xml:space="preserve">预期效益（3年内可见成效）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效益维度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定量目标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实现路径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成本控制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运营成本下降8-12%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企业优化工艺参数、压缩人工编制、采购优化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能耗改善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电耗/度数下降10-15%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优化曝气方式、改进设备效率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服务质量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出水达标率从95%升至98-99%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企业主动提升工艺标准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故障率下降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管网故障率下降20-30%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由被动应对改为主动预防检测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应急响应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故障响应时间缩短50%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企业自主建立应急响应机制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财政压力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年度政府补贴降低5-10%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服务成本下降，政府支出相应减少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综合经济效益</w:t>
      </w:r>
      <w:r>
        <w:rPr>
          <w:rFonts w:eastAsia="Georgia" w:cs="Georgia" w:ascii="Georgia" w:hAnsi="Georgia"/>
        </w:rPr>
        <w:t xml:space="preserve">：</w:t>
      </w:r>
      <w:r>
        <w:rPr/>
        <w:br w:type="textWrapping"/>
      </w:r>
      <w:r>
        <w:rPr>
          <w:rFonts w:eastAsia="Georgia" w:cs="Georgia" w:ascii="Georgia" w:hAnsi="Georgia"/>
        </w:rPr>
        <w:t xml:space="preserve">以一个日处理10万吨的污水厂为例，年度成本约为8000万元。若通过该方案降低成本10%，年节省约800万元。若全市有5-10个相同规模的污水厂，年节省可达4000-8000万元。</w:t>
      </w:r>
    </w:p>
    <w:p>
      <w:pPr>
        <w:spacing w:line="271" w:before="240" w:lineRule="auto"/>
      </w:pPr>
      <w:bookmarkStart w:id="17" w:name="主要风险与应对"/>
      <w:r>
        <w:rPr>
          <w:rFonts w:eastAsia="Georgia" w:cs="Georgia" w:ascii="Georgia" w:hAnsi="Georgia"/>
          <w:b/>
          <w:sz w:val="33"/>
        </w:rPr>
        <w:t xml:space="preserve">主要风险与应对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风险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表现形式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应对措施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数据造假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企业或监测部门篡改监测结果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建立第三方抽检机制（每季度随机抽取10-20%数据验证）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对造假行为设置严厉处罚（合同违约金、市场禁入）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企业消极应对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企业不积极投入、应付检查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明确合同违约责任和财务处罚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建立退出机制（持续不达标可提前终止合同）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评分低于50分启动更换程序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成本大幅上升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原材料、人工等成本上升导致基础费用需大幅调整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合同中预设价格调整条款（3-5年审视一次）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政府承担政策性成本上升的部分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监测系统失效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在线监测仪器故障、数据中断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建立备用监测方案（人工抽检）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要求企业提供自有监测数据作为交叉验证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定期维护保养监测设备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政府部门能力不足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不能有效执行合同条款、评分不公正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提前进行专业培训（法律、数据分析、谈判）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引入第三方专业机构辅助评估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建立内部监督与外部评议机制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社会舆论压力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公众对费用调整、服务变化的不理解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加强信息公开，定期向社会发布成绩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建立公众参与的监督委员会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前期充分宣传解释新机制的合理性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8" w:name="风险等级评估"/>
      <w:r>
        <w:rPr>
          <w:rFonts w:eastAsia="Georgia" w:cs="Georgia" w:ascii="Georgia" w:hAnsi="Georgia"/>
          <w:b/>
          <w:sz w:val="33"/>
        </w:rPr>
        <w:t xml:space="preserve">风险等级评估</w:t>
      </w:r>
      <w:bookmarkEnd w:id="18"/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数据造假风险</w:t>
      </w:r>
      <w:r>
        <w:rPr>
          <w:rFonts w:eastAsia="Georgia" w:cs="Georgia" w:ascii="Georgia" w:hAnsi="Georgia"/>
        </w:rPr>
        <w:t xml:space="preserve">：</w:t>
      </w:r>
      <w:r>
        <w:rPr>
          <w:b/>
        </w:rPr>
        <w:t xml:space="preserve">高</w:t>
      </w:r>
      <w:r>
        <w:rPr>
          <w:rFonts w:eastAsia="Georgia" w:cs="Georgia" w:ascii="Georgia" w:hAnsi="Georgia"/>
        </w:rPr>
        <w:t xml:space="preserve"> → 重点防范，需要最强的监督机制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企业消极风险</w:t>
      </w:r>
      <w:r>
        <w:rPr>
          <w:rFonts w:eastAsia="Georgia" w:cs="Georgia" w:ascii="Georgia" w:hAnsi="Georgia"/>
        </w:rPr>
        <w:t xml:space="preserve">：</w:t>
      </w:r>
      <w:r>
        <w:rPr>
          <w:b/>
        </w:rPr>
        <w:t xml:space="preserve">中</w:t>
      </w:r>
      <w:r>
        <w:rPr>
          <w:rFonts w:eastAsia="Georgia" w:cs="Georgia" w:ascii="Georgia" w:hAnsi="Georgia"/>
        </w:rPr>
        <w:t xml:space="preserve"> → 通过合同条款和评分灵活性可控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成本变动风险</w:t>
      </w:r>
      <w:r>
        <w:rPr>
          <w:rFonts w:eastAsia="Georgia" w:cs="Georgia" w:ascii="Georgia" w:hAnsi="Georgia"/>
        </w:rPr>
        <w:t xml:space="preserve">：</w:t>
      </w:r>
      <w:r>
        <w:rPr>
          <w:b/>
        </w:rPr>
        <w:t xml:space="preserve">中</w:t>
      </w:r>
      <w:r>
        <w:rPr>
          <w:rFonts w:eastAsia="Georgia" w:cs="Georgia" w:ascii="Georgia" w:hAnsi="Georgia"/>
        </w:rPr>
        <w:t xml:space="preserve"> → 通过价格调整条款可缓解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政府能力风险</w:t>
      </w:r>
      <w:r>
        <w:rPr>
          <w:rFonts w:eastAsia="Georgia" w:cs="Georgia" w:ascii="Georgia" w:hAnsi="Georgia"/>
        </w:rPr>
        <w:t xml:space="preserve">：</w:t>
      </w:r>
      <w:r>
        <w:rPr>
          <w:b/>
        </w:rPr>
        <w:t xml:space="preserve">中-高</w:t>
      </w:r>
      <w:r>
        <w:rPr>
          <w:rFonts w:eastAsia="Georgia" w:cs="Georgia" w:ascii="Georgia" w:hAnsi="Georgia"/>
        </w:rPr>
        <w:t xml:space="preserve"> → 需要前期投入培训和人员配备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系统技术风险</w:t>
      </w:r>
      <w:r>
        <w:rPr>
          <w:rFonts w:eastAsia="Georgia" w:cs="Georgia" w:ascii="Georgia" w:hAnsi="Georgia"/>
        </w:rPr>
        <w:t xml:space="preserve">：</w:t>
      </w:r>
      <w:r>
        <w:rPr>
          <w:b/>
        </w:rPr>
        <w:t xml:space="preserve">低</w:t>
      </w:r>
      <w:r>
        <w:rPr>
          <w:rFonts w:eastAsia="Georgia" w:cs="Georgia" w:ascii="Georgia" w:hAnsi="Georgia"/>
        </w:rPr>
        <w:t xml:space="preserve"> → 现有技术完全可行，关键是维护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社会接受风险</w:t>
      </w:r>
      <w:r>
        <w:rPr>
          <w:rFonts w:eastAsia="Georgia" w:cs="Georgia" w:ascii="Georgia" w:hAnsi="Georgia"/>
        </w:rPr>
        <w:t xml:space="preserve">：</w:t>
      </w:r>
      <w:r>
        <w:rPr>
          <w:b/>
        </w:rPr>
        <w:t xml:space="preserve">中</w:t>
      </w:r>
      <w:r>
        <w:rPr>
          <w:rFonts w:eastAsia="Georgia" w:cs="Georgia" w:ascii="Georgia" w:hAnsi="Georgia"/>
        </w:rPr>
        <w:t xml:space="preserve"> → 通过透明沟通可以降低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六_实施时间表与里程碑"/>
      <w:r>
        <w:rPr>
          <w:rFonts w:eastAsia="Georgia" w:cs="Georgia" w:ascii="Georgia" w:hAnsi="Georgia"/>
          <w:b/>
          <w:sz w:val="42"/>
        </w:rPr>
        <w:t xml:space="preserve">六、实施时间表与里程碑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阶段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时间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关键任务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成功标志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第一阶段：准备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1-2月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制度设计、系统部署、人员培训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协议范本、监测系统、评分细则全部完成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第二阶段：试点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3-6月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选定1-2个试点单位，签署协议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合同签署率100%，试运行平稳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第三阶段：评估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7-9月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试点单位3-6个月运营数据分析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初步数据显示成本下降、效率提升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第四阶段：推广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10-12月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根据试点反馈优化方案，扩展到其他污水厂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全市污水处理体系覆盖率≥60%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第五阶段：完善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12月后持续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微调指标、积累经验、制定地方标准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建立成熟、规范的运营管理体系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七_快速启动的建议"/>
      <w:r>
        <w:rPr>
          <w:rFonts w:eastAsia="Georgia" w:cs="Georgia" w:ascii="Georgia" w:hAnsi="Georgia"/>
          <w:b/>
          <w:sz w:val="42"/>
        </w:rPr>
        <w:t xml:space="preserve">七、快速启动的建议</w:t>
      </w:r>
      <w:bookmarkEnd w:id="20"/>
    </w:p>
    <w:p>
      <w:pPr>
        <w:spacing w:after="210" w:lineRule="auto"/>
      </w:pPr>
      <w:r>
        <w:rPr>
          <w:b/>
        </w:rPr>
        <w:t xml:space="preserve">立即行动清单（本周）：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召集会议</w:t>
      </w:r>
      <w:r>
        <w:rPr>
          <w:rFonts w:eastAsia="Georgia" w:cs="Georgia" w:ascii="Georgia" w:hAnsi="Georgia"/>
        </w:rPr>
        <w:t xml:space="preserve">：邀请相关部门负责人，通报方案要点并达成共识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成立工作专班</w:t>
      </w:r>
      <w:r>
        <w:rPr>
          <w:rFonts w:eastAsia="Georgia" w:cs="Georgia" w:ascii="Georgia" w:hAnsi="Georgia"/>
        </w:rPr>
        <w:t xml:space="preserve">：明确各部门职责分工，指定项目经理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确定试点单位</w:t>
      </w:r>
      <w:r>
        <w:rPr>
          <w:rFonts w:eastAsia="Georgia" w:cs="Georgia" w:ascii="Georgia" w:hAnsi="Georgia"/>
        </w:rPr>
        <w:t xml:space="preserve">：选择2-3个管理基础较好的污水厂作为试点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启动法律审核</w:t>
      </w:r>
      <w:r>
        <w:rPr>
          <w:rFonts w:eastAsia="Georgia" w:cs="Georgia" w:ascii="Georgia" w:hAnsi="Georgia"/>
        </w:rPr>
        <w:t xml:space="preserve">：委托律师评估现有法规的适用性，提出修改建议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调研竞争对手</w:t>
      </w:r>
      <w:r>
        <w:rPr>
          <w:rFonts w:eastAsia="Georgia" w:cs="Georgia" w:ascii="Georgia" w:hAnsi="Georgia"/>
        </w:rPr>
        <w:t xml:space="preserve">：了解国内其他城市的类似实践，学习经验</w:t>
      </w:r>
    </w:p>
    <w:p>
      <w:pPr>
        <w:spacing w:after="210" w:lineRule="auto"/>
      </w:pPr>
      <w:r>
        <w:rPr>
          <w:b/>
        </w:rPr>
        <w:t xml:space="preserve">决策建议：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本方案</w:t>
      </w:r>
      <w:r>
        <w:rPr>
          <w:b/>
        </w:rPr>
        <w:t xml:space="preserve">可立即在1-2个污水处理单位试点</w:t>
      </w:r>
      <w:r>
        <w:rPr>
          <w:rFonts w:eastAsia="Georgia" w:cs="Georgia" w:ascii="Georgia" w:hAnsi="Georgia"/>
        </w:rPr>
        <w:t xml:space="preserve">，试点周期为6-9个月。若效果显著（成本下降5%以上、出水达标率改善3%以上），即可在全市推广。若遇阻力或效果不佳，可以调整指标体系后再扩展，风险可控。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附表_按质付费的两个可选方案对比"/>
      <w:r>
        <w:rPr>
          <w:rFonts w:eastAsia="Georgia" w:cs="Georgia" w:ascii="Georgia" w:hAnsi="Georgia"/>
          <w:b/>
          <w:sz w:val="42"/>
        </w:rPr>
        <w:t xml:space="preserve">附表：按质付费的两个可选方案对比</w:t>
      </w:r>
      <w:bookmarkEnd w:id="21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方案对比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基础费用型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全额浮动型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付费逻辑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基础费 + 考核加减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全额根据考核评分浮动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稳定性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较高（基础费保底）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中等（企业收入波动30%)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激励力度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中等（10-20%浮动空间）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强（30-50%浮动空间）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企业接受度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高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中等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适合阶段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初期试点、风险低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后期成熟、竞争充分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建议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第一阶段推荐使用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经验积累后升级为此模式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2: 两种按质付费模式的对比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报告完毕</w:t>
      </w:r>
      <w:r>
        <w:rPr>
          <w:rFonts w:eastAsia="Georgia" w:cs="Georgia" w:ascii="Georgia" w:hAnsi="Georgia"/>
        </w:rPr>
        <w:t xml:space="preserve"> | 建议提交市政府常务会议讨论 | 如需深入讨论，请预约部长办公会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2025-12-19T04:37:45.977Z</dcterms:created>
  <dcterms:modified xsi:type="dcterms:W3CDTF">2025-12-19T04:37:45.977Z</dcterms:modified>
</cp:coreProperties>
</file>