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1.短声明变量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在函数中， := 简洁赋值语句在明确类型的地方，可以用于替代 var 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函数外的每个语句都必须以关键字开始（ var 、 func 、等等）， := 结构不能使用在函数外。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常量的定义与变量类似，只不过使用 const 关键字。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常量可以是字符、字符串、布尔或数字类型的值。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常量不能使用 := 语法定义。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3.指针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具有指针。 指针保存了变量的内存地址。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*T 是指向类型 T 的值的指针。其零值是 nil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 *int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符号会生成一个指向其作用对象的指针。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:= 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&amp;i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符号表示指针指向的底层的值。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fmt.Println(*p) // 通过指针 p 读取 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= 21         // 通过指针 p 设置 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这也就是通常所说的“间接引用”或“非直接引用”。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C 不同，Go 没有指针运算。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429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2017-12-14T06:49:30Z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