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921E8" w14:textId="63E6FC32" w:rsidR="00E73E16" w:rsidRPr="00C7409B" w:rsidRDefault="00E73E16" w:rsidP="00C7409B">
      <w:pPr>
        <w:rPr>
          <w:rFonts w:ascii="Gill Sans MT" w:hAnsi="Gill Sans MT"/>
          <w:sz w:val="24"/>
          <w:szCs w:val="24"/>
        </w:rPr>
      </w:pPr>
      <w:r w:rsidRPr="00C7409B">
        <w:rPr>
          <w:rFonts w:ascii="Gill Sans MT" w:hAnsi="Gill Sans MT"/>
          <w:sz w:val="24"/>
          <w:szCs w:val="24"/>
        </w:rPr>
        <w:t xml:space="preserve">Janice </w:t>
      </w:r>
      <w:proofErr w:type="spellStart"/>
      <w:r w:rsidRPr="00C7409B">
        <w:rPr>
          <w:rFonts w:ascii="Gill Sans MT" w:hAnsi="Gill Sans MT"/>
          <w:sz w:val="24"/>
          <w:szCs w:val="24"/>
        </w:rPr>
        <w:t>Oenardi</w:t>
      </w:r>
      <w:proofErr w:type="spellEnd"/>
    </w:p>
    <w:p w14:paraId="002F53B6" w14:textId="77777777" w:rsid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3F4F7B7B" w14:textId="47F6A069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1: GDP Growth and Inflation Expectations</w:t>
      </w:r>
    </w:p>
    <w:p w14:paraId="6740EBAF" w14:textId="3E76ED4E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409E75C9" w14:textId="737A9529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line graph showing the trend of Nominal GDP over the past 20 years to capture periods of economic expansion or contraction.</w:t>
      </w:r>
    </w:p>
    <w:p w14:paraId="5E2B412E" w14:textId="40B93F34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scatter plot comparing Nominal GDP with the 10-Year Breakeven Inflation Rate. This will explore whether periods of GDP growth align with higher inflation expectations.</w:t>
      </w:r>
    </w:p>
    <w:p w14:paraId="3C7060CC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74177BED" w14:textId="4EFB16F5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2: Real Personal Income and Consumer Confidence</w:t>
      </w:r>
    </w:p>
    <w:p w14:paraId="43FA1B8C" w14:textId="1DBA8ABB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6CFFABCA" w14:textId="1868DD6F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dual-axis line graph comparing Real Personal Income with the Consumer Confidence Index over the past decade. This allows for an examination of how consumer confidence aligns with purchasing power.</w:t>
      </w:r>
    </w:p>
    <w:p w14:paraId="4DA8E7C2" w14:textId="0A03B954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heatmap to show variations in Consumer Confidence across different time periods, with color intensity representing changes.</w:t>
      </w:r>
    </w:p>
    <w:p w14:paraId="63CFDBBC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4AA4D005" w14:textId="68114948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3: Government Debt and Revenue Analysis</w:t>
      </w:r>
    </w:p>
    <w:p w14:paraId="2FCD3426" w14:textId="4BE9825D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6E565198" w14:textId="583B0220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stacked area chart showing the trend of Federal Debt as a Percent of GDP and Federal Government Receipts over the last two decades.</w:t>
      </w:r>
    </w:p>
    <w:p w14:paraId="10EE2859" w14:textId="6ACD6562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bar chart comparing federal receipts vs. debt growth during economic peaks and troughs, providing insight into government revenue collection efficiency relative to debt.</w:t>
      </w:r>
    </w:p>
    <w:p w14:paraId="1B8E9063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615B3BA0" w14:textId="62E4D8D7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4: Unemployment Rate and Economic Health</w:t>
      </w:r>
    </w:p>
    <w:p w14:paraId="040B56F9" w14:textId="64B73FAF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42144CDF" w14:textId="651309BE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line graph displaying the Unemployment Rate over time, overlaid with key events (like recessions), to contextualize labor market trends.</w:t>
      </w:r>
    </w:p>
    <w:p w14:paraId="6CE32890" w14:textId="2669B0D1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lastRenderedPageBreak/>
        <w:t>Visualization 2: A line graph comparing the Unemployment Rate with Real GDP. This shows how economic expansion or contraction relates to changes in employment.</w:t>
      </w:r>
    </w:p>
    <w:p w14:paraId="6197FADF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34526B59" w14:textId="3FC509FC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5: Trade Balance and Economic Interactions</w:t>
      </w:r>
    </w:p>
    <w:p w14:paraId="58ED12EB" w14:textId="3FB0FFE4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19FB9631" w14:textId="0455AFFD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line chart tracking the Trade Balance over time, highlighting surpluses and deficits.</w:t>
      </w:r>
    </w:p>
    <w:p w14:paraId="2B7C06C9" w14:textId="77777777" w:rsid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bubble chart comparing Trade Balance, GDP, and Federal Debt with bubble size representing debt levels, visually linking trade activity with economic indicators.</w:t>
      </w:r>
    </w:p>
    <w:p w14:paraId="6F71FDB0" w14:textId="77777777" w:rsid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Synthesis and Future Predictions</w:t>
      </w:r>
    </w:p>
    <w:p w14:paraId="3234E790" w14:textId="77777777" w:rsid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4F4402CE" w14:textId="77777777" w:rsidR="00E73E16" w:rsidRDefault="00E73E16" w:rsidP="00E73E16">
      <w:pPr>
        <w:pStyle w:val="ListParagraph"/>
        <w:numPr>
          <w:ilvl w:val="3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comprehensive dashboard combining significant visualizations from previous weeks, enabling a cohesive analysis of GDP, inflation, unemployment, and other macroeconomic indicators.</w:t>
      </w:r>
    </w:p>
    <w:p w14:paraId="36E00983" w14:textId="05D4C987" w:rsidR="00E73E16" w:rsidRPr="00E73E16" w:rsidRDefault="00E73E16" w:rsidP="00E73E16">
      <w:pPr>
        <w:pStyle w:val="ListParagraph"/>
        <w:numPr>
          <w:ilvl w:val="3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An interactive dashboard using shiny, allowing users to toggle between indicators like inflation, GDP, and trade balance to explore relationships and make predictions.</w:t>
      </w:r>
    </w:p>
    <w:p w14:paraId="1744CD66" w14:textId="77777777" w:rsid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7B844FF5" w14:textId="5A28F5AD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sectPr w:rsidR="00E73E16" w:rsidRPr="00E73E1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1B0A4" w14:textId="77777777" w:rsidR="00C94FBC" w:rsidRDefault="00C94FBC" w:rsidP="00ED3C50">
      <w:pPr>
        <w:spacing w:after="0" w:line="240" w:lineRule="auto"/>
      </w:pPr>
      <w:r>
        <w:separator/>
      </w:r>
    </w:p>
  </w:endnote>
  <w:endnote w:type="continuationSeparator" w:id="0">
    <w:p w14:paraId="297E5F34" w14:textId="77777777" w:rsidR="00C94FBC" w:rsidRDefault="00C94FBC" w:rsidP="00ED3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C0507" w14:textId="77777777" w:rsidR="00C94FBC" w:rsidRDefault="00C94FBC" w:rsidP="00ED3C50">
      <w:pPr>
        <w:spacing w:after="0" w:line="240" w:lineRule="auto"/>
      </w:pPr>
      <w:r>
        <w:separator/>
      </w:r>
    </w:p>
  </w:footnote>
  <w:footnote w:type="continuationSeparator" w:id="0">
    <w:p w14:paraId="5CF38502" w14:textId="77777777" w:rsidR="00C94FBC" w:rsidRDefault="00C94FBC" w:rsidP="00ED3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CEB7C" w14:textId="6D32F598" w:rsidR="00ED3C50" w:rsidRDefault="00ED3C50" w:rsidP="00ED3C50">
    <w:pPr>
      <w:pStyle w:val="Header"/>
      <w:tabs>
        <w:tab w:val="left" w:pos="3345"/>
      </w:tabs>
    </w:pPr>
    <w:r>
      <w:t>GCSC 577</w:t>
    </w:r>
    <w:r>
      <w:tab/>
    </w:r>
    <w:r>
      <w:tab/>
    </w:r>
    <w:r>
      <w:tab/>
      <w:t>Chris Jacob Karottukoikal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751FB"/>
    <w:multiLevelType w:val="hybridMultilevel"/>
    <w:tmpl w:val="B5D43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A257D"/>
    <w:multiLevelType w:val="hybridMultilevel"/>
    <w:tmpl w:val="33A21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342E5"/>
    <w:multiLevelType w:val="hybridMultilevel"/>
    <w:tmpl w:val="0B66A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235B8A"/>
    <w:multiLevelType w:val="hybridMultilevel"/>
    <w:tmpl w:val="17940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BC5479"/>
    <w:multiLevelType w:val="hybridMultilevel"/>
    <w:tmpl w:val="015A4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646019"/>
    <w:multiLevelType w:val="hybridMultilevel"/>
    <w:tmpl w:val="D94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874755">
    <w:abstractNumId w:val="8"/>
  </w:num>
  <w:num w:numId="2" w16cid:durableId="2048334193">
    <w:abstractNumId w:val="6"/>
  </w:num>
  <w:num w:numId="3" w16cid:durableId="1773360550">
    <w:abstractNumId w:val="5"/>
  </w:num>
  <w:num w:numId="4" w16cid:durableId="35858469">
    <w:abstractNumId w:val="4"/>
  </w:num>
  <w:num w:numId="5" w16cid:durableId="1441610820">
    <w:abstractNumId w:val="7"/>
  </w:num>
  <w:num w:numId="6" w16cid:durableId="1161238451">
    <w:abstractNumId w:val="3"/>
  </w:num>
  <w:num w:numId="7" w16cid:durableId="1860653473">
    <w:abstractNumId w:val="2"/>
  </w:num>
  <w:num w:numId="8" w16cid:durableId="1840192860">
    <w:abstractNumId w:val="1"/>
  </w:num>
  <w:num w:numId="9" w16cid:durableId="760104645">
    <w:abstractNumId w:val="0"/>
  </w:num>
  <w:num w:numId="10" w16cid:durableId="1222790285">
    <w:abstractNumId w:val="14"/>
  </w:num>
  <w:num w:numId="11" w16cid:durableId="1617714252">
    <w:abstractNumId w:val="9"/>
  </w:num>
  <w:num w:numId="12" w16cid:durableId="1061518571">
    <w:abstractNumId w:val="10"/>
  </w:num>
  <w:num w:numId="13" w16cid:durableId="98913453">
    <w:abstractNumId w:val="11"/>
  </w:num>
  <w:num w:numId="14" w16cid:durableId="1186872526">
    <w:abstractNumId w:val="13"/>
  </w:num>
  <w:num w:numId="15" w16cid:durableId="25448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586"/>
    <w:rsid w:val="0015074B"/>
    <w:rsid w:val="0029639D"/>
    <w:rsid w:val="00326F90"/>
    <w:rsid w:val="009117FB"/>
    <w:rsid w:val="00AA1D8D"/>
    <w:rsid w:val="00B47730"/>
    <w:rsid w:val="00B8772C"/>
    <w:rsid w:val="00C7409B"/>
    <w:rsid w:val="00C94FBC"/>
    <w:rsid w:val="00CB0664"/>
    <w:rsid w:val="00E512A8"/>
    <w:rsid w:val="00E73E16"/>
    <w:rsid w:val="00ED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92778"/>
  <w14:defaultImageDpi w14:val="300"/>
  <w15:docId w15:val="{2CDFEFB4-1401-4081-BB77-48E84B1E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Janice Gifano Oenardi</cp:lastModifiedBy>
  <cp:revision>5</cp:revision>
  <dcterms:created xsi:type="dcterms:W3CDTF">2013-12-23T23:15:00Z</dcterms:created>
  <dcterms:modified xsi:type="dcterms:W3CDTF">2024-10-25T22:15:00Z</dcterms:modified>
  <cp:category/>
</cp:coreProperties>
</file>