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A921E8" w14:textId="63E6FC32" w:rsidR="00E73E16" w:rsidRPr="00C7409B" w:rsidRDefault="00E73E16" w:rsidP="00C7409B">
      <w:pPr>
        <w:rPr>
          <w:rFonts w:ascii="Gill Sans MT" w:hAnsi="Gill Sans MT"/>
          <w:sz w:val="24"/>
          <w:szCs w:val="24"/>
        </w:rPr>
      </w:pPr>
      <w:r w:rsidRPr="00C7409B">
        <w:rPr>
          <w:rFonts w:ascii="Gill Sans MT" w:hAnsi="Gill Sans MT"/>
          <w:sz w:val="24"/>
          <w:szCs w:val="24"/>
        </w:rPr>
        <w:t xml:space="preserve">Janice </w:t>
      </w:r>
      <w:proofErr w:type="spellStart"/>
      <w:r w:rsidRPr="00C7409B">
        <w:rPr>
          <w:rFonts w:ascii="Gill Sans MT" w:hAnsi="Gill Sans MT"/>
          <w:sz w:val="24"/>
          <w:szCs w:val="24"/>
        </w:rPr>
        <w:t>Oenardi</w:t>
      </w:r>
      <w:proofErr w:type="spellEnd"/>
    </w:p>
    <w:p w14:paraId="002F53B6" w14:textId="77777777" w:rsidR="00E73E16" w:rsidRDefault="00E73E16" w:rsidP="00E73E16">
      <w:pPr>
        <w:pStyle w:val="ListParagraph"/>
        <w:rPr>
          <w:rFonts w:ascii="Gill Sans MT" w:hAnsi="Gill Sans MT"/>
          <w:sz w:val="24"/>
          <w:szCs w:val="24"/>
        </w:rPr>
      </w:pPr>
    </w:p>
    <w:p w14:paraId="3F4F7B7B" w14:textId="47F6A069" w:rsidR="00E73E16" w:rsidRPr="00E73E16" w:rsidRDefault="00E73E16" w:rsidP="00E73E16">
      <w:pPr>
        <w:pStyle w:val="ListParagraph"/>
        <w:numPr>
          <w:ilvl w:val="0"/>
          <w:numId w:val="14"/>
        </w:numPr>
        <w:rPr>
          <w:rFonts w:ascii="Gill Sans MT" w:hAnsi="Gill Sans MT"/>
          <w:sz w:val="24"/>
          <w:szCs w:val="24"/>
        </w:rPr>
      </w:pPr>
      <w:r w:rsidRPr="00E73E16">
        <w:rPr>
          <w:rFonts w:ascii="Gill Sans MT" w:hAnsi="Gill Sans MT"/>
          <w:sz w:val="24"/>
          <w:szCs w:val="24"/>
        </w:rPr>
        <w:t>Week 1: GDP Growth and Inflation Expectations</w:t>
      </w:r>
    </w:p>
    <w:p w14:paraId="6740EBAF" w14:textId="3E76ED4E" w:rsidR="00E73E16" w:rsidRPr="00E73E16" w:rsidRDefault="00E73E16" w:rsidP="00E73E16">
      <w:pPr>
        <w:pStyle w:val="ListParagraph"/>
        <w:numPr>
          <w:ilvl w:val="1"/>
          <w:numId w:val="14"/>
        </w:numPr>
        <w:rPr>
          <w:rFonts w:ascii="Gill Sans MT" w:hAnsi="Gill Sans MT"/>
          <w:sz w:val="24"/>
          <w:szCs w:val="24"/>
        </w:rPr>
      </w:pPr>
      <w:r w:rsidRPr="00E73E16">
        <w:rPr>
          <w:rFonts w:ascii="Gill Sans MT" w:hAnsi="Gill Sans MT"/>
          <w:sz w:val="24"/>
          <w:szCs w:val="24"/>
        </w:rPr>
        <w:t>Deliverables:</w:t>
      </w:r>
    </w:p>
    <w:p w14:paraId="409E75C9" w14:textId="737A9529" w:rsidR="00E73E16" w:rsidRPr="00E73E16" w:rsidRDefault="00E73E16" w:rsidP="00E73E16">
      <w:pPr>
        <w:pStyle w:val="ListParagraph"/>
        <w:numPr>
          <w:ilvl w:val="2"/>
          <w:numId w:val="14"/>
        </w:numPr>
        <w:rPr>
          <w:rFonts w:ascii="Gill Sans MT" w:hAnsi="Gill Sans MT"/>
          <w:sz w:val="24"/>
          <w:szCs w:val="24"/>
        </w:rPr>
      </w:pPr>
      <w:r w:rsidRPr="00E73E16">
        <w:rPr>
          <w:rFonts w:ascii="Gill Sans MT" w:hAnsi="Gill Sans MT"/>
          <w:sz w:val="24"/>
          <w:szCs w:val="24"/>
        </w:rPr>
        <w:t>Visualization 1: A line graph showing the trend of Nominal GDP over the past 20 years to capture periods of economic expansion or contraction.</w:t>
      </w:r>
    </w:p>
    <w:p w14:paraId="5E2B412E" w14:textId="40B93F34" w:rsidR="00E73E16" w:rsidRPr="00E73E16" w:rsidRDefault="00E73E16" w:rsidP="00E73E16">
      <w:pPr>
        <w:pStyle w:val="ListParagraph"/>
        <w:numPr>
          <w:ilvl w:val="2"/>
          <w:numId w:val="14"/>
        </w:numPr>
        <w:rPr>
          <w:rFonts w:ascii="Gill Sans MT" w:hAnsi="Gill Sans MT"/>
          <w:sz w:val="24"/>
          <w:szCs w:val="24"/>
        </w:rPr>
      </w:pPr>
      <w:r w:rsidRPr="00E73E16">
        <w:rPr>
          <w:rFonts w:ascii="Gill Sans MT" w:hAnsi="Gill Sans MT"/>
          <w:sz w:val="24"/>
          <w:szCs w:val="24"/>
        </w:rPr>
        <w:t>Visualization 2: A scatter plot comparing Nominal GDP with the 10-Year Breakeven Inflation Rate. This will explore whether periods of GDP growth align with higher inflation expectations.</w:t>
      </w:r>
    </w:p>
    <w:p w14:paraId="3C7060CC" w14:textId="77777777" w:rsidR="00E73E16" w:rsidRPr="00E73E16" w:rsidRDefault="00E73E16" w:rsidP="00E73E16">
      <w:pPr>
        <w:pStyle w:val="ListParagraph"/>
        <w:rPr>
          <w:rFonts w:ascii="Gill Sans MT" w:hAnsi="Gill Sans MT"/>
          <w:sz w:val="24"/>
          <w:szCs w:val="24"/>
        </w:rPr>
      </w:pPr>
    </w:p>
    <w:p w14:paraId="74177BED" w14:textId="4EFB16F5" w:rsidR="00E73E16" w:rsidRPr="00E73E16" w:rsidRDefault="00E73E16" w:rsidP="00E73E16">
      <w:pPr>
        <w:pStyle w:val="ListParagraph"/>
        <w:numPr>
          <w:ilvl w:val="0"/>
          <w:numId w:val="14"/>
        </w:numPr>
        <w:rPr>
          <w:rFonts w:ascii="Gill Sans MT" w:hAnsi="Gill Sans MT"/>
          <w:sz w:val="24"/>
          <w:szCs w:val="24"/>
        </w:rPr>
      </w:pPr>
      <w:r w:rsidRPr="00E73E16">
        <w:rPr>
          <w:rFonts w:ascii="Gill Sans MT" w:hAnsi="Gill Sans MT"/>
          <w:sz w:val="24"/>
          <w:szCs w:val="24"/>
        </w:rPr>
        <w:t>Week 2: Real Personal Income and Consumer Confidence</w:t>
      </w:r>
    </w:p>
    <w:p w14:paraId="43FA1B8C" w14:textId="1DBA8ABB" w:rsidR="00E73E16" w:rsidRPr="00E73E16" w:rsidRDefault="00E73E16" w:rsidP="00E73E16">
      <w:pPr>
        <w:pStyle w:val="ListParagraph"/>
        <w:numPr>
          <w:ilvl w:val="1"/>
          <w:numId w:val="14"/>
        </w:numPr>
        <w:rPr>
          <w:rFonts w:ascii="Gill Sans MT" w:hAnsi="Gill Sans MT"/>
          <w:sz w:val="24"/>
          <w:szCs w:val="24"/>
        </w:rPr>
      </w:pPr>
      <w:r w:rsidRPr="00E73E16">
        <w:rPr>
          <w:rFonts w:ascii="Gill Sans MT" w:hAnsi="Gill Sans MT"/>
          <w:sz w:val="24"/>
          <w:szCs w:val="24"/>
        </w:rPr>
        <w:t>Deliverables:</w:t>
      </w:r>
    </w:p>
    <w:p w14:paraId="6CFFABCA" w14:textId="1868DD6F" w:rsidR="00E73E16" w:rsidRPr="00E73E16" w:rsidRDefault="00E73E16" w:rsidP="00E73E16">
      <w:pPr>
        <w:pStyle w:val="ListParagraph"/>
        <w:numPr>
          <w:ilvl w:val="2"/>
          <w:numId w:val="14"/>
        </w:numPr>
        <w:rPr>
          <w:rFonts w:ascii="Gill Sans MT" w:hAnsi="Gill Sans MT"/>
          <w:sz w:val="24"/>
          <w:szCs w:val="24"/>
        </w:rPr>
      </w:pPr>
      <w:r w:rsidRPr="00E73E16">
        <w:rPr>
          <w:rFonts w:ascii="Gill Sans MT" w:hAnsi="Gill Sans MT"/>
          <w:sz w:val="24"/>
          <w:szCs w:val="24"/>
        </w:rPr>
        <w:t>Visualization 1: A dual-axis line graph comparing Real Personal Income with the Consumer Confidence Index over the past decade. This allows for an examination of how consumer confidence aligns with purchasing power.</w:t>
      </w:r>
    </w:p>
    <w:p w14:paraId="4DA8E7C2" w14:textId="0A03B954" w:rsidR="00E73E16" w:rsidRPr="00E73E16" w:rsidRDefault="00E73E16" w:rsidP="00E73E16">
      <w:pPr>
        <w:pStyle w:val="ListParagraph"/>
        <w:numPr>
          <w:ilvl w:val="2"/>
          <w:numId w:val="14"/>
        </w:numPr>
        <w:rPr>
          <w:rFonts w:ascii="Gill Sans MT" w:hAnsi="Gill Sans MT"/>
          <w:sz w:val="24"/>
          <w:szCs w:val="24"/>
        </w:rPr>
      </w:pPr>
      <w:r w:rsidRPr="00E73E16">
        <w:rPr>
          <w:rFonts w:ascii="Gill Sans MT" w:hAnsi="Gill Sans MT"/>
          <w:sz w:val="24"/>
          <w:szCs w:val="24"/>
        </w:rPr>
        <w:t>Visualization 2: A heatmap to show variations in Consumer Confidence across different time periods, with color intensity representing changes.</w:t>
      </w:r>
    </w:p>
    <w:p w14:paraId="63CFDBBC" w14:textId="77777777" w:rsidR="00E73E16" w:rsidRPr="00E73E16" w:rsidRDefault="00E73E16" w:rsidP="00E73E16">
      <w:pPr>
        <w:pStyle w:val="ListParagraph"/>
        <w:rPr>
          <w:rFonts w:ascii="Gill Sans MT" w:hAnsi="Gill Sans MT"/>
          <w:sz w:val="24"/>
          <w:szCs w:val="24"/>
        </w:rPr>
      </w:pPr>
    </w:p>
    <w:p w14:paraId="4AA4D005" w14:textId="68114948" w:rsidR="00E73E16" w:rsidRPr="00E73E16" w:rsidRDefault="00E73E16" w:rsidP="00E73E16">
      <w:pPr>
        <w:pStyle w:val="ListParagraph"/>
        <w:numPr>
          <w:ilvl w:val="0"/>
          <w:numId w:val="14"/>
        </w:numPr>
        <w:rPr>
          <w:rFonts w:ascii="Gill Sans MT" w:hAnsi="Gill Sans MT"/>
          <w:sz w:val="24"/>
          <w:szCs w:val="24"/>
        </w:rPr>
      </w:pPr>
      <w:r w:rsidRPr="00E73E16">
        <w:rPr>
          <w:rFonts w:ascii="Gill Sans MT" w:hAnsi="Gill Sans MT"/>
          <w:sz w:val="24"/>
          <w:szCs w:val="24"/>
        </w:rPr>
        <w:t>Week 3: Government Debt and Revenue Analysis</w:t>
      </w:r>
    </w:p>
    <w:p w14:paraId="2FCD3426" w14:textId="4BE9825D" w:rsidR="00E73E16" w:rsidRPr="00E73E16" w:rsidRDefault="00E73E16" w:rsidP="00E73E16">
      <w:pPr>
        <w:pStyle w:val="ListParagraph"/>
        <w:numPr>
          <w:ilvl w:val="1"/>
          <w:numId w:val="14"/>
        </w:numPr>
        <w:rPr>
          <w:rFonts w:ascii="Gill Sans MT" w:hAnsi="Gill Sans MT"/>
          <w:sz w:val="24"/>
          <w:szCs w:val="24"/>
        </w:rPr>
      </w:pPr>
      <w:r w:rsidRPr="00E73E16">
        <w:rPr>
          <w:rFonts w:ascii="Gill Sans MT" w:hAnsi="Gill Sans MT"/>
          <w:sz w:val="24"/>
          <w:szCs w:val="24"/>
        </w:rPr>
        <w:t>Deliverables:</w:t>
      </w:r>
    </w:p>
    <w:p w14:paraId="6E565198" w14:textId="583B0220" w:rsidR="00E73E16" w:rsidRPr="00E73E16" w:rsidRDefault="00E73E16" w:rsidP="00E73E16">
      <w:pPr>
        <w:pStyle w:val="ListParagraph"/>
        <w:numPr>
          <w:ilvl w:val="2"/>
          <w:numId w:val="14"/>
        </w:numPr>
        <w:rPr>
          <w:rFonts w:ascii="Gill Sans MT" w:hAnsi="Gill Sans MT"/>
          <w:sz w:val="24"/>
          <w:szCs w:val="24"/>
        </w:rPr>
      </w:pPr>
      <w:r w:rsidRPr="00E73E16">
        <w:rPr>
          <w:rFonts w:ascii="Gill Sans MT" w:hAnsi="Gill Sans MT"/>
          <w:sz w:val="24"/>
          <w:szCs w:val="24"/>
        </w:rPr>
        <w:t>Visualization 1: A stacked area chart showing the trend of Federal Debt as a Percent of GDP and Federal Government Receipts over the last two decades.</w:t>
      </w:r>
    </w:p>
    <w:p w14:paraId="10EE2859" w14:textId="6ACD6562" w:rsidR="00E73E16" w:rsidRPr="00E73E16" w:rsidRDefault="00E73E16" w:rsidP="00E73E16">
      <w:pPr>
        <w:pStyle w:val="ListParagraph"/>
        <w:numPr>
          <w:ilvl w:val="2"/>
          <w:numId w:val="14"/>
        </w:numPr>
        <w:rPr>
          <w:rFonts w:ascii="Gill Sans MT" w:hAnsi="Gill Sans MT"/>
          <w:sz w:val="24"/>
          <w:szCs w:val="24"/>
        </w:rPr>
      </w:pPr>
      <w:r w:rsidRPr="00E73E16">
        <w:rPr>
          <w:rFonts w:ascii="Gill Sans MT" w:hAnsi="Gill Sans MT"/>
          <w:sz w:val="24"/>
          <w:szCs w:val="24"/>
        </w:rPr>
        <w:t>Visualization 2: A bar chart comparing federal receipts vs. debt growth during economic peaks and troughs, providing insight into government revenue collection efficiency relative to debt.</w:t>
      </w:r>
    </w:p>
    <w:p w14:paraId="1B8E9063" w14:textId="77777777" w:rsidR="00E73E16" w:rsidRPr="00E73E16" w:rsidRDefault="00E73E16" w:rsidP="00E73E16">
      <w:pPr>
        <w:pStyle w:val="ListParagraph"/>
        <w:rPr>
          <w:rFonts w:ascii="Gill Sans MT" w:hAnsi="Gill Sans MT"/>
          <w:sz w:val="24"/>
          <w:szCs w:val="24"/>
        </w:rPr>
      </w:pPr>
    </w:p>
    <w:p w14:paraId="615B3BA0" w14:textId="62E4D8D7" w:rsidR="00E73E16" w:rsidRPr="00A91DAE" w:rsidRDefault="00E73E16" w:rsidP="00E73E16">
      <w:pPr>
        <w:pStyle w:val="ListParagraph"/>
        <w:numPr>
          <w:ilvl w:val="0"/>
          <w:numId w:val="14"/>
        </w:numPr>
        <w:rPr>
          <w:rFonts w:ascii="Gill Sans MT" w:hAnsi="Gill Sans MT"/>
          <w:sz w:val="24"/>
          <w:szCs w:val="24"/>
        </w:rPr>
      </w:pPr>
      <w:r w:rsidRPr="00A91DAE">
        <w:rPr>
          <w:rFonts w:ascii="Gill Sans MT" w:hAnsi="Gill Sans MT"/>
          <w:sz w:val="24"/>
          <w:szCs w:val="24"/>
        </w:rPr>
        <w:t>Week 4: Unemployment Rate and Economic Health</w:t>
      </w:r>
    </w:p>
    <w:p w14:paraId="040B56F9" w14:textId="64B73FAF" w:rsidR="00E73E16" w:rsidRPr="00A91DAE" w:rsidRDefault="00E73E16" w:rsidP="00E73E16">
      <w:pPr>
        <w:pStyle w:val="ListParagraph"/>
        <w:numPr>
          <w:ilvl w:val="1"/>
          <w:numId w:val="14"/>
        </w:numPr>
        <w:rPr>
          <w:rFonts w:ascii="Gill Sans MT" w:hAnsi="Gill Sans MT"/>
          <w:sz w:val="24"/>
          <w:szCs w:val="24"/>
        </w:rPr>
      </w:pPr>
      <w:r w:rsidRPr="00A91DAE">
        <w:rPr>
          <w:rFonts w:ascii="Gill Sans MT" w:hAnsi="Gill Sans MT"/>
          <w:sz w:val="24"/>
          <w:szCs w:val="24"/>
        </w:rPr>
        <w:t>Deliverables:</w:t>
      </w:r>
    </w:p>
    <w:p w14:paraId="42144CDF" w14:textId="651309BE" w:rsidR="00E73E16" w:rsidRPr="00A91DAE" w:rsidRDefault="00E73E16" w:rsidP="00E73E16">
      <w:pPr>
        <w:pStyle w:val="ListParagraph"/>
        <w:numPr>
          <w:ilvl w:val="2"/>
          <w:numId w:val="14"/>
        </w:numPr>
        <w:rPr>
          <w:rFonts w:ascii="Gill Sans MT" w:hAnsi="Gill Sans MT"/>
          <w:sz w:val="24"/>
          <w:szCs w:val="24"/>
        </w:rPr>
      </w:pPr>
      <w:r w:rsidRPr="00A91DAE">
        <w:rPr>
          <w:rFonts w:ascii="Gill Sans MT" w:hAnsi="Gill Sans MT"/>
          <w:sz w:val="24"/>
          <w:szCs w:val="24"/>
        </w:rPr>
        <w:t>Visualization 1: A line graph displaying the Unemployment Rate over time, overlaid with key events (like recessions), to contextualize labor market trends.</w:t>
      </w:r>
    </w:p>
    <w:p w14:paraId="6CE32890" w14:textId="2669B0D1" w:rsidR="00E73E16" w:rsidRPr="00A91DAE" w:rsidRDefault="00E73E16" w:rsidP="00E73E16">
      <w:pPr>
        <w:pStyle w:val="ListParagraph"/>
        <w:numPr>
          <w:ilvl w:val="2"/>
          <w:numId w:val="14"/>
        </w:numPr>
        <w:rPr>
          <w:rFonts w:ascii="Gill Sans MT" w:hAnsi="Gill Sans MT"/>
          <w:sz w:val="24"/>
          <w:szCs w:val="24"/>
        </w:rPr>
      </w:pPr>
      <w:r w:rsidRPr="00A91DAE">
        <w:rPr>
          <w:rFonts w:ascii="Gill Sans MT" w:hAnsi="Gill Sans MT"/>
          <w:sz w:val="24"/>
          <w:szCs w:val="24"/>
        </w:rPr>
        <w:lastRenderedPageBreak/>
        <w:t>Visualization 2: A line graph comparing the Unemployment Rate with Real GDP. This shows how economic expansion or contraction relates to changes in employment.</w:t>
      </w:r>
    </w:p>
    <w:p w14:paraId="6197FADF" w14:textId="77777777" w:rsidR="00E73E16" w:rsidRPr="00E73E16" w:rsidRDefault="00E73E16" w:rsidP="00E73E16">
      <w:pPr>
        <w:pStyle w:val="ListParagraph"/>
        <w:rPr>
          <w:rFonts w:ascii="Gill Sans MT" w:hAnsi="Gill Sans MT"/>
          <w:sz w:val="24"/>
          <w:szCs w:val="24"/>
        </w:rPr>
      </w:pPr>
    </w:p>
    <w:p w14:paraId="34526B59" w14:textId="3FC509FC" w:rsidR="00E73E16" w:rsidRPr="00551C43" w:rsidRDefault="00E73E16" w:rsidP="00E73E16">
      <w:pPr>
        <w:pStyle w:val="ListParagraph"/>
        <w:numPr>
          <w:ilvl w:val="0"/>
          <w:numId w:val="14"/>
        </w:numPr>
        <w:rPr>
          <w:rFonts w:ascii="Gill Sans MT" w:hAnsi="Gill Sans MT"/>
          <w:sz w:val="24"/>
          <w:szCs w:val="24"/>
          <w:highlight w:val="yellow"/>
        </w:rPr>
      </w:pPr>
      <w:r w:rsidRPr="00551C43">
        <w:rPr>
          <w:rFonts w:ascii="Gill Sans MT" w:hAnsi="Gill Sans MT"/>
          <w:sz w:val="24"/>
          <w:szCs w:val="24"/>
          <w:highlight w:val="yellow"/>
        </w:rPr>
        <w:t>Week 5: Trade Balance and Economic Interactions</w:t>
      </w:r>
    </w:p>
    <w:p w14:paraId="58ED12EB" w14:textId="3FB0FFE4" w:rsidR="00E73E16" w:rsidRPr="00551C43" w:rsidRDefault="00E73E16" w:rsidP="00E73E16">
      <w:pPr>
        <w:pStyle w:val="ListParagraph"/>
        <w:numPr>
          <w:ilvl w:val="1"/>
          <w:numId w:val="14"/>
        </w:numPr>
        <w:rPr>
          <w:rFonts w:ascii="Gill Sans MT" w:hAnsi="Gill Sans MT"/>
          <w:sz w:val="24"/>
          <w:szCs w:val="24"/>
          <w:highlight w:val="yellow"/>
        </w:rPr>
      </w:pPr>
      <w:r w:rsidRPr="00551C43">
        <w:rPr>
          <w:rFonts w:ascii="Gill Sans MT" w:hAnsi="Gill Sans MT"/>
          <w:sz w:val="24"/>
          <w:szCs w:val="24"/>
          <w:highlight w:val="yellow"/>
        </w:rPr>
        <w:t>Deliverables:</w:t>
      </w:r>
    </w:p>
    <w:p w14:paraId="19FB9631" w14:textId="0455AFFD" w:rsidR="00E73E16" w:rsidRPr="00551C43" w:rsidRDefault="00E73E16" w:rsidP="00E73E16">
      <w:pPr>
        <w:pStyle w:val="ListParagraph"/>
        <w:numPr>
          <w:ilvl w:val="2"/>
          <w:numId w:val="14"/>
        </w:numPr>
        <w:rPr>
          <w:rFonts w:ascii="Gill Sans MT" w:hAnsi="Gill Sans MT"/>
          <w:sz w:val="24"/>
          <w:szCs w:val="24"/>
          <w:highlight w:val="yellow"/>
        </w:rPr>
      </w:pPr>
      <w:r w:rsidRPr="00551C43">
        <w:rPr>
          <w:rFonts w:ascii="Gill Sans MT" w:hAnsi="Gill Sans MT"/>
          <w:sz w:val="24"/>
          <w:szCs w:val="24"/>
          <w:highlight w:val="yellow"/>
        </w:rPr>
        <w:t>Visualization 1: A line chart tracking the Trade Balance over time, highlighting surpluses and deficits.</w:t>
      </w:r>
    </w:p>
    <w:p w14:paraId="2B7C06C9" w14:textId="77777777" w:rsidR="00E73E16" w:rsidRPr="00551C43" w:rsidRDefault="00E73E16" w:rsidP="00E73E16">
      <w:pPr>
        <w:pStyle w:val="ListParagraph"/>
        <w:numPr>
          <w:ilvl w:val="2"/>
          <w:numId w:val="14"/>
        </w:numPr>
        <w:rPr>
          <w:rFonts w:ascii="Gill Sans MT" w:hAnsi="Gill Sans MT"/>
          <w:sz w:val="24"/>
          <w:szCs w:val="24"/>
          <w:highlight w:val="yellow"/>
        </w:rPr>
      </w:pPr>
      <w:r w:rsidRPr="00551C43">
        <w:rPr>
          <w:rFonts w:ascii="Gill Sans MT" w:hAnsi="Gill Sans MT"/>
          <w:sz w:val="24"/>
          <w:szCs w:val="24"/>
          <w:highlight w:val="yellow"/>
        </w:rPr>
        <w:t>Visualization 2: A bubble chart comparing Trade Balance, GDP, and Federal Debt with bubble size representing debt levels, visually linking trade activity with economic indicators.</w:t>
      </w:r>
    </w:p>
    <w:p w14:paraId="6F71FDB0" w14:textId="77777777" w:rsidR="00E73E16" w:rsidRPr="00551C43" w:rsidRDefault="00E73E16" w:rsidP="00E73E16">
      <w:pPr>
        <w:pStyle w:val="ListParagraph"/>
        <w:numPr>
          <w:ilvl w:val="1"/>
          <w:numId w:val="14"/>
        </w:numPr>
        <w:rPr>
          <w:rFonts w:ascii="Gill Sans MT" w:hAnsi="Gill Sans MT"/>
          <w:sz w:val="24"/>
          <w:szCs w:val="24"/>
          <w:highlight w:val="yellow"/>
        </w:rPr>
      </w:pPr>
      <w:r w:rsidRPr="00551C43">
        <w:rPr>
          <w:rFonts w:ascii="Gill Sans MT" w:hAnsi="Gill Sans MT"/>
          <w:sz w:val="24"/>
          <w:szCs w:val="24"/>
          <w:highlight w:val="yellow"/>
        </w:rPr>
        <w:t>Synthesis and Future Predictions</w:t>
      </w:r>
    </w:p>
    <w:p w14:paraId="3234E790" w14:textId="77777777" w:rsidR="00E73E16" w:rsidRPr="00551C43" w:rsidRDefault="00E73E16" w:rsidP="00E73E16">
      <w:pPr>
        <w:pStyle w:val="ListParagraph"/>
        <w:numPr>
          <w:ilvl w:val="2"/>
          <w:numId w:val="14"/>
        </w:numPr>
        <w:rPr>
          <w:rFonts w:ascii="Gill Sans MT" w:hAnsi="Gill Sans MT"/>
          <w:sz w:val="24"/>
          <w:szCs w:val="24"/>
          <w:highlight w:val="yellow"/>
        </w:rPr>
      </w:pPr>
      <w:r w:rsidRPr="00551C43">
        <w:rPr>
          <w:rFonts w:ascii="Gill Sans MT" w:hAnsi="Gill Sans MT"/>
          <w:sz w:val="24"/>
          <w:szCs w:val="24"/>
          <w:highlight w:val="yellow"/>
        </w:rPr>
        <w:t>Deliverables:</w:t>
      </w:r>
    </w:p>
    <w:p w14:paraId="4F4402CE" w14:textId="77777777" w:rsidR="00E73E16" w:rsidRPr="00551C43" w:rsidRDefault="00E73E16" w:rsidP="00E73E16">
      <w:pPr>
        <w:pStyle w:val="ListParagraph"/>
        <w:numPr>
          <w:ilvl w:val="3"/>
          <w:numId w:val="14"/>
        </w:numPr>
        <w:rPr>
          <w:rFonts w:ascii="Gill Sans MT" w:hAnsi="Gill Sans MT"/>
          <w:sz w:val="24"/>
          <w:szCs w:val="24"/>
          <w:highlight w:val="yellow"/>
        </w:rPr>
      </w:pPr>
      <w:r w:rsidRPr="00551C43">
        <w:rPr>
          <w:rFonts w:ascii="Gill Sans MT" w:hAnsi="Gill Sans MT"/>
          <w:sz w:val="24"/>
          <w:szCs w:val="24"/>
          <w:highlight w:val="yellow"/>
        </w:rPr>
        <w:t>Visualization 1: A comprehensive dashboard combining significant visualizations from previous weeks, enabling a cohesive analysis of GDP, inflation, unemployment, and other macroeconomic indicators.</w:t>
      </w:r>
    </w:p>
    <w:p w14:paraId="36E00983" w14:textId="05D4C987" w:rsidR="00E73E16" w:rsidRPr="00551C43" w:rsidRDefault="00E73E16" w:rsidP="00E73E16">
      <w:pPr>
        <w:pStyle w:val="ListParagraph"/>
        <w:numPr>
          <w:ilvl w:val="3"/>
          <w:numId w:val="14"/>
        </w:numPr>
        <w:rPr>
          <w:rFonts w:ascii="Gill Sans MT" w:hAnsi="Gill Sans MT"/>
          <w:sz w:val="24"/>
          <w:szCs w:val="24"/>
          <w:highlight w:val="yellow"/>
        </w:rPr>
      </w:pPr>
      <w:r w:rsidRPr="00551C43">
        <w:rPr>
          <w:rFonts w:ascii="Gill Sans MT" w:hAnsi="Gill Sans MT"/>
          <w:sz w:val="24"/>
          <w:szCs w:val="24"/>
          <w:highlight w:val="yellow"/>
        </w:rPr>
        <w:t>Visualization 2: An interactive dashboard using shiny, allowing users to toggle between indicators like inflation, GDP, and trade balance to explore relationships and make predictions.</w:t>
      </w:r>
    </w:p>
    <w:p w14:paraId="1744CD66" w14:textId="77777777" w:rsidR="00E73E16" w:rsidRDefault="00E73E16" w:rsidP="00E73E16">
      <w:pPr>
        <w:pStyle w:val="ListParagraph"/>
        <w:rPr>
          <w:rFonts w:ascii="Gill Sans MT" w:hAnsi="Gill Sans MT"/>
          <w:sz w:val="24"/>
          <w:szCs w:val="24"/>
        </w:rPr>
      </w:pPr>
    </w:p>
    <w:p w14:paraId="7B844FF5" w14:textId="5A28F5AD" w:rsidR="00E73E16" w:rsidRPr="00E73E16" w:rsidRDefault="00E73E16" w:rsidP="00E73E16">
      <w:pPr>
        <w:pStyle w:val="ListParagraph"/>
        <w:rPr>
          <w:rFonts w:ascii="Gill Sans MT" w:hAnsi="Gill Sans MT"/>
          <w:sz w:val="24"/>
          <w:szCs w:val="24"/>
        </w:rPr>
      </w:pPr>
    </w:p>
    <w:sectPr w:rsidR="00E73E16" w:rsidRPr="00E73E16" w:rsidSect="00034616">
      <w:head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2B2607C" w14:textId="77777777" w:rsidR="00DE4530" w:rsidRDefault="00DE4530" w:rsidP="00ED3C50">
      <w:pPr>
        <w:spacing w:after="0" w:line="240" w:lineRule="auto"/>
      </w:pPr>
      <w:r>
        <w:separator/>
      </w:r>
    </w:p>
  </w:endnote>
  <w:endnote w:type="continuationSeparator" w:id="0">
    <w:p w14:paraId="6FA46315" w14:textId="77777777" w:rsidR="00DE4530" w:rsidRDefault="00DE4530" w:rsidP="00ED3C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FE276A" w14:textId="77777777" w:rsidR="00DE4530" w:rsidRDefault="00DE4530" w:rsidP="00ED3C50">
      <w:pPr>
        <w:spacing w:after="0" w:line="240" w:lineRule="auto"/>
      </w:pPr>
      <w:r>
        <w:separator/>
      </w:r>
    </w:p>
  </w:footnote>
  <w:footnote w:type="continuationSeparator" w:id="0">
    <w:p w14:paraId="454429A7" w14:textId="77777777" w:rsidR="00DE4530" w:rsidRDefault="00DE4530" w:rsidP="00ED3C5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1CEB7C" w14:textId="6D32F598" w:rsidR="00ED3C50" w:rsidRDefault="00ED3C50" w:rsidP="00ED3C50">
    <w:pPr>
      <w:pStyle w:val="Header"/>
      <w:tabs>
        <w:tab w:val="left" w:pos="3345"/>
      </w:tabs>
    </w:pPr>
    <w:r>
      <w:t>GCSC 577</w:t>
    </w:r>
    <w:r>
      <w:tab/>
    </w:r>
    <w:r>
      <w:tab/>
    </w:r>
    <w:r>
      <w:tab/>
      <w:t>Chris Jacob Karottukoikal</w:t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6E751FB"/>
    <w:multiLevelType w:val="hybridMultilevel"/>
    <w:tmpl w:val="B5D43D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41A257D"/>
    <w:multiLevelType w:val="hybridMultilevel"/>
    <w:tmpl w:val="33A219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16342E5"/>
    <w:multiLevelType w:val="hybridMultilevel"/>
    <w:tmpl w:val="0B66AFF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6C235B8A"/>
    <w:multiLevelType w:val="hybridMultilevel"/>
    <w:tmpl w:val="179406C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6FBC5479"/>
    <w:multiLevelType w:val="hybridMultilevel"/>
    <w:tmpl w:val="015A4E2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75646019"/>
    <w:multiLevelType w:val="hybridMultilevel"/>
    <w:tmpl w:val="D94CCA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58874755">
    <w:abstractNumId w:val="8"/>
  </w:num>
  <w:num w:numId="2" w16cid:durableId="2048334193">
    <w:abstractNumId w:val="6"/>
  </w:num>
  <w:num w:numId="3" w16cid:durableId="1773360550">
    <w:abstractNumId w:val="5"/>
  </w:num>
  <w:num w:numId="4" w16cid:durableId="35858469">
    <w:abstractNumId w:val="4"/>
  </w:num>
  <w:num w:numId="5" w16cid:durableId="1441610820">
    <w:abstractNumId w:val="7"/>
  </w:num>
  <w:num w:numId="6" w16cid:durableId="1161238451">
    <w:abstractNumId w:val="3"/>
  </w:num>
  <w:num w:numId="7" w16cid:durableId="1860653473">
    <w:abstractNumId w:val="2"/>
  </w:num>
  <w:num w:numId="8" w16cid:durableId="1840192860">
    <w:abstractNumId w:val="1"/>
  </w:num>
  <w:num w:numId="9" w16cid:durableId="760104645">
    <w:abstractNumId w:val="0"/>
  </w:num>
  <w:num w:numId="10" w16cid:durableId="1222790285">
    <w:abstractNumId w:val="14"/>
  </w:num>
  <w:num w:numId="11" w16cid:durableId="1617714252">
    <w:abstractNumId w:val="9"/>
  </w:num>
  <w:num w:numId="12" w16cid:durableId="1061518571">
    <w:abstractNumId w:val="10"/>
  </w:num>
  <w:num w:numId="13" w16cid:durableId="98913453">
    <w:abstractNumId w:val="11"/>
  </w:num>
  <w:num w:numId="14" w16cid:durableId="1186872526">
    <w:abstractNumId w:val="13"/>
  </w:num>
  <w:num w:numId="15" w16cid:durableId="2544803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4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6586"/>
    <w:rsid w:val="0015074B"/>
    <w:rsid w:val="0029639D"/>
    <w:rsid w:val="002A44A9"/>
    <w:rsid w:val="00317A99"/>
    <w:rsid w:val="00326F90"/>
    <w:rsid w:val="00551C43"/>
    <w:rsid w:val="009117FB"/>
    <w:rsid w:val="00A91DAE"/>
    <w:rsid w:val="00AA1D8D"/>
    <w:rsid w:val="00B47730"/>
    <w:rsid w:val="00B8772C"/>
    <w:rsid w:val="00C7409B"/>
    <w:rsid w:val="00C94FBC"/>
    <w:rsid w:val="00CB0664"/>
    <w:rsid w:val="00DE4530"/>
    <w:rsid w:val="00E512A8"/>
    <w:rsid w:val="00E73E16"/>
    <w:rsid w:val="00ED3C5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AA92778"/>
  <w14:defaultImageDpi w14:val="300"/>
  <w15:docId w15:val="{2CDFEFB4-1401-4081-BB77-48E84B1EBB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74465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02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2</Pages>
  <Words>356</Words>
  <Characters>2035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Janice Gifano Oenardi</cp:lastModifiedBy>
  <cp:revision>8</cp:revision>
  <dcterms:created xsi:type="dcterms:W3CDTF">2013-12-23T23:15:00Z</dcterms:created>
  <dcterms:modified xsi:type="dcterms:W3CDTF">2024-11-20T19:17:00Z</dcterms:modified>
  <cp:category/>
</cp:coreProperties>
</file>