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E8116" w14:textId="4EC7EB9F" w:rsidR="00B158A3" w:rsidRDefault="007D2102">
      <w:r>
        <w:t>Wayne Mitchell</w:t>
      </w:r>
    </w:p>
    <w:p w14:paraId="347280E6" w14:textId="4BD3A8AD" w:rsidR="007D2102" w:rsidRDefault="007D2102">
      <w:r>
        <w:t>CIS.250</w:t>
      </w:r>
    </w:p>
    <w:p w14:paraId="5BD29EE3" w14:textId="36E22CC2" w:rsidR="007D2102" w:rsidRDefault="007D2102">
      <w:r>
        <w:t>Week 10</w:t>
      </w:r>
    </w:p>
    <w:p w14:paraId="176F487B" w14:textId="44106D21" w:rsidR="007D2102" w:rsidRDefault="007D2102">
      <w:r>
        <w:t>Case 10.2</w:t>
      </w:r>
    </w:p>
    <w:p w14:paraId="76E5048D" w14:textId="77777777" w:rsidR="007D2102" w:rsidRDefault="007D2102"/>
    <w:p w14:paraId="6E252B43" w14:textId="3B4078A3" w:rsidR="007D2102" w:rsidRDefault="007D2102" w:rsidP="007D2102">
      <w:pPr>
        <w:ind w:firstLine="720"/>
      </w:pPr>
      <w:r w:rsidRPr="007D2102">
        <w:t xml:space="preserve">Offshoring IT work offers Turnkey Services </w:t>
      </w:r>
      <w:r>
        <w:t>advantages, notably cost reduction, since developer and technical labor rates in countries like India, the Philippines, and Eastern Europe are significantly lower than domestic rates, freeing</w:t>
      </w:r>
      <w:r w:rsidRPr="007D2102">
        <w:t xml:space="preserve"> up capital to fund the </w:t>
      </w:r>
      <w:r>
        <w:t>expansion of accounting and financial services</w:t>
      </w:r>
      <w:r w:rsidRPr="007D2102">
        <w:t>. Access to a larger global talent pool is another advantage, particularly for specialized skills that may be scarce or expensive in the Midwest market</w:t>
      </w:r>
      <w:r>
        <w:t>. The</w:t>
      </w:r>
      <w:r w:rsidRPr="007D2102">
        <w:t xml:space="preserve"> time zone differences</w:t>
      </w:r>
      <w:r>
        <w:t>, often seen as a drawback, can enable around-the-clock</w:t>
      </w:r>
      <w:r w:rsidRPr="007D2102">
        <w:t xml:space="preserve"> development cycles if managed well. However, the cons are substantial and especially relevant for a firm in Turnkey's position. Because Turnkey handles payroll and tax data, it is already operating in a highly sensitive regulatory </w:t>
      </w:r>
      <w:proofErr w:type="gramStart"/>
      <w:r w:rsidRPr="007D2102">
        <w:t>environment</w:t>
      </w:r>
      <w:r>
        <w:t>, and</w:t>
      </w:r>
      <w:proofErr w:type="gramEnd"/>
      <w:r w:rsidRPr="007D2102">
        <w:t xml:space="preserve"> expanding into accounting and financial services makes data security and compliance even more critical. Offshoring introduces real risks </w:t>
      </w:r>
      <w:r>
        <w:t>related to data privacy, foreign data protection laws, and the potential exposure of confidential client financial information across international borders</w:t>
      </w:r>
      <w:r w:rsidRPr="007D2102">
        <w:t>. Beyond security, communication barriers, cultural differences, and time zone gaps can slow project timelines and reduce quality if not carefully managed</w:t>
      </w:r>
      <w:r>
        <w:t>. Clients</w:t>
      </w:r>
      <w:r w:rsidRPr="007D2102">
        <w:t xml:space="preserve"> in the Midwest may have concerns about their sensitive financial data being handled overseas. My recommendation to Turnkey management would be to proceed cautiously, considering a hybrid model in which core data handling and </w:t>
      </w:r>
      <w:r>
        <w:t>client-facing systems remain domestic. At the same time, lower-risk</w:t>
      </w:r>
      <w:r w:rsidRPr="007D2102">
        <w:t xml:space="preserve"> development and support tasks are handled offshore, and </w:t>
      </w:r>
      <w:r>
        <w:t>we</w:t>
      </w:r>
      <w:r w:rsidRPr="007D2102">
        <w:t xml:space="preserve"> invest heavily in vetting </w:t>
      </w:r>
      <w:r>
        <w:t xml:space="preserve">subcontractors for security certifications and compliance with standards before signing </w:t>
      </w:r>
      <w:r w:rsidRPr="007D2102">
        <w:t>agreements.</w:t>
      </w:r>
    </w:p>
    <w:sectPr w:rsidR="007D2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102"/>
    <w:rsid w:val="00551378"/>
    <w:rsid w:val="00682C77"/>
    <w:rsid w:val="00747CB2"/>
    <w:rsid w:val="007D2102"/>
    <w:rsid w:val="00AD75CF"/>
    <w:rsid w:val="00B1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30007"/>
  <w15:chartTrackingRefBased/>
  <w15:docId w15:val="{8943BC80-B0A5-4D0C-B881-74AF17816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1</cp:revision>
  <dcterms:created xsi:type="dcterms:W3CDTF">2026-04-19T20:29:00Z</dcterms:created>
  <dcterms:modified xsi:type="dcterms:W3CDTF">2026-04-19T20:35:00Z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c7f8de5e-72d3-4b33-a570-73ce0188ae15</vt:lpwstr>
  </property>
</Properties>
</file>