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Calibri" w:cs="Calibri" w:eastAsia="Calibri" w:hAnsi="Calibri"/>
          <w:b/>
          <w:bCs/>
          <w:caps/>
          <w:color w:val="1B3556"/>
          <w:spacing w:val="20"/>
          <w:sz w:val="18"/>
          <w:szCs w:val="18"/>
        </w:rPr>
        <w:t xml:space="preserve">CARLOS J. MOLINA  ·  GRC CONSULTING</w:t>
      </w:r>
    </w:p>
    <w:p>
      <w:pPr>
        <w:spacing w:after="80"/>
        <w:jc w:val="center"/>
      </w:pPr>
      <w:r>
        <w:rPr>
          <w:rFonts w:ascii="Georgia" w:cs="Georgia" w:eastAsia="Georgia" w:hAnsi="Georgia"/>
          <w:b/>
          <w:bCs/>
          <w:color w:val="1B3556"/>
          <w:sz w:val="34"/>
          <w:szCs w:val="34"/>
        </w:rPr>
        <w:t xml:space="preserve">Information Security Scoping Questionnaire</w:t>
      </w:r>
    </w:p>
    <w:p>
      <w:pPr>
        <w:spacing w:after="200"/>
        <w:jc w:val="center"/>
      </w:pPr>
      <w:r>
        <w:rPr>
          <w:rFonts w:ascii="Calibri" w:cs="Calibri" w:eastAsia="Calibri" w:hAnsi="Calibri"/>
          <w:i/>
          <w:iCs/>
          <w:color w:val="6B6560"/>
          <w:sz w:val="22"/>
          <w:szCs w:val="22"/>
        </w:rPr>
        <w:t xml:space="preserve">A structured tool for defining information security risk assessment scope</w:t>
      </w:r>
    </w:p>
    <w:p>
      <w:pPr>
        <w:spacing w:after="40"/>
        <w:jc w:val="center"/>
      </w:pPr>
      <w:r>
        <w:rPr>
          <w:rFonts w:ascii="Calibri" w:cs="Calibri" w:eastAsia="Calibri" w:hAnsi="Calibri"/>
          <w:color w:val="6B6560"/>
          <w:sz w:val="20"/>
          <w:szCs w:val="20"/>
        </w:rPr>
        <w:t xml:space="preserve">Document type: Completed instance — Custody Corp engagement</w:t>
      </w:r>
    </w:p>
    <w:p>
      <w:pPr>
        <w:spacing w:after="40"/>
        <w:jc w:val="center"/>
      </w:pPr>
      <w:r>
        <w:rPr>
          <w:rFonts w:ascii="Calibri" w:cs="Calibri" w:eastAsia="Calibri" w:hAnsi="Calibri"/>
          <w:color w:val="6B6560"/>
          <w:sz w:val="20"/>
          <w:szCs w:val="20"/>
        </w:rPr>
        <w:t xml:space="preserve">Confidentiality: Client confidential</w:t>
      </w:r>
    </w:p>
    <w:p>
      <w:pPr>
        <w:spacing w:after="400"/>
        <w:jc w:val="center"/>
      </w:pPr>
      <w:r>
        <w:rPr>
          <w:i/>
          <w:iCs/>
          <w:color w:val="888780"/>
          <w:sz w:val="18"/>
          <w:szCs w:val="18"/>
        </w:rPr>
        <w:t xml:space="preserve">Fictional scenario — portfolio exercise, not based on any real organization's data</w:t>
      </w:r>
    </w:p>
    <w:p>
      <w:pPr>
        <w:spacing w:after="100"/>
      </w:pPr>
      <w:r>
        <w:rPr>
          <w:rFonts w:ascii="Calibri" w:cs="Calibri" w:eastAsia="Calibri" w:hAnsi="Calibri"/>
          <w:b/>
          <w:bCs/>
          <w:color w:val="1B3556"/>
          <w:sz w:val="20"/>
          <w:szCs w:val="20"/>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3556" w:val="clear"/>
          </w:tcPr>
          <w:p>
            <w:r>
              <w:rPr>
                <w:rFonts w:ascii="Calibri" w:cs="Calibri" w:eastAsia="Calibri" w:hAnsi="Calibri"/>
                <w:b/>
                <w:bCs/>
                <w:color w:val="FFFFFF"/>
                <w:sz w:val="18"/>
                <w:szCs w:val="18"/>
              </w:rPr>
              <w:t xml:space="preserve">Version</w:t>
            </w:r>
          </w:p>
        </w:tc>
        <w:tc>
          <w:tcPr>
            <w:tcW w:type="pct" w:w="20%"/>
            <w:shd w:fill="1B3556" w:val="clear"/>
          </w:tcPr>
          <w:p>
            <w:r>
              <w:rPr>
                <w:rFonts w:ascii="Calibri" w:cs="Calibri" w:eastAsia="Calibri" w:hAnsi="Calibri"/>
                <w:b/>
                <w:bCs/>
                <w:color w:val="FFFFFF"/>
                <w:sz w:val="18"/>
                <w:szCs w:val="18"/>
              </w:rPr>
              <w:t xml:space="preserve">Date</w:t>
            </w:r>
          </w:p>
        </w:tc>
        <w:tc>
          <w:tcPr>
            <w:tcW w:type="pct" w:w="20%"/>
            <w:shd w:fill="1B3556" w:val="clear"/>
          </w:tcPr>
          <w:p>
            <w:r>
              <w:rPr>
                <w:rFonts w:ascii="Calibri" w:cs="Calibri" w:eastAsia="Calibri" w:hAnsi="Calibri"/>
                <w:b/>
                <w:bCs/>
                <w:color w:val="FFFFFF"/>
                <w:sz w:val="18"/>
                <w:szCs w:val="18"/>
              </w:rPr>
              <w:t xml:space="preserve">Author</w:t>
            </w:r>
          </w:p>
        </w:tc>
        <w:tc>
          <w:tcPr>
            <w:tcW w:type="pct" w:w="20%"/>
            <w:shd w:fill="1B3556" w:val="clear"/>
          </w:tcPr>
          <w:p>
            <w:r>
              <w:rPr>
                <w:rFonts w:ascii="Calibri" w:cs="Calibri" w:eastAsia="Calibri" w:hAnsi="Calibri"/>
                <w:b/>
                <w:bCs/>
                <w:color w:val="FFFFFF"/>
                <w:sz w:val="18"/>
                <w:szCs w:val="18"/>
              </w:rPr>
              <w:t xml:space="preserve">Phase</w:t>
            </w:r>
          </w:p>
        </w:tc>
        <w:tc>
          <w:tcPr>
            <w:tcW w:type="pct" w:w="20%"/>
            <w:shd w:fill="1B3556" w:val="clear"/>
          </w:tcPr>
          <w:p>
            <w:r>
              <w:rPr>
                <w:rFonts w:ascii="Calibri" w:cs="Calibri" w:eastAsia="Calibri" w:hAnsi="Calibri"/>
                <w:b/>
                <w:bCs/>
                <w:color w:val="FFFFFF"/>
                <w:sz w:val="18"/>
                <w:szCs w:val="18"/>
              </w:rPr>
              <w:t xml:space="preserve">Deliverable</w:t>
            </w:r>
          </w:p>
        </w:tc>
      </w:tr>
      <w:tr>
        <w:tc>
          <w:tcPr>
            <w:tcW w:type="pct" w:w="20%"/>
          </w:tcPr>
          <w:p>
            <w:r>
              <w:rPr>
                <w:rFonts w:ascii="Calibri" w:cs="Calibri" w:eastAsia="Calibri" w:hAnsi="Calibri"/>
                <w:sz w:val="18"/>
                <w:szCs w:val="18"/>
              </w:rPr>
              <w:t xml:space="preserve">1.0</w:t>
            </w:r>
          </w:p>
        </w:tc>
        <w:tc>
          <w:tcPr>
            <w:tcW w:type="pct" w:w="20%"/>
          </w:tcPr>
          <w:p>
            <w:r>
              <w:rPr>
                <w:rFonts w:ascii="Calibri" w:cs="Calibri" w:eastAsia="Calibri" w:hAnsi="Calibri"/>
                <w:sz w:val="18"/>
                <w:szCs w:val="18"/>
              </w:rPr>
              <w:t xml:space="preserve">2026-09-02</w:t>
            </w:r>
          </w:p>
        </w:tc>
        <w:tc>
          <w:tcPr>
            <w:tcW w:type="pct" w:w="20%"/>
          </w:tcPr>
          <w:p>
            <w:r>
              <w:rPr>
                <w:rFonts w:ascii="Calibri" w:cs="Calibri" w:eastAsia="Calibri" w:hAnsi="Calibri"/>
                <w:sz w:val="18"/>
                <w:szCs w:val="18"/>
              </w:rPr>
              <w:t xml:space="preserve">Carlos J. Molina</w:t>
            </w:r>
          </w:p>
        </w:tc>
        <w:tc>
          <w:tcPr>
            <w:tcW w:type="pct" w:w="20%"/>
          </w:tcPr>
          <w:p>
            <w:r>
              <w:rPr>
                <w:rFonts w:ascii="Calibri" w:cs="Calibri" w:eastAsia="Calibri" w:hAnsi="Calibri"/>
                <w:sz w:val="18"/>
                <w:szCs w:val="18"/>
              </w:rPr>
              <w:t xml:space="preserve">Phase 1 — Scope</w:t>
            </w:r>
          </w:p>
        </w:tc>
        <w:tc>
          <w:tcPr>
            <w:tcW w:type="pct" w:w="20%"/>
          </w:tcPr>
          <w:p>
            <w:r>
              <w:rPr>
                <w:rFonts w:ascii="Calibri" w:cs="Calibri" w:eastAsia="Calibri" w:hAnsi="Calibri"/>
                <w:sz w:val="18"/>
                <w:szCs w:val="18"/>
              </w:rPr>
              <w:t xml:space="preserve">1 of 2</w:t>
            </w:r>
          </w:p>
        </w:tc>
      </w:tr>
    </w:tbl>
    <w:p>
      <w:pPr>
        <w:spacing w:after="300"/>
      </w:pPr>
    </w:p>
    <w:p>
      <w:pPr>
        <w:spacing w:after="150" w:before="200"/>
      </w:pPr>
      <w:r>
        <w:rPr>
          <w:rFonts w:ascii="Georgia" w:cs="Georgia" w:eastAsia="Georgia" w:hAnsi="Georgia"/>
          <w:b/>
          <w:bCs/>
          <w:color w:val="1B3556"/>
          <w:sz w:val="26"/>
          <w:szCs w:val="26"/>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ageBreakBefore/>
      </w:pPr>
      <w:r>
        <w:t xml:space="preserve"/>
      </w:r>
    </w:p>
    <w:p>
      <w:pPr>
        <w:pStyle w:val="Heading2"/>
        <w:spacing w:after="100"/>
      </w:pPr>
      <w:r>
        <w:rPr>
          <w:rFonts w:ascii="Georgia" w:cs="Georgia" w:eastAsia="Georgia" w:hAnsi="Georgia"/>
          <w:color w:val="1B3556"/>
        </w:rPr>
        <w:t xml:space="preserve">What this is</w:t>
      </w:r>
    </w:p>
    <w:p>
      <w:pPr>
        <w:spacing w:after="300"/>
      </w:pPr>
      <w:r>
        <w:rPr>
          <w:rFonts w:ascii="Calibri" w:cs="Calibri" w:eastAsia="Calibri" w:hAnsi="Calibri"/>
        </w:rPr>
        <w:t xml:space="preserve">The questions that need answering before an information security risk assessment can be scoped and executed. Answer them plainly and the resulting assessment will reflect how the organization actually operates. Answer them vaguely, and the gaps surface later, during the assessment itself, where they are harder and more costly to address.</w:t>
      </w:r>
    </w:p>
    <w:p>
      <w:pPr>
        <w:pStyle w:val="Heading2"/>
        <w:spacing w:after="100"/>
      </w:pPr>
      <w:r>
        <w:rPr>
          <w:rFonts w:ascii="Georgia" w:cs="Georgia" w:eastAsia="Georgia" w:hAnsi="Georgia"/>
          <w:color w:val="1B3556"/>
        </w:rPr>
        <w:t xml:space="preserve">How to use it</w:t>
      </w:r>
    </w:p>
    <w:p>
      <w:pPr>
        <w:pStyle w:val="ListParagraph"/>
        <w:numPr>
          <w:ilvl w:val="0"/>
          <w:numId w:val="2"/>
        </w:numPr>
        <w:spacing w:after="80"/>
      </w:pPr>
      <w:r>
        <w:rPr>
          <w:rFonts w:ascii="Calibri" w:cs="Calibri" w:eastAsia="Calibri" w:hAnsi="Calibri"/>
        </w:rPr>
        <w:t xml:space="preserve">Answer every question in writing. An answer that lives only in someone's memory is one that will need to be given again.</w:t>
      </w:r>
    </w:p>
    <w:p>
      <w:pPr>
        <w:pStyle w:val="ListParagraph"/>
        <w:numPr>
          <w:ilvl w:val="0"/>
          <w:numId w:val="2"/>
        </w:numPr>
        <w:spacing w:after="80"/>
      </w:pPr>
      <w:r>
        <w:rPr>
          <w:rFonts w:ascii="Calibri" w:cs="Calibri" w:eastAsia="Calibri" w:hAnsi="Calibri"/>
        </w:rPr>
        <w:t xml:space="preserve">Write what the organization actually does, not what it intends to do. Any review that follows will be tested against reality.</w:t>
      </w:r>
    </w:p>
    <w:p>
      <w:pPr>
        <w:pStyle w:val="ListParagraph"/>
        <w:numPr>
          <w:ilvl w:val="0"/>
          <w:numId w:val="2"/>
        </w:numPr>
        <w:spacing w:after="80"/>
      </w:pPr>
      <w:r>
        <w:rPr>
          <w:rFonts w:ascii="Calibri" w:cs="Calibri" w:eastAsia="Calibri" w:hAnsi="Calibri"/>
        </w:rPr>
        <w:t xml:space="preserve">Where the answer isn't known yet, name who owns finding out. An owner beats a blank.</w:t>
      </w:r>
    </w:p>
    <w:p>
      <w:pPr>
        <w:pStyle w:val="ListParagraph"/>
        <w:numPr>
          <w:ilvl w:val="0"/>
          <w:numId w:val="2"/>
        </w:numPr>
        <w:spacing w:after="80"/>
      </w:pPr>
      <w:r>
        <w:rPr>
          <w:rFonts w:ascii="Calibri" w:cs="Calibri" w:eastAsia="Calibri" w:hAnsi="Calibri"/>
        </w:rPr>
        <w:t xml:space="preserve">Keep this document. Most of these answers become the first draft of the organization's risk assessment scope.</w:t>
      </w:r>
    </w:p>
    <w:p>
      <w:pPr>
        <w:pStyle w:val="ListParagraph"/>
        <w:numPr>
          <w:ilvl w:val="0"/>
          <w:numId w:val="2"/>
        </w:numPr>
        <w:spacing w:after="300"/>
      </w:pPr>
      <w:r>
        <w:rPr>
          <w:rFonts w:ascii="Calibri" w:cs="Calibri" w:eastAsia="Calibri" w:hAnsi="Calibri"/>
        </w:rPr>
        <w:t xml:space="preserve">The questions are written to apply to any organization. The specificity belongs in the answers.</w:t>
      </w:r>
    </w:p>
    <w:p>
      <w:pPr>
        <w:spacing w:after="40" w:before="500"/>
      </w:pPr>
      <w:r>
        <w:rPr>
          <w:rFonts w:ascii="Calibri" w:cs="Calibri" w:eastAsia="Calibri" w:hAnsi="Calibri"/>
          <w:b/>
          <w:bCs/>
          <w:caps/>
          <w:color w:val="1B3556"/>
          <w:spacing w:val="20"/>
          <w:sz w:val="18"/>
          <w:szCs w:val="18"/>
        </w:rPr>
        <w:t xml:space="preserve">Part I — Context</w:t>
      </w:r>
    </w:p>
    <w:p>
      <w:pPr>
        <w:pStyle w:val="Heading1"/>
        <w:spacing w:after="200" w:before="80"/>
      </w:pPr>
      <w:r>
        <w:rPr>
          <w:rFonts w:ascii="Georgia" w:cs="Georgia" w:eastAsia="Georgia" w:hAnsi="Georgia"/>
          <w:color w:val="1B3556"/>
        </w:rPr>
        <w:t xml:space="preserve">1. Business Overview</w:t>
      </w:r>
    </w:p>
    <w:p>
      <w:pPr>
        <w:pStyle w:val="Heading3"/>
        <w:spacing w:after="60" w:before="200"/>
      </w:pPr>
      <w:r>
        <w:rPr>
          <w:rFonts w:ascii="Calibri" w:cs="Calibri" w:eastAsia="Calibri" w:hAnsi="Calibri"/>
        </w:rPr>
        <w:t xml:space="preserve">Describe the company: when it was founded, what it does, and where it operates from.</w:t>
      </w:r>
    </w:p>
    <w:p>
      <w:pPr>
        <w:spacing w:after="100"/>
      </w:pPr>
      <w:r>
        <w:rPr>
          <w:rFonts w:ascii="Calibri" w:cs="Calibri" w:eastAsia="Calibri" w:hAnsi="Calibri"/>
          <w:i/>
          <w:iCs/>
          <w:color w:val="6B6560"/>
          <w:sz w:val="20"/>
          <w:szCs w:val="20"/>
        </w:rPr>
        <w:t xml:space="preserve">Two or three sentences most people wouldn't dispute — this is what gets quoted back to you if anything here is ever tested.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Custody Corp is a physical security services provider offering guard and protection services to commercial, institutional, and industrial clients. The organization operates with approximately 200 operational security personnel deployed at client premises and 14 administrative staff supporting internal operations.</w:t>
      </w:r>
    </w:p>
    <w:p>
      <w:pPr>
        <w:pStyle w:val="Heading3"/>
        <w:spacing w:after="60" w:before="200"/>
      </w:pPr>
      <w:r>
        <w:rPr>
          <w:rFonts w:ascii="Calibri" w:cs="Calibri" w:eastAsia="Calibri" w:hAnsi="Calibri"/>
        </w:rPr>
        <w:t xml:space="preserve">What products and services do you sell?</w:t>
      </w:r>
    </w:p>
    <w:p>
      <w:pPr>
        <w:spacing w:after="100"/>
      </w:pPr>
      <w:r>
        <w:rPr>
          <w:rFonts w:ascii="Calibri" w:cs="Calibri" w:eastAsia="Calibri" w:hAnsi="Calibri"/>
          <w:i/>
          <w:iCs/>
          <w:color w:val="6B6560"/>
          <w:sz w:val="20"/>
          <w:szCs w:val="20"/>
        </w:rPr>
        <w:t xml:space="preserve">List everything, then mark what's actually in scope. What you leave out is a decision you may have to justify later.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Our core service is contracted physical security personnel — guards and protection staff assigned to client sites for on-premise security coverage. We also offer physical security consulting services, advising clients on security posture, vulnerability assessment of their facilities, and protection planning, independent of personnel deployment. Both service lines are outside the scope of this information security assessment, which instead covers the internal systems supporting our own payroll and administrative operations.</w:t>
      </w:r>
    </w:p>
    <w:p>
      <w:pPr>
        <w:pStyle w:val="Heading3"/>
        <w:spacing w:after="60" w:before="200"/>
      </w:pPr>
      <w:r>
        <w:rPr>
          <w:rFonts w:ascii="Calibri" w:cs="Calibri" w:eastAsia="Calibri" w:hAnsi="Calibri"/>
        </w:rPr>
        <w:t xml:space="preserve">Who are your customers?</w:t>
      </w:r>
    </w:p>
    <w:p>
      <w:pPr>
        <w:spacing w:after="100"/>
      </w:pPr>
      <w:r>
        <w:rPr>
          <w:rFonts w:ascii="Calibri" w:cs="Calibri" w:eastAsia="Calibri" w:hAnsi="Calibri"/>
          <w:i/>
          <w:iCs/>
          <w:color w:val="6B6560"/>
          <w:sz w:val="20"/>
          <w:szCs w:val="20"/>
        </w:rPr>
        <w:t xml:space="preserve">Segment or industry is enough, unless one specific relationship is the reason this assessment exists — if so, their contract likely sets your obligations.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Our customers are commercial, institutional, and industrial entities requiring on-site physical security personnel or security consulting services. No single client relationship is driving this assessment; we are conducting it as a proactive information security initiative.</w:t>
      </w:r>
    </w:p>
    <w:p>
      <w:pPr>
        <w:pStyle w:val="Heading3"/>
        <w:spacing w:after="60" w:before="200"/>
      </w:pPr>
      <w:r>
        <w:rPr>
          <w:rFonts w:ascii="Calibri" w:cs="Calibri" w:eastAsia="Calibri" w:hAnsi="Calibri"/>
        </w:rPr>
        <w:t xml:space="preserve">How many employees and contractors do you have, and how many can access the systems in scope?</w:t>
      </w:r>
    </w:p>
    <w:p>
      <w:pPr>
        <w:spacing w:after="100"/>
      </w:pPr>
      <w:r>
        <w:rPr>
          <w:rFonts w:ascii="Calibri" w:cs="Calibri" w:eastAsia="Calibri" w:hAnsi="Calibri"/>
          <w:i/>
          <w:iCs/>
          <w:color w:val="6B6560"/>
          <w:sz w:val="20"/>
          <w:szCs w:val="20"/>
        </w:rPr>
        <w:t xml:space="preserve">The second number is what any future testing will actually rely on. It's usually far smaller than the first, which works in your favor.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have approximately 214 personnel in total (200 operational, 14 administrative). Access to the payroll and administrative systems in scope is limited to a small subset: the payroll manager, the administrator, and the operations manager, each with distinct access relevant to their function.</w:t>
      </w:r>
    </w:p>
    <w:p>
      <w:pPr>
        <w:pStyle w:val="Heading3"/>
        <w:spacing w:after="60" w:before="200"/>
      </w:pPr>
      <w:r>
        <w:rPr>
          <w:rFonts w:ascii="Calibri" w:cs="Calibri" w:eastAsia="Calibri" w:hAnsi="Calibri"/>
        </w:rPr>
        <w:t xml:space="preserve">What is driving this assessment, and is there a deadline?</w:t>
      </w:r>
    </w:p>
    <w:p>
      <w:pPr>
        <w:spacing w:after="100"/>
      </w:pPr>
      <w:r>
        <w:rPr>
          <w:rFonts w:ascii="Calibri" w:cs="Calibri" w:eastAsia="Calibri" w:hAnsi="Calibri"/>
          <w:i/>
          <w:iCs/>
          <w:color w:val="6B6560"/>
          <w:sz w:val="20"/>
          <w:szCs w:val="20"/>
        </w:rPr>
        <w:t xml:space="preserve">A client requirement, a growth milestone, a regulatory trigger, or an internal decision. Whatever it is, it's the reason anyone would ask why this document exists.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This assessment is driven by our own decision to establish a structured information security risk management practice, ahead of any specific client or regulatory requirement, so we are positioned to respond readily should either arise.</w:t>
      </w:r>
    </w:p>
    <w:p>
      <w:pPr>
        <w:pStyle w:val="Heading1"/>
        <w:spacing w:after="200" w:before="80"/>
      </w:pPr>
      <w:r>
        <w:rPr>
          <w:rFonts w:ascii="Georgia" w:cs="Georgia" w:eastAsia="Georgia" w:hAnsi="Georgia"/>
          <w:color w:val="1B3556"/>
        </w:rPr>
        <w:t xml:space="preserve">2. Services and System in Scope</w:t>
      </w:r>
    </w:p>
    <w:p>
      <w:pPr>
        <w:pStyle w:val="Heading3"/>
        <w:spacing w:after="60" w:before="200"/>
      </w:pPr>
      <w:r>
        <w:rPr>
          <w:rFonts w:ascii="Calibri" w:cs="Calibri" w:eastAsia="Calibri" w:hAnsi="Calibri"/>
        </w:rPr>
        <w:t xml:space="preserve">Name the system, product, or application this assessment covers.</w:t>
      </w:r>
    </w:p>
    <w:p>
      <w:pPr>
        <w:spacing w:after="100"/>
      </w:pPr>
      <w:r>
        <w:rPr>
          <w:rFonts w:ascii="Calibri" w:cs="Calibri" w:eastAsia="Calibri" w:hAnsi="Calibri"/>
          <w:i/>
          <w:iCs/>
          <w:color w:val="6B6560"/>
          <w:sz w:val="20"/>
          <w:szCs w:val="20"/>
        </w:rPr>
        <w:t xml:space="preserve">Use the name used internally. This name is what the rest of this document — and any assessment that follows — will be measured against.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This assessment covers our Operations Platform — the payroll and administrative information systems, encompassing the Payroll Server, Payroll Application, Administrative Server, Administrative Management Application, associated workstations, and supporting network infrastructure.</w:t>
      </w:r>
    </w:p>
    <w:p>
      <w:pPr>
        <w:pStyle w:val="Heading3"/>
        <w:spacing w:after="60" w:before="200"/>
      </w:pPr>
      <w:r>
        <w:rPr>
          <w:rFonts w:ascii="Calibri" w:cs="Calibri" w:eastAsia="Calibri" w:hAnsi="Calibri"/>
        </w:rPr>
        <w:t xml:space="preserve">What does the system actually do, start to finish?</w:t>
      </w:r>
    </w:p>
    <w:p>
      <w:pPr>
        <w:spacing w:after="100"/>
      </w:pPr>
      <w:r>
        <w:rPr>
          <w:rFonts w:ascii="Calibri" w:cs="Calibri" w:eastAsia="Calibri" w:hAnsi="Calibri"/>
          <w:i/>
          <w:iCs/>
          <w:color w:val="6B6560"/>
          <w:sz w:val="20"/>
          <w:szCs w:val="20"/>
        </w:rPr>
        <w:t xml:space="preserve">Walk one process end to end. If it can't be described in a paragraph, the boundary hasn't actually been drawn yet.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Payroll processing begins with the payroll manager entering attendance and operational data for the workforce into the Payroll Application. Calculations for salary, deductions, and benefits are generated, and the resulting payment instructions are sent to the administrator for approval before execution through our banking relationships. Every 15 days, a payroll cycle closes with detailed traceability archived separately from daily operational backups.</w:t>
      </w:r>
    </w:p>
    <w:p>
      <w:pPr>
        <w:pStyle w:val="Heading3"/>
        <w:spacing w:after="60" w:before="200"/>
      </w:pPr>
      <w:r>
        <w:rPr>
          <w:rFonts w:ascii="Calibri" w:cs="Calibri" w:eastAsia="Calibri" w:hAnsi="Calibri"/>
        </w:rPr>
        <w:t xml:space="preserve">What is explicitly out of scope, and why?</w:t>
      </w:r>
    </w:p>
    <w:p>
      <w:pPr>
        <w:spacing w:after="100"/>
      </w:pPr>
      <w:r>
        <w:rPr>
          <w:rFonts w:ascii="Calibri" w:cs="Calibri" w:eastAsia="Calibri" w:hAnsi="Calibri"/>
          <w:i/>
          <w:iCs/>
          <w:color w:val="6B6560"/>
          <w:sz w:val="20"/>
          <w:szCs w:val="20"/>
        </w:rPr>
        <w:t xml:space="preserve">State the reason now, while it's fresh. Not having thought of something is a harder position to defend later than a documented decision.</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Client-facing physical security service delivery — guard deployment and security consulting engagements — is explicitly out of scope, as it doesn't involve the information systems being assessed. A supervisor-facing mobile application for attendance and incident reporting is also out of scope at this stage; it is currently in a testing phase and is expected to be incorporated into future assessment cycles as it moves toward production use.</w:t>
      </w:r>
    </w:p>
    <w:p>
      <w:pPr>
        <w:pStyle w:val="Heading3"/>
        <w:spacing w:after="60" w:before="200"/>
      </w:pPr>
      <w:r>
        <w:rPr>
          <w:rFonts w:ascii="Calibri" w:cs="Calibri" w:eastAsia="Calibri" w:hAnsi="Calibri"/>
        </w:rPr>
        <w:t xml:space="preserve">What types of data does the system store, process, or transmit?</w:t>
      </w:r>
    </w:p>
    <w:p>
      <w:pPr>
        <w:spacing w:after="100"/>
      </w:pPr>
      <w:r>
        <w:rPr>
          <w:rFonts w:ascii="Calibri" w:cs="Calibri" w:eastAsia="Calibri" w:hAnsi="Calibri"/>
          <w:i/>
          <w:iCs/>
          <w:color w:val="6B6560"/>
          <w:sz w:val="20"/>
          <w:szCs w:val="20"/>
        </w:rPr>
        <w:t xml:space="preserve">Be specific about personal, financial, and legally sensitive data. Vague answers here tend to become specific problems later.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The system stores and processes personnel data (names, roles, schedules), payroll data (salaries, banking details for direct deposit, tax and deduction information), and legally sensitive records including wage garnishment orders and disciplinary or termination documentation. The administrative system additionally handles our accounting and banking/treasury information.</w:t>
      </w:r>
    </w:p>
    <w:p>
      <w:pPr>
        <w:pStyle w:val="Heading3"/>
        <w:spacing w:after="60" w:before="200"/>
      </w:pPr>
      <w:r>
        <w:rPr>
          <w:rFonts w:ascii="Calibri" w:cs="Calibri" w:eastAsia="Calibri" w:hAnsi="Calibri"/>
        </w:rPr>
        <w:t xml:space="preserve">Draw or attach the system architecture and data flow.</w:t>
      </w:r>
    </w:p>
    <w:p>
      <w:pPr>
        <w:spacing w:after="100"/>
      </w:pPr>
      <w:r>
        <w:rPr>
          <w:rFonts w:ascii="Calibri" w:cs="Calibri" w:eastAsia="Calibri" w:hAnsi="Calibri"/>
          <w:i/>
          <w:iCs/>
          <w:color w:val="6B6560"/>
          <w:sz w:val="20"/>
          <w:szCs w:val="20"/>
        </w:rPr>
        <w:t xml:space="preserve">A diagram beats three pages of prose, and it's harder to misread. It should show the systems, the data stores, and any third party that touches data.</w:t>
      </w:r>
    </w:p>
    <w:p>
      <w:pPr>
        <w:spacing w:after="60"/>
      </w:pPr>
      <w:r>
        <w:rPr>
          <w:rFonts w:ascii="Calibri" w:cs="Calibri" w:eastAsia="Calibri" w:hAnsi="Calibri"/>
          <w:b/>
          <w:bCs/>
          <w:color w:val="6B6560"/>
          <w:sz w:val="18"/>
          <w:szCs w:val="18"/>
        </w:rPr>
        <w:t xml:space="preserve">RESPONSE</w:t>
      </w:r>
    </w:p>
    <w:p>
      <w:pPr>
        <w:spacing w:after="120"/>
        <w:jc w:val="center"/>
      </w:pPr>
      <w:r>
        <w:drawing>
          <wp:inline distT="0" distB="0" distL="0" distR="0">
            <wp:extent cx="4381500" cy="31590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59055"/>
                    </a:xfrm>
                    <a:prstGeom prst="rect">
                      <a:avLst/>
                    </a:prstGeom>
                  </pic:spPr>
                </pic:pic>
              </a:graphicData>
            </a:graphic>
          </wp:inline>
        </w:drawing>
      </w:r>
    </w:p>
    <w:p>
      <w:pPr>
        <w:spacing w:after="240"/>
      </w:pPr>
      <w:r>
        <w:rPr>
          <w:rFonts w:ascii="Calibri" w:cs="Calibri" w:eastAsia="Calibri" w:hAnsi="Calibri"/>
        </w:rPr>
        <w:t xml:space="preserve">Two parallel data flows exist within a shared on-premise network with no internet-facing exposure: the payroll flow (in-house built application, server, and data, with generated payroll requiring approval by the administrator before disbursement through a dedicated banking relationship) and the administrative flow (third-party application, server, and data, with vendor payments processed through a separate banking relationship). The Operations Manager Workstation, handling personnel scheduling, operates independently of both flows with no declared system dependency.</w:t>
      </w:r>
    </w:p>
    <w:p>
      <w:pPr>
        <w:pStyle w:val="Heading1"/>
        <w:spacing w:after="200" w:before="80"/>
      </w:pPr>
      <w:r>
        <w:rPr>
          <w:rFonts w:ascii="Georgia" w:cs="Georgia" w:eastAsia="Georgia" w:hAnsi="Georgia"/>
          <w:color w:val="1B3556"/>
        </w:rPr>
        <w:t xml:space="preserve">3. Interested Parties</w:t>
      </w:r>
    </w:p>
    <w:p>
      <w:pPr>
        <w:pStyle w:val="Heading3"/>
        <w:spacing w:after="60" w:before="200"/>
      </w:pPr>
      <w:r>
        <w:rPr>
          <w:rFonts w:ascii="Calibri" w:cs="Calibri" w:eastAsia="Calibri" w:hAnsi="Calibri"/>
        </w:rPr>
        <w:t xml:space="preserve">Who has a stake in how this organization handles information security?</w:t>
      </w:r>
    </w:p>
    <w:p>
      <w:pPr>
        <w:spacing w:after="100"/>
      </w:pPr>
      <w:r>
        <w:rPr>
          <w:rFonts w:ascii="Calibri" w:cs="Calibri" w:eastAsia="Calibri" w:hAnsi="Calibri"/>
          <w:i/>
          <w:iCs/>
          <w:color w:val="6B6560"/>
          <w:sz w:val="20"/>
          <w:szCs w:val="20"/>
        </w:rPr>
        <w:t xml:space="preserve">Include everyone with a legitimate interest — those who would administer the systems, those whose data is held, external parties the organization relies on, and anyone else affected. This section maps the full picture before the rest of the questionnaire goes into detail on any one of them.</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The administrator, payroll manager, and operations manager have a direct interest as the individuals responsible for operating and safeguarding these systems day to day. Our employees are a significant interested party — particularly our operational security personnel, given the sensitivity of the personal, financial, and legally-relevant records we hold about them. The communities and facilities where our guards are deployed also have an indirect stake in our internal reliability. Two third parties have a direct interest as well: the administrative management software vendor, and the two banking institutions we rely on for payroll and vendor payments. Government regulators overseeing the private security sector are also relevant, given our licensing obligations. We don't currently carry any information-security-specific insurance policy, so an insurer isn't yet relevant.</w:t>
      </w:r>
    </w:p>
    <w:p>
      <w:pPr>
        <w:spacing w:after="40" w:before="500"/>
      </w:pPr>
      <w:r>
        <w:rPr>
          <w:rFonts w:ascii="Calibri" w:cs="Calibri" w:eastAsia="Calibri" w:hAnsi="Calibri"/>
          <w:b/>
          <w:bCs/>
          <w:caps/>
          <w:color w:val="1B3556"/>
          <w:spacing w:val="20"/>
          <w:sz w:val="18"/>
          <w:szCs w:val="18"/>
        </w:rPr>
        <w:t xml:space="preserve">Part II — Governance</w:t>
      </w:r>
    </w:p>
    <w:p>
      <w:pPr>
        <w:pStyle w:val="Heading1"/>
        <w:spacing w:after="200" w:before="80"/>
      </w:pPr>
      <w:r>
        <w:rPr>
          <w:rFonts w:ascii="Georgia" w:cs="Georgia" w:eastAsia="Georgia" w:hAnsi="Georgia"/>
          <w:color w:val="1B3556"/>
        </w:rPr>
        <w:t xml:space="preserve">4. People and Organization</w:t>
      </w:r>
    </w:p>
    <w:p>
      <w:pPr>
        <w:pStyle w:val="Heading3"/>
        <w:spacing w:after="60" w:before="200"/>
      </w:pPr>
      <w:r>
        <w:rPr>
          <w:rFonts w:ascii="Calibri" w:cs="Calibri" w:eastAsia="Calibri" w:hAnsi="Calibri"/>
        </w:rPr>
        <w:t xml:space="preserve">Who owns the information security program?</w:t>
      </w:r>
    </w:p>
    <w:p>
      <w:pPr>
        <w:spacing w:after="100"/>
      </w:pPr>
      <w:r>
        <w:rPr>
          <w:rFonts w:ascii="Calibri" w:cs="Calibri" w:eastAsia="Calibri" w:hAnsi="Calibri"/>
          <w:i/>
          <w:iCs/>
          <w:color w:val="6B6560"/>
          <w:sz w:val="20"/>
          <w:szCs w:val="20"/>
        </w:rPr>
        <w:t xml:space="preserve">A named person, not a committee. Committees are hard to hold accountable; a name isn't.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There isn't a named information security owner today — the closest thing is the administrator, who oversees the systems and their day-to-day operation, but information security isn't a formally assigned responsibility for anyone yet.</w:t>
      </w:r>
    </w:p>
    <w:p>
      <w:pPr>
        <w:pStyle w:val="Heading3"/>
        <w:spacing w:after="60" w:before="200"/>
      </w:pPr>
      <w:r>
        <w:rPr>
          <w:rFonts w:ascii="Calibri" w:cs="Calibri" w:eastAsia="Calibri" w:hAnsi="Calibri"/>
        </w:rPr>
        <w:t xml:space="preserve">Which internal roles or teams support the systems in scope?</w:t>
      </w:r>
    </w:p>
    <w:p>
      <w:pPr>
        <w:spacing w:after="100"/>
      </w:pPr>
      <w:r>
        <w:rPr>
          <w:rFonts w:ascii="Calibri" w:cs="Calibri" w:eastAsia="Calibri" w:hAnsi="Calibri"/>
          <w:i/>
          <w:iCs/>
          <w:color w:val="6B6560"/>
          <w:sz w:val="20"/>
          <w:szCs w:val="20"/>
        </w:rPr>
        <w:t xml:space="preserve">These are the people who would actually be asked questions if this were ever formally reviewed.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The payroll manager and administrator directly support the systems in scope — the payroll manager generates payroll, and the administrator approves it and oversees the administrative system directly. The operations manager interacts with personnel scheduling data that touches the same general environment, though on a separate workstation.</w:t>
      </w:r>
    </w:p>
    <w:p>
      <w:pPr>
        <w:pStyle w:val="Heading3"/>
        <w:spacing w:after="60" w:before="200"/>
      </w:pPr>
      <w:r>
        <w:rPr>
          <w:rFonts w:ascii="Calibri" w:cs="Calibri" w:eastAsia="Calibri" w:hAnsi="Calibri"/>
        </w:rPr>
        <w:t xml:space="preserve">Is there a governing body, and does it have a role in security or risk decisions?</w:t>
      </w:r>
    </w:p>
    <w:p>
      <w:pPr>
        <w:spacing w:after="100"/>
      </w:pPr>
      <w:r>
        <w:rPr>
          <w:rFonts w:ascii="Calibri" w:cs="Calibri" w:eastAsia="Calibri" w:hAnsi="Calibri"/>
          <w:i/>
          <w:iCs/>
          <w:color w:val="6B6560"/>
          <w:sz w:val="20"/>
          <w:szCs w:val="20"/>
        </w:rPr>
        <w:t xml:space="preserve">State whether this body has been involved in any decision referenced in this document — an unapproved policy is just a draft.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Yes — executive leadership has been directly involved, including approving our risk tolerance posture for information security purposes. Beyond that specific decision, leadership has not yet been involved in day-to-day security or risk decisions related to these systems.</w:t>
      </w:r>
    </w:p>
    <w:p>
      <w:pPr>
        <w:pStyle w:val="Heading3"/>
        <w:spacing w:after="60" w:before="200"/>
      </w:pPr>
      <w:r>
        <w:rPr>
          <w:rFonts w:ascii="Calibri" w:cs="Calibri" w:eastAsia="Calibri" w:hAnsi="Calibri"/>
        </w:rPr>
        <w:t xml:space="preserve">Where do policies and procedures live, and who can access them?</w:t>
      </w:r>
    </w:p>
    <w:p>
      <w:pPr>
        <w:spacing w:after="100"/>
      </w:pPr>
      <w:r>
        <w:rPr>
          <w:rFonts w:ascii="Calibri" w:cs="Calibri" w:eastAsia="Calibri" w:hAnsi="Calibri"/>
          <w:i/>
          <w:iCs/>
          <w:color w:val="6B6560"/>
          <w:sz w:val="20"/>
          <w:szCs w:val="20"/>
        </w:rPr>
        <w:t xml:space="preserve">A policy nobody affected by it can reach is difficult to enforce and even harder to defend having enforced.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don't have a formal policy repository. Practices exist informally — through direct communication between the payroll manager, administrator, and operations manager — rather than through documented, centrally accessible procedures.</w:t>
      </w:r>
    </w:p>
    <w:p>
      <w:pPr>
        <w:spacing w:after="40" w:before="500"/>
      </w:pPr>
      <w:r>
        <w:rPr>
          <w:rFonts w:ascii="Calibri" w:cs="Calibri" w:eastAsia="Calibri" w:hAnsi="Calibri"/>
          <w:b/>
          <w:bCs/>
          <w:caps/>
          <w:color w:val="1B3556"/>
          <w:spacing w:val="20"/>
          <w:sz w:val="18"/>
          <w:szCs w:val="18"/>
        </w:rPr>
        <w:t xml:space="preserve">Part III — Risk Posture</w:t>
      </w:r>
    </w:p>
    <w:p>
      <w:pPr>
        <w:pStyle w:val="Heading1"/>
        <w:spacing w:after="200" w:before="80"/>
      </w:pPr>
      <w:r>
        <w:rPr>
          <w:rFonts w:ascii="Georgia" w:cs="Georgia" w:eastAsia="Georgia" w:hAnsi="Georgia"/>
          <w:color w:val="1B3556"/>
        </w:rPr>
        <w:t xml:space="preserve">5. Information Security Objectives</w:t>
      </w:r>
    </w:p>
    <w:p>
      <w:pPr>
        <w:pStyle w:val="Heading3"/>
        <w:spacing w:after="60" w:before="200"/>
      </w:pPr>
      <w:r>
        <w:rPr>
          <w:rFonts w:ascii="Calibri" w:cs="Calibri" w:eastAsia="Calibri" w:hAnsi="Calibri"/>
        </w:rPr>
        <w:t xml:space="preserve">Which information security objectives matter most for this organization, and why?</w:t>
      </w:r>
    </w:p>
    <w:p>
      <w:pPr>
        <w:spacing w:after="100"/>
      </w:pPr>
      <w:r>
        <w:rPr>
          <w:rFonts w:ascii="Calibri" w:cs="Calibri" w:eastAsia="Calibri" w:hAnsi="Calibri"/>
          <w:i/>
          <w:iCs/>
          <w:color w:val="6B6560"/>
          <w:sz w:val="20"/>
          <w:szCs w:val="20"/>
        </w:rPr>
        <w:t xml:space="preserve">This is an organization-wide statement of posture — the reasoning that any later, asset-by-asset rating should be able to trace back to.</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Confidentiality and Integrity of personnel and payroll data carry the most weight for us, ahead of system Availability in most cases. This reflects factors specific to our organization that wouldn't be obvious from a generic security framework, but become clear from operating the business directly.
First, our workforce is predominantly operational security personnel — a population with elevated sensitivity around wage, disciplinary, and termination records due to labor law exposure and the potential for disputes.
Second, and most critically: this personnel does not work from our own premises — they are physically deployed inside client facilities, often positioned as a visible extension of the client's own security posture. A payroll error, a delayed payment, or any operational system failure that generates dissatisfaction among guards does not stay contained within Custody Corp — it manifests directly on the client's premises, potentially as reduced vigilance, morale-driven turnover at a client site, or visible friction that the client itself observes. This coupling between internal system reliability and external, client-facing operational integrity is a risk amplifier specific to physical security service providers, and is not something a generic controls checklist would surface without direct operational experience.
Third, our own business is security, making any internal security failure disproportionately damaging to our institutional credibility.
Availability is weighted highly only where it affects real-time operational coordination — personnel scheduling for client-facing guard deployment — where a short lead time before disruption becomes critical; it is weighted lower for administrative systems with longer planning cycles and built-in operational slack.</w:t>
      </w:r>
    </w:p>
    <w:p>
      <w:pPr>
        <w:pStyle w:val="Heading3"/>
        <w:spacing w:after="60" w:before="200"/>
      </w:pPr>
      <w:r>
        <w:rPr>
          <w:rFonts w:ascii="Calibri" w:cs="Calibri" w:eastAsia="Calibri" w:hAnsi="Calibri"/>
        </w:rPr>
        <w:t xml:space="preserve">Is there a regulatory or contractual driver behind any specific objective?</w:t>
      </w:r>
    </w:p>
    <w:p>
      <w:pPr>
        <w:spacing w:after="100"/>
      </w:pPr>
      <w:r>
        <w:rPr>
          <w:rFonts w:ascii="Calibri" w:cs="Calibri" w:eastAsia="Calibri" w:hAnsi="Calibri"/>
          <w:i/>
          <w:iCs/>
          <w:color w:val="6B6560"/>
          <w:sz w:val="20"/>
          <w:szCs w:val="20"/>
        </w:rPr>
        <w:t xml:space="preserve">Name the actual driver, not just the objective it produces. Citing good practice alone rarely survives a real question about why.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Labor law requirements around accurate and timely wage payment, and around the confidentiality of personnel records (disciplinary actions, terminations, wage garnishment orders tied to legal proceedings such as child support obligations), are our primary regulatory drivers. The nature of the physical security services we provide also subjects us to periodic government oversight and audits — private security firms operate under sector-specific licensing and regulatory scrutiny distinct from general labor law, adding a compliance dimension beyond standard corporate obligations. Client service contracts also typically include confidentiality clauses covering any information we access about the client's own premises and operations through our guard deployment.</w:t>
      </w:r>
    </w:p>
    <w:p>
      <w:pPr>
        <w:pStyle w:val="Heading3"/>
        <w:spacing w:after="60" w:before="200"/>
      </w:pPr>
      <w:r>
        <w:rPr>
          <w:rFonts w:ascii="Calibri" w:cs="Calibri" w:eastAsia="Calibri" w:hAnsi="Calibri"/>
        </w:rPr>
        <w:t xml:space="preserve">Does the organization handle any category of information that warrants heightened protection beyond general business confidentiality?</w:t>
      </w:r>
    </w:p>
    <w:p>
      <w:pPr>
        <w:spacing w:after="100"/>
      </w:pPr>
      <w:r>
        <w:rPr>
          <w:rFonts w:ascii="Calibri" w:cs="Calibri" w:eastAsia="Calibri" w:hAnsi="Calibri"/>
          <w:i/>
          <w:iCs/>
          <w:color w:val="6B6560"/>
          <w:sz w:val="20"/>
          <w:szCs w:val="20"/>
        </w:rPr>
        <w:t xml:space="preserve">Anything that would cause outsized harm — to the organization or to someone else — if mishandled.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Yes — banking and account details for payroll disbursement, and personnel records containing legally sensitive material such as wage garnishment orders tied to family court proceedings, disciplinary actions, and termination documentation. Mishandling of the latter carries direct legal exposure toward third parties, such as dependents named in a garnishment order, not only toward the employee.</w:t>
      </w:r>
    </w:p>
    <w:p>
      <w:pPr>
        <w:pStyle w:val="Heading3"/>
        <w:spacing w:after="60" w:before="200"/>
      </w:pPr>
      <w:r>
        <w:rPr>
          <w:rFonts w:ascii="Calibri" w:cs="Calibri" w:eastAsia="Calibri" w:hAnsi="Calibri"/>
        </w:rPr>
        <w:t xml:space="preserve">What is the organization's risk tolerance, and who defined it?</w:t>
      </w:r>
    </w:p>
    <w:p>
      <w:pPr>
        <w:spacing w:after="100"/>
      </w:pPr>
      <w:r>
        <w:rPr>
          <w:rFonts w:ascii="Calibri" w:cs="Calibri" w:eastAsia="Calibri" w:hAnsi="Calibri"/>
          <w:i/>
          <w:iCs/>
          <w:color w:val="6B6560"/>
          <w:sz w:val="20"/>
          <w:szCs w:val="20"/>
        </w:rPr>
        <w:t xml:space="preserve">Not a number — a stated posture, with a named owner who could defend it if asked why.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maintain low tolerance for risks affecting Confidentiality and Integrity of personnel and payroll data, given the legal exposure and the operational amplification effect described above. We maintain moderate tolerance for Availability risks affecting administrative systems with built-in planning slack, and lower tolerance for Availability risks affecting real-time operational coordination systems. This risk tolerance posture was formally reviewed and approved by our executive leadership.</w:t>
      </w:r>
    </w:p>
    <w:p>
      <w:pPr>
        <w:pStyle w:val="Heading1"/>
        <w:spacing w:after="200" w:before="80"/>
      </w:pPr>
      <w:r>
        <w:rPr>
          <w:rFonts w:ascii="Georgia" w:cs="Georgia" w:eastAsia="Georgia" w:hAnsi="Georgia"/>
          <w:color w:val="1B3556"/>
        </w:rPr>
        <w:t xml:space="preserve">6. Commitments and System Requirements</w:t>
      </w:r>
    </w:p>
    <w:p>
      <w:pPr>
        <w:pStyle w:val="Heading3"/>
        <w:spacing w:after="60" w:before="200"/>
      </w:pPr>
      <w:r>
        <w:rPr>
          <w:rFonts w:ascii="Calibri" w:cs="Calibri" w:eastAsia="Calibri" w:hAnsi="Calibri"/>
        </w:rPr>
        <w:t xml:space="preserve">What commitments does the organization make, whether to employees, clients, or regulators, relevant to the systems in scope?</w:t>
      </w:r>
    </w:p>
    <w:p>
      <w:pPr>
        <w:spacing w:after="100"/>
      </w:pPr>
      <w:r>
        <w:rPr>
          <w:rFonts w:ascii="Calibri" w:cs="Calibri" w:eastAsia="Calibri" w:hAnsi="Calibri"/>
          <w:i/>
          <w:iCs/>
          <w:color w:val="6B6560"/>
          <w:sz w:val="20"/>
          <w:szCs w:val="20"/>
        </w:rPr>
        <w:t xml:space="preserve">Pull the actual commitment, not the aspiration. What's written here should match what's actually signed or published elsewhere.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We're committed to accurate and timely payment of wages to our approximately 214 employees — a legal obligation under labor law rather than a negotiated client commitment. We're also subject to periodic government oversight given the regulated nature of the private security services we provide.</w:t>
      </w:r>
    </w:p>
    <w:p>
      <w:pPr>
        <w:pStyle w:val="Heading3"/>
        <w:spacing w:after="60" w:before="200"/>
      </w:pPr>
      <w:r>
        <w:rPr>
          <w:rFonts w:ascii="Calibri" w:cs="Calibri" w:eastAsia="Calibri" w:hAnsi="Calibri"/>
        </w:rPr>
        <w:t xml:space="preserve">What processing or delivery timeframe commitments exist, and how are they measured?</w:t>
      </w:r>
    </w:p>
    <w:p>
      <w:pPr>
        <w:spacing w:after="100"/>
      </w:pPr>
      <w:r>
        <w:rPr>
          <w:rFonts w:ascii="Calibri" w:cs="Calibri" w:eastAsia="Calibri" w:hAnsi="Calibri"/>
          <w:i/>
          <w:iCs/>
          <w:color w:val="6B6560"/>
          <w:sz w:val="20"/>
          <w:szCs w:val="20"/>
        </w:rPr>
        <w:t xml:space="preserve">Whatever schedule is committed to is the schedule any disruption will be measured against, whether or not that's fair.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Payroll is processed on a 15-day cycle, with disbursement expected on the scheduled payment date. We measure this informally, based on whether payment is received on time by staff — we don't have a formal internal SLA document defining an acceptable delay window.</w:t>
      </w:r>
    </w:p>
    <w:p>
      <w:pPr>
        <w:pStyle w:val="Heading3"/>
        <w:spacing w:after="60" w:before="200"/>
      </w:pPr>
      <w:r>
        <w:rPr>
          <w:rFonts w:ascii="Calibri" w:cs="Calibri" w:eastAsia="Calibri" w:hAnsi="Calibri"/>
        </w:rPr>
        <w:t xml:space="preserve">What are the organization's incident or disruption notification expectations, internally and externally?</w:t>
      </w:r>
    </w:p>
    <w:p>
      <w:pPr>
        <w:spacing w:after="100"/>
      </w:pPr>
      <w:r>
        <w:rPr>
          <w:rFonts w:ascii="Calibri" w:cs="Calibri" w:eastAsia="Calibri" w:hAnsi="Calibri"/>
          <w:i/>
          <w:iCs/>
          <w:color w:val="6B6560"/>
          <w:sz w:val="20"/>
          <w:szCs w:val="20"/>
        </w:rPr>
        <w:t xml:space="preserve">Who has to know, and how fast, if something in scope fails or is compromised. An informal practice is still a practice — describe it as it actually works.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don't have a formal, documented notification policy, but we follow an informal practice: a designated representative from executive leadership is notified immediately by phone, followed by a written email notification. The payroll manager and administrator would typically be the first to identify an issue, given their direct operational involvement, initiating this notification chain.</w:t>
      </w:r>
    </w:p>
    <w:p>
      <w:pPr>
        <w:pStyle w:val="Heading3"/>
        <w:spacing w:after="60" w:before="200"/>
      </w:pPr>
      <w:r>
        <w:rPr>
          <w:rFonts w:ascii="Calibri" w:cs="Calibri" w:eastAsia="Calibri" w:hAnsi="Calibri"/>
        </w:rPr>
        <w:t xml:space="preserve">What internal standards must be met to keep those commitments?</w:t>
      </w:r>
    </w:p>
    <w:p>
      <w:pPr>
        <w:spacing w:after="100"/>
      </w:pPr>
      <w:r>
        <w:rPr>
          <w:rFonts w:ascii="Calibri" w:cs="Calibri" w:eastAsia="Calibri" w:hAnsi="Calibri"/>
          <w:i/>
          <w:iCs/>
          <w:color w:val="6B6560"/>
          <w:sz w:val="20"/>
          <w:szCs w:val="20"/>
        </w:rPr>
        <w:t xml:space="preserve">These should describe what's actually done today, not an aspirational policy. The gap between the two is usually where problems live.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Daily backup of operational payroll data to an external drive, a dedicated UPS protecting the Payroll Server and Payroll Manager Workstation, and segregation of duties between payroll generation and approval are the practices we currently have in place. We don't have a formal access review cadence, a patch management schedule for the third-party administrative software, or a documented backup/restoration testing process.</w:t>
      </w:r>
    </w:p>
    <w:p>
      <w:pPr>
        <w:spacing w:after="40" w:before="500"/>
      </w:pPr>
      <w:r>
        <w:rPr>
          <w:rFonts w:ascii="Calibri" w:cs="Calibri" w:eastAsia="Calibri" w:hAnsi="Calibri"/>
          <w:b/>
          <w:bCs/>
          <w:caps/>
          <w:color w:val="1B3556"/>
          <w:spacing w:val="20"/>
          <w:sz w:val="18"/>
          <w:szCs w:val="18"/>
        </w:rPr>
        <w:t xml:space="preserve">Part IV — Technical Reality</w:t>
      </w:r>
    </w:p>
    <w:p>
      <w:pPr>
        <w:pStyle w:val="Heading1"/>
        <w:spacing w:after="200" w:before="80"/>
      </w:pPr>
      <w:r>
        <w:rPr>
          <w:rFonts w:ascii="Georgia" w:cs="Georgia" w:eastAsia="Georgia" w:hAnsi="Georgia"/>
          <w:color w:val="1B3556"/>
        </w:rPr>
        <w:t xml:space="preserve">7. Infrastructure and Hosting</w:t>
      </w:r>
    </w:p>
    <w:p>
      <w:pPr>
        <w:pStyle w:val="Heading3"/>
        <w:spacing w:after="60" w:before="200"/>
      </w:pPr>
      <w:r>
        <w:rPr>
          <w:rFonts w:ascii="Calibri" w:cs="Calibri" w:eastAsia="Calibri" w:hAnsi="Calibri"/>
        </w:rPr>
        <w:t xml:space="preserve">Where does production run?</w:t>
      </w:r>
    </w:p>
    <w:p>
      <w:pPr>
        <w:spacing w:after="100"/>
      </w:pPr>
      <w:r>
        <w:rPr>
          <w:rFonts w:ascii="Calibri" w:cs="Calibri" w:eastAsia="Calibri" w:hAnsi="Calibri"/>
          <w:i/>
          <w:iCs/>
          <w:color w:val="6B6560"/>
          <w:sz w:val="20"/>
          <w:szCs w:val="20"/>
        </w:rPr>
        <w:t xml:space="preserve">Name the providers, the regions, and any facilities operated directly.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Everything runs on-premise at our own facilities — we don't use any cloud providers. We have two dedicated servers, one for payroll and one for administrative management, both physically located at our offices.</w:t>
      </w:r>
    </w:p>
    <w:p>
      <w:pPr>
        <w:pStyle w:val="Heading3"/>
        <w:spacing w:after="60" w:before="200"/>
      </w:pPr>
      <w:r>
        <w:rPr>
          <w:rFonts w:ascii="Calibri" w:cs="Calibri" w:eastAsia="Calibri" w:hAnsi="Calibri"/>
        </w:rPr>
        <w:t xml:space="preserve">List the production data stores and what each one holds.</w:t>
      </w:r>
    </w:p>
    <w:p>
      <w:pPr>
        <w:spacing w:after="100"/>
      </w:pPr>
      <w:r>
        <w:rPr>
          <w:rFonts w:ascii="Calibri" w:cs="Calibri" w:eastAsia="Calibri" w:hAnsi="Calibri"/>
          <w:i/>
          <w:iCs/>
          <w:color w:val="6B6560"/>
          <w:sz w:val="20"/>
          <w:szCs w:val="20"/>
        </w:rPr>
        <w:t xml:space="preserve">An incomplete list here isn't a paperwork problem — it's a blind spot that won't be discovered until something in it fails.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The payroll server holds employee compensation records — salaries, banking details for deposits, deduction information, and payment history. Separately, a complete historical archive of each calendar year's payroll is maintained, organized and clearly identified for future consultation, audits, or legal inquiries — distinct from the operational backup used for disaster recovery, this archive serves as our formal payroll record retention practice. The administrative server holds our accounting records, banking and treasury information, and vendor/client financial data. Neither system is cloud-hosted or backed by a managed database service.</w:t>
      </w:r>
    </w:p>
    <w:p>
      <w:pPr>
        <w:pStyle w:val="Heading3"/>
        <w:spacing w:after="60" w:before="200"/>
      </w:pPr>
      <w:r>
        <w:rPr>
          <w:rFonts w:ascii="Calibri" w:cs="Calibri" w:eastAsia="Calibri" w:hAnsi="Calibri"/>
        </w:rPr>
        <w:t xml:space="preserve">How is data separated between different business functions or user groups?</w:t>
      </w:r>
    </w:p>
    <w:p>
      <w:pPr>
        <w:spacing w:after="100"/>
      </w:pPr>
      <w:r>
        <w:rPr>
          <w:rFonts w:ascii="Calibri" w:cs="Calibri" w:eastAsia="Calibri" w:hAnsi="Calibri"/>
          <w:i/>
          <w:iCs/>
          <w:color w:val="6B6560"/>
          <w:sz w:val="20"/>
          <w:szCs w:val="20"/>
        </w:rPr>
        <w:t xml:space="preserve">The answer determines how access itself would actually be tested, not just how it's described.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Payroll and administrative data are separated by running on two entirely separate servers with separate applications — there's no shared database or shared infrastructure between them. Within each system, access is further separated by role: the payroll manager and administrator have different levels of access to the payroll system based on their function in the approval process.</w:t>
      </w:r>
    </w:p>
    <w:p>
      <w:pPr>
        <w:pStyle w:val="Heading3"/>
        <w:spacing w:after="60" w:before="200"/>
      </w:pPr>
      <w:r>
        <w:rPr>
          <w:rFonts w:ascii="Calibri" w:cs="Calibri" w:eastAsia="Calibri" w:hAnsi="Calibri"/>
        </w:rPr>
        <w:t xml:space="preserve">What identity or access management approach is used, and which systems are behind it?</w:t>
      </w:r>
    </w:p>
    <w:p>
      <w:pPr>
        <w:spacing w:after="100"/>
      </w:pPr>
      <w:r>
        <w:rPr>
          <w:rFonts w:ascii="Calibri" w:cs="Calibri" w:eastAsia="Calibri" w:hAnsi="Calibri"/>
          <w:i/>
          <w:iCs/>
          <w:color w:val="6B6560"/>
          <w:sz w:val="20"/>
          <w:szCs w:val="20"/>
        </w:rPr>
        <w:t xml:space="preserve">Name what isn't behind it too — those are the accounts most often missed when someone leaves or changes roles.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don't have a centralized identity provider. All workstations are joined to Active Directory, which handles authentication and centralized configuration for the workstations themselves, but the payroll and administrative applications are not integrated with it — each has its own separate login.</w:t>
      </w:r>
    </w:p>
    <w:p>
      <w:pPr>
        <w:pStyle w:val="Heading3"/>
        <w:spacing w:after="60" w:before="200"/>
      </w:pPr>
      <w:r>
        <w:rPr>
          <w:rFonts w:ascii="Calibri" w:cs="Calibri" w:eastAsia="Calibri" w:hAnsi="Calibri"/>
        </w:rPr>
        <w:t xml:space="preserve">What are the production, and any test or development, environments, and how are they separated?</w:t>
      </w:r>
    </w:p>
    <w:p>
      <w:pPr>
        <w:spacing w:after="100"/>
      </w:pPr>
      <w:r>
        <w:rPr>
          <w:rFonts w:ascii="Calibri" w:cs="Calibri" w:eastAsia="Calibri" w:hAnsi="Calibri"/>
          <w:i/>
          <w:iCs/>
          <w:color w:val="6B6560"/>
          <w:sz w:val="20"/>
          <w:szCs w:val="20"/>
        </w:rPr>
        <w:t xml:space="preserve">Shared credentials across environments is a common finding, and an avoidable one.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don't maintain separate test or development environments — both the payroll and administrative systems run as a single production environment. There's no staging environment where changes are tested before affecting live data.</w:t>
      </w:r>
    </w:p>
    <w:p>
      <w:pPr>
        <w:pStyle w:val="Heading1"/>
        <w:spacing w:after="200" w:before="80"/>
      </w:pPr>
      <w:r>
        <w:rPr>
          <w:rFonts w:ascii="Georgia" w:cs="Georgia" w:eastAsia="Georgia" w:hAnsi="Georgia"/>
          <w:color w:val="1B3556"/>
        </w:rPr>
        <w:t xml:space="preserve">8. Third-Party and Supplier Relationships</w:t>
      </w:r>
    </w:p>
    <w:p>
      <w:pPr>
        <w:pStyle w:val="Heading3"/>
        <w:spacing w:after="60" w:before="200"/>
      </w:pPr>
      <w:r>
        <w:rPr>
          <w:rFonts w:ascii="Calibri" w:cs="Calibri" w:eastAsia="Calibri" w:hAnsi="Calibri"/>
        </w:rPr>
        <w:t xml:space="preserve">Which third parties store, process, or transmit organizational or personnel data?</w:t>
      </w:r>
    </w:p>
    <w:p>
      <w:pPr>
        <w:spacing w:after="100"/>
      </w:pPr>
      <w:r>
        <w:rPr>
          <w:rFonts w:ascii="Calibri" w:cs="Calibri" w:eastAsia="Calibri" w:hAnsi="Calibri"/>
          <w:i/>
          <w:iCs/>
          <w:color w:val="6B6560"/>
          <w:sz w:val="20"/>
          <w:szCs w:val="20"/>
        </w:rPr>
        <w:t xml:space="preserve">Start from what actually touches data in scope, not from a general vendor list.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Two third parties are in scope: the administrative management software vendor, providing accounting, banking reconciliation, and general administrative functionality; and two banking institutions — one used for payroll disbursement, and a separate institution used for vendor and supplier payments.</w:t>
      </w:r>
    </w:p>
    <w:p>
      <w:pPr>
        <w:pStyle w:val="Heading3"/>
        <w:spacing w:after="60" w:before="200"/>
      </w:pPr>
      <w:r>
        <w:rPr>
          <w:rFonts w:ascii="Calibri" w:cs="Calibri" w:eastAsia="Calibri" w:hAnsi="Calibri"/>
        </w:rPr>
        <w:t xml:space="preserve">For each third party identified, do you rely on their controls to meet your own security commitments?</w:t>
      </w:r>
    </w:p>
    <w:p>
      <w:pPr>
        <w:spacing w:after="100"/>
      </w:pPr>
      <w:r>
        <w:rPr>
          <w:rFonts w:ascii="Calibri" w:cs="Calibri" w:eastAsia="Calibri" w:hAnsi="Calibri"/>
          <w:i/>
          <w:iCs/>
          <w:color w:val="6B6560"/>
          <w:sz w:val="20"/>
          <w:szCs w:val="20"/>
        </w:rPr>
        <w:t xml:space="preserve">If their control fails, does the organization's own risk posture change? If yes, that relationship needs to be tracked, not just noted.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Both banking institutions are relied upon for their own transaction validation and limit controls, which we factor directly into our risk treatment for payroll fraud scenarios. The administrative software vendor is relied upon for patch management and vulnerability remediation on their end, as we have no visibility or control over the vendor's own development and security practices.</w:t>
      </w:r>
    </w:p>
    <w:p>
      <w:pPr>
        <w:pStyle w:val="Heading3"/>
        <w:spacing w:after="60" w:before="200"/>
      </w:pPr>
      <w:r>
        <w:rPr>
          <w:rFonts w:ascii="Calibri" w:cs="Calibri" w:eastAsia="Calibri" w:hAnsi="Calibri"/>
        </w:rPr>
        <w:t xml:space="preserve">What assurance do you have over each critical third party's own security posture?</w:t>
      </w:r>
    </w:p>
    <w:p>
      <w:pPr>
        <w:spacing w:after="100"/>
      </w:pPr>
      <w:r>
        <w:rPr>
          <w:rFonts w:ascii="Calibri" w:cs="Calibri" w:eastAsia="Calibri" w:hAnsi="Calibri"/>
          <w:i/>
          <w:iCs/>
          <w:color w:val="6B6560"/>
          <w:sz w:val="20"/>
          <w:szCs w:val="20"/>
        </w:rPr>
        <w:t xml:space="preserve">A certification, an audit report, a completed questionnaire, or — stated plainly — nothing yet.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No formal assurance documentation currently exists for either the administrative software vendor or the two banking institutions. Our reliance today is based on the institutions' regulatory standing as licensed financial entities and the vendor's market reputation, rather than on any documented security review we've conducted.</w:t>
      </w:r>
    </w:p>
    <w:p>
      <w:pPr>
        <w:pStyle w:val="Heading3"/>
        <w:spacing w:after="60" w:before="200"/>
      </w:pPr>
      <w:r>
        <w:rPr>
          <w:rFonts w:ascii="Calibri" w:cs="Calibri" w:eastAsia="Calibri" w:hAnsi="Calibri"/>
        </w:rPr>
        <w:t xml:space="preserve">How is the relationship with each critical third party governed contractually?</w:t>
      </w:r>
    </w:p>
    <w:p>
      <w:pPr>
        <w:spacing w:after="100"/>
      </w:pPr>
      <w:r>
        <w:rPr>
          <w:rFonts w:ascii="Calibri" w:cs="Calibri" w:eastAsia="Calibri" w:hAnsi="Calibri"/>
          <w:i/>
          <w:iCs/>
          <w:color w:val="6B6560"/>
          <w:sz w:val="20"/>
          <w:szCs w:val="20"/>
        </w:rPr>
        <w:t xml:space="preserve">Look for clauses that actually address a security failure on their end, not just general service terms.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Contracts with both banking institutions follow standard commercial banking terms, which include regulatory-mandated fraud protection and liability frameworks but no security clauses specific to our own risk profile. Our agreement with the administrative software vendor hasn't been reviewed specifically for security or data handling clauses as part of this assessment.</w:t>
      </w:r>
    </w:p>
    <w:p>
      <w:pPr>
        <w:pStyle w:val="Heading3"/>
        <w:spacing w:after="60" w:before="200"/>
      </w:pPr>
      <w:r>
        <w:rPr>
          <w:rFonts w:ascii="Calibri" w:cs="Calibri" w:eastAsia="Calibri" w:hAnsi="Calibri"/>
        </w:rPr>
        <w:t xml:space="preserve">What would happen to the organization's operations if a critical third party's service failed or was compromised?</w:t>
      </w:r>
    </w:p>
    <w:p>
      <w:pPr>
        <w:spacing w:after="100"/>
      </w:pPr>
      <w:r>
        <w:rPr>
          <w:rFonts w:ascii="Calibri" w:cs="Calibri" w:eastAsia="Calibri" w:hAnsi="Calibri"/>
          <w:i/>
          <w:iCs/>
          <w:color w:val="6B6560"/>
          <w:sz w:val="20"/>
          <w:szCs w:val="20"/>
        </w:rPr>
        <w:t xml:space="preserve">This is where the real exposure lives — not in the vendor's own posture, but in what happens here if it fails.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If either banking institution's service failed, payroll or vendor payments would be delayed, with direct operational consequences given our payment cycle obligations — though a full outage of a regulated financial institution is a lower-probability event than an internal system failure.
Because our administrative management system runs on-premise without direct internet exposure, a security compromise on the vendor's own infrastructure doesn't automatically translate into exposure of our data — unlike a cloud-hosted or internet-facing vendor relationship. Realistic exposure would instead require a more deliberate vector, such as a compromised software update installed locally, or data extraction requiring some form of physical or on-premise access. This distinction is worth keeping in mind when evaluating vendor risk, even though it doesn't eliminate our dependency on the vendor for patch management and functional reliability.</w:t>
      </w:r>
    </w:p>
    <w:p>
      <w:pPr>
        <w:spacing w:after="40" w:before="500"/>
      </w:pPr>
      <w:r>
        <w:rPr>
          <w:rFonts w:ascii="Calibri" w:cs="Calibri" w:eastAsia="Calibri" w:hAnsi="Calibri"/>
          <w:b/>
          <w:bCs/>
          <w:caps/>
          <w:color w:val="1B3556"/>
          <w:spacing w:val="20"/>
          <w:sz w:val="18"/>
          <w:szCs w:val="18"/>
        </w:rPr>
        <w:t xml:space="preserve">Part V — Assessment Scope</w:t>
      </w:r>
    </w:p>
    <w:p>
      <w:pPr>
        <w:pStyle w:val="Heading1"/>
        <w:spacing w:after="200" w:before="80"/>
      </w:pPr>
      <w:r>
        <w:rPr>
          <w:rFonts w:ascii="Georgia" w:cs="Georgia" w:eastAsia="Georgia" w:hAnsi="Georgia"/>
          <w:color w:val="1B3556"/>
        </w:rPr>
        <w:t xml:space="preserve">9. Assessment Type and Timeline</w:t>
      </w:r>
    </w:p>
    <w:p>
      <w:pPr>
        <w:pStyle w:val="Heading3"/>
        <w:spacing w:after="60" w:before="200"/>
      </w:pPr>
      <w:r>
        <w:rPr>
          <w:rFonts w:ascii="Calibri" w:cs="Calibri" w:eastAsia="Calibri" w:hAnsi="Calibri"/>
        </w:rPr>
        <w:t xml:space="preserve">Is this an initial risk assessment, a gap analysis toward certification, or a certification audit itself?</w:t>
      </w:r>
    </w:p>
    <w:p>
      <w:pPr>
        <w:spacing w:after="100"/>
      </w:pPr>
      <w:r>
        <w:rPr>
          <w:rFonts w:ascii="Calibri" w:cs="Calibri" w:eastAsia="Calibri" w:hAnsi="Calibri"/>
          <w:i/>
          <w:iCs/>
          <w:color w:val="6B6560"/>
          <w:sz w:val="20"/>
          <w:szCs w:val="20"/>
        </w:rPr>
        <w:t xml:space="preserve">Each has a different depth and a different audience. State which this is, and what would trigger moving to the next stage.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This engagement is an initial risk assessment — the foundational analysis identifying assets, risk scenarios, and applied controls that will inform our information security posture. It's not yet a gap analysis toward certification, though the work performed directly feeds into one. Moving to a formal gap analysis would be triggered by a client contractual requirement for ISO 27001 certification, a competitive differentiation need in the physical security services market, or a decision by leadership to pursue certification proactively.</w:t>
      </w:r>
    </w:p>
    <w:p>
      <w:pPr>
        <w:pStyle w:val="Heading3"/>
        <w:spacing w:after="60" w:before="200"/>
      </w:pPr>
      <w:r>
        <w:rPr>
          <w:rFonts w:ascii="Calibri" w:cs="Calibri" w:eastAsia="Calibri" w:hAnsi="Calibri"/>
        </w:rPr>
        <w:t xml:space="preserve">If working toward certification, what is the realistic timeline for Stage 1 (documentation review) and Stage 2 (implementation audit)?</w:t>
      </w:r>
    </w:p>
    <w:p>
      <w:pPr>
        <w:spacing w:after="100"/>
      </w:pPr>
      <w:r>
        <w:rPr>
          <w:rFonts w:ascii="Calibri" w:cs="Calibri" w:eastAsia="Calibri" w:hAnsi="Calibri"/>
          <w:i/>
          <w:iCs/>
          <w:color w:val="6B6560"/>
          <w:sz w:val="20"/>
          <w:szCs w:val="20"/>
        </w:rPr>
        <w:t xml:space="preserve">State target dates and whether they're externally imposed or internally set — the two tend to get treated differently under pressure.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No certification timeline is currently defined, as this engagement hasn't yet progressed beyond initial risk assessment. A realistic timeline would depend on the outcome of a future gap analysis, which would need to identify and close any control gaps surfaced during that process before Stage 1 readiness could be reasonably targeted.</w:t>
      </w:r>
    </w:p>
    <w:p>
      <w:pPr>
        <w:pStyle w:val="Heading3"/>
        <w:spacing w:after="60" w:before="200"/>
      </w:pPr>
      <w:r>
        <w:rPr>
          <w:rFonts w:ascii="Calibri" w:cs="Calibri" w:eastAsia="Calibri" w:hAnsi="Calibri"/>
        </w:rPr>
        <w:t xml:space="preserve">Has this organization been assessed or certified before, in this framework or any other, and were there findings?</w:t>
      </w:r>
    </w:p>
    <w:p>
      <w:pPr>
        <w:spacing w:after="100"/>
      </w:pPr>
      <w:r>
        <w:rPr>
          <w:rFonts w:ascii="Calibri" w:cs="Calibri" w:eastAsia="Calibri" w:hAnsi="Calibri"/>
          <w:i/>
          <w:iCs/>
          <w:color w:val="6B6560"/>
          <w:sz w:val="20"/>
          <w:szCs w:val="20"/>
        </w:rPr>
        <w:t xml:space="preserve">Prior findings get attention in any subsequent review, even informal ones. Have remediation evidence ready if there were any.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We haven't previously undergone a formal information security assessment or certification audit, in ISO 27001 or any other framework. This is our first structured information security risk assessment.</w:t>
      </w:r>
    </w:p>
    <w:p>
      <w:pPr>
        <w:pStyle w:val="Heading1"/>
        <w:spacing w:after="200" w:before="80"/>
      </w:pPr>
      <w:r>
        <w:rPr>
          <w:rFonts w:ascii="Georgia" w:cs="Georgia" w:eastAsia="Georgia" w:hAnsi="Georgia"/>
          <w:color w:val="1B3556"/>
        </w:rPr>
        <w:t xml:space="preserve">10. Recent and Planned Changes</w:t>
      </w:r>
    </w:p>
    <w:p>
      <w:pPr>
        <w:pStyle w:val="Heading3"/>
        <w:spacing w:after="60" w:before="200"/>
      </w:pPr>
      <w:r>
        <w:rPr>
          <w:rFonts w:ascii="Calibri" w:cs="Calibri" w:eastAsia="Calibri" w:hAnsi="Calibri"/>
        </w:rPr>
        <w:t xml:space="preserve">What significant changes happened in the last twelve months?</w:t>
      </w:r>
    </w:p>
    <w:p>
      <w:pPr>
        <w:spacing w:after="100"/>
      </w:pPr>
      <w:r>
        <w:rPr>
          <w:rFonts w:ascii="Calibri" w:cs="Calibri" w:eastAsia="Calibri" w:hAnsi="Calibri"/>
          <w:i/>
          <w:iCs/>
          <w:color w:val="6B6560"/>
          <w:sz w:val="20"/>
          <w:szCs w:val="20"/>
        </w:rPr>
        <w:t xml:space="preserve">New systems, reorganizations, growth, a new core process — anything that might justify revisiting this assessment sooner than planned.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No major system changes in the last twelve months. Headcount has remained relatively stable, and the payroll and administrative systems have been operating in their current configuration throughout this period.</w:t>
      </w:r>
    </w:p>
    <w:p>
      <w:pPr>
        <w:pStyle w:val="Heading3"/>
        <w:spacing w:after="60" w:before="200"/>
      </w:pPr>
      <w:r>
        <w:rPr>
          <w:rFonts w:ascii="Calibri" w:cs="Calibri" w:eastAsia="Calibri" w:hAnsi="Calibri"/>
        </w:rPr>
        <w:t xml:space="preserve">What significant changes are planned during the review period?</w:t>
      </w:r>
    </w:p>
    <w:p>
      <w:pPr>
        <w:spacing w:after="100"/>
      </w:pPr>
      <w:r>
        <w:rPr>
          <w:rFonts w:ascii="Calibri" w:cs="Calibri" w:eastAsia="Calibri" w:hAnsi="Calibri"/>
          <w:i/>
          <w:iCs/>
          <w:color w:val="6B6560"/>
          <w:sz w:val="20"/>
          <w:szCs w:val="20"/>
        </w:rPr>
        <w:t xml:space="preserve">A migration or new tool mid-assessment is a real complication. Better to know now than to discover it partway through.</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A supervisor-facing mobile application for attendance and incident reporting is currently in a testing phase, developed internally. It isn't yet part of the systems in scope for this assessment, but is expected to be incorporated into future assessment cycles as it moves toward production use.</w:t>
      </w:r>
    </w:p>
    <w:p>
      <w:pPr>
        <w:pStyle w:val="Heading3"/>
        <w:spacing w:after="60" w:before="200"/>
      </w:pPr>
      <w:r>
        <w:rPr>
          <w:rFonts w:ascii="Calibri" w:cs="Calibri" w:eastAsia="Calibri" w:hAnsi="Calibri"/>
        </w:rPr>
        <w:t xml:space="preserve">Has there been a security incident in the last twelve months?</w:t>
      </w:r>
    </w:p>
    <w:p>
      <w:pPr>
        <w:spacing w:after="100"/>
      </w:pPr>
      <w:r>
        <w:rPr>
          <w:rFonts w:ascii="Calibri" w:cs="Calibri" w:eastAsia="Calibri" w:hAnsi="Calibri"/>
          <w:i/>
          <w:iCs/>
          <w:color w:val="6B6560"/>
          <w:sz w:val="20"/>
          <w:szCs w:val="20"/>
        </w:rPr>
        <w:t xml:space="preserve">Incidents affecting any stated commitment should be disclosed here, plainly, rather than explained later under pressure.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No formal security incident has occurred in the last twelve months, to our knowledge. We don't have monitoring or logging in place that would necessarily detect every type of incident, so this reflects awareness rather than a confirmed absence.</w:t>
      </w:r>
    </w:p>
    <w:p>
      <w:pPr>
        <w:pBdr>
          <w:bottom w:val="single" w:color="C9C4BA" w:sz="6"/>
        </w:pBdr>
        <w:spacing w:after="300"/>
      </w:pPr>
      <w:r>
        <w:t xml:space="preserve"/>
      </w:r>
    </w:p>
    <w:p>
      <w:pPr>
        <w:pStyle w:val="Heading1"/>
        <w:spacing w:after="200" w:before="100"/>
      </w:pPr>
      <w:r>
        <w:rPr>
          <w:rFonts w:ascii="Georgia" w:cs="Georgia" w:eastAsia="Georgia" w:hAnsi="Georgia"/>
          <w:color w:val="1B3556"/>
        </w:rPr>
        <w:t xml:space="preserve">Closing Assessment</w:t>
      </w:r>
    </w:p>
    <w:p>
      <w:pPr>
        <w:spacing w:after="60"/>
      </w:pPr>
      <w:r>
        <w:rPr>
          <w:rFonts w:ascii="Calibri" w:cs="Calibri" w:eastAsia="Calibri" w:hAnsi="Calibri"/>
        </w:rPr>
        <w:t xml:space="preserve">If something failed tomorrow, would the people responsible for it notice in time, and would they know how to respond — not just who to call?</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000000"/>
        </w:rPr>
        <w:t xml:space="preserve">Probably not with full confidence today. The people who run our payroll and administrative systems know their own responsibilities well, but no one has been asked, in so many words, to explain why the safeguards in place exist — only to follow them. That's likely true of any organization our size that hasn't gone through a process like this one before.</w:t>
      </w:r>
    </w:p>
    <w:p>
      <w:pPr>
        <w:pBdr>
          <w:bottom w:val="single" w:color="C9C4BA" w:sz="6"/>
        </w:pBdr>
        <w:spacing w:after="300"/>
      </w:pPr>
      <w:r>
        <w:t xml:space="preserve"/>
      </w:r>
    </w:p>
    <w:p>
      <w:pPr>
        <w:pStyle w:val="Heading1"/>
        <w:spacing w:after="200" w:before="100"/>
      </w:pPr>
      <w:r>
        <w:rPr>
          <w:rFonts w:ascii="Georgia" w:cs="Georgia" w:eastAsia="Georgia" w:hAnsi="Georgia"/>
          <w:color w:val="1B3556"/>
        </w:rPr>
        <w:t xml:space="preserve">Sign-off</w:t>
      </w:r>
    </w:p>
    <w:p>
      <w:pPr>
        <w:spacing w:after="300"/>
      </w:pPr>
      <w:r>
        <w:rPr>
          <w:rFonts w:ascii="Calibri" w:cs="Calibri" w:eastAsia="Calibri" w:hAnsi="Calibri"/>
        </w:rPr>
        <w:t xml:space="preserve">Scope is a decision, not a discovery. Whoever signs here owns what is in and what is out.</w:t>
      </w:r>
    </w:p>
    <w:p>
      <w:pPr>
        <w:spacing w:after="80"/>
      </w:pPr>
      <w:r>
        <w:rPr>
          <w:rFonts w:ascii="Calibri" w:cs="Calibri" w:eastAsia="Calibri" w:hAnsi="Calibri"/>
          <w:b/>
          <w:bCs/>
        </w:rPr>
        <w:t xml:space="preserve">COMPLETED BY</w:t>
      </w:r>
    </w:p>
    <w:p>
      <w:pPr>
        <w:spacing w:after="80"/>
      </w:pPr>
      <w:r>
        <w:rPr>
          <w:rFonts w:ascii="Calibri" w:cs="Calibri" w:eastAsia="Calibri" w:hAnsi="Calibri"/>
        </w:rPr>
        <w:t xml:space="preserve">Name: ______________________________</w:t>
      </w:r>
    </w:p>
    <w:p>
      <w:pPr>
        <w:spacing w:after="80"/>
      </w:pPr>
      <w:r>
        <w:rPr>
          <w:rFonts w:ascii="Calibri" w:cs="Calibri" w:eastAsia="Calibri" w:hAnsi="Calibri"/>
        </w:rPr>
        <w:t xml:space="preserve">Title: ______________________________</w:t>
      </w:r>
    </w:p>
    <w:p>
      <w:pPr>
        <w:spacing w:after="300"/>
      </w:pPr>
      <w:r>
        <w:rPr>
          <w:rFonts w:ascii="Calibri" w:cs="Calibri" w:eastAsia="Calibri" w:hAnsi="Calibri"/>
        </w:rPr>
        <w:t xml:space="preserve">Date: ______________________________</w:t>
      </w:r>
    </w:p>
    <w:p>
      <w:pPr>
        <w:spacing w:after="80"/>
      </w:pPr>
      <w:r>
        <w:rPr>
          <w:rFonts w:ascii="Calibri" w:cs="Calibri" w:eastAsia="Calibri" w:hAnsi="Calibri"/>
          <w:b/>
          <w:bCs/>
        </w:rPr>
        <w:t xml:space="preserve">REVIEWED BY</w:t>
      </w:r>
    </w:p>
    <w:p>
      <w:pPr>
        <w:spacing w:after="80"/>
      </w:pPr>
      <w:r>
        <w:rPr>
          <w:rFonts w:ascii="Calibri" w:cs="Calibri" w:eastAsia="Calibri" w:hAnsi="Calibri"/>
        </w:rPr>
        <w:t xml:space="preserve">Name: Carlos J. Molina</w:t>
      </w:r>
    </w:p>
    <w:p>
      <w:pPr>
        <w:spacing w:after="80"/>
      </w:pPr>
      <w:r>
        <w:rPr>
          <w:rFonts w:ascii="Calibri" w:cs="Calibri" w:eastAsia="Calibri" w:hAnsi="Calibri"/>
        </w:rPr>
        <w:t xml:space="preserve">Title: GRC Consulting — Engagement Lead</w:t>
      </w:r>
    </w:p>
    <w:p>
      <w:r>
        <w:rPr>
          <w:rFonts w:ascii="Calibri" w:cs="Calibri" w:eastAsia="Calibri" w:hAnsi="Calibri"/>
        </w:rPr>
        <w:t xml:space="preserve">Date: 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b/>
        <w:bCs/>
        <w:color w:val="1B3556"/>
        <w:sz w:val="16"/>
        <w:szCs w:val="16"/>
      </w:rPr>
      <w:t xml:space="preserve">Carlos J. Molina · GRC Consulting</w:t>
    </w:r>
    <w:r>
      <w:rPr>
        <w:rFonts w:ascii="Calibri" w:cs="Calibri" w:eastAsia="Calibri" w:hAnsi="Calibri"/>
        <w:color w:val="999999"/>
        <w:sz w:val="16"/>
        <w:szCs w:val="16"/>
      </w:rPr>
      <w:t xml:space="preserve">	Information Security Scoping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f83b9add4fb15c816f6c0919b213d6db8a8b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2026-09-03T13:15:21.065Z</dcterms:created>
  <dcterms:modified xsi:type="dcterms:W3CDTF">2026-09-03T13:15:21.077Z</dcterms:modified>
</cp:coreProperties>
</file>

<file path=docProps/custom.xml><?xml version="1.0" encoding="utf-8"?>
<Properties xmlns="http://schemas.openxmlformats.org/officeDocument/2006/custom-properties" xmlns:vt="http://schemas.openxmlformats.org/officeDocument/2006/docPropsVTypes"/>
</file>