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36"/>
          <w:szCs w:val="36"/>
        </w:rPr>
        <w:t xml:space="preserve">THIRD-PARTY SYNTHETIC MONITORING AGREEMENT</w:t>
      </w:r>
    </w:p>
    <w:p>
      <w:pPr>
        <w:pBdr>
          <w:bottom w:val="single" w:color="1F4E79" w:sz="8" w:space="6"/>
        </w:pBdr>
        <w:spacing w:after="40" w:before="0"/>
        <w:jc w:val="center"/>
      </w:pPr>
      <w:r>
        <w:rPr>
          <w:rFonts w:ascii="Arial" w:cs="Arial" w:eastAsia="Arial" w:hAnsi="Arial"/>
          <w:i/>
          <w:iCs/>
          <w:color w:val="555555"/>
          <w:sz w:val="24"/>
          <w:szCs w:val="24"/>
        </w:rPr>
        <w:t xml:space="preserve">Continuous Security Assurance Addendum</w:t>
      </w:r>
    </w:p>
    <w:p>
      <w:pPr>
        <w:spacing w:after="0" w:before="240"/>
      </w:pPr>
      <w:r>
        <w:t xml:space="preserve"/>
      </w:r>
    </w:p>
    <w:p>
      <w:pPr>
        <w:pStyle w:val="Heading1"/>
        <w:pBdr>
          <w:bottom w:val="single" w:color="1F4E79" w:sz="6" w:space="4"/>
        </w:pBdr>
        <w:spacing w:after="160" w:before="320"/>
      </w:pPr>
      <w:r>
        <w:rPr>
          <w:rFonts w:ascii="Arial" w:cs="Arial" w:eastAsia="Arial" w:hAnsi="Arial"/>
          <w:b/>
          <w:bCs/>
          <w:color w:val="1F4E79"/>
          <w:sz w:val="28"/>
          <w:szCs w:val="28"/>
        </w:rPr>
        <w:t xml:space="preserve">1. Parties and Definitions</w:t>
      </w:r>
    </w:p>
    <w:p>
      <w:pPr>
        <w:spacing w:after="80" w:before="80"/>
        <w:jc w:val="both"/>
      </w:pPr>
      <w:r>
        <w:rPr>
          <w:rFonts w:ascii="Arial" w:cs="Arial" w:eastAsia="Arial" w:hAnsi="Arial"/>
          <w:sz w:val="22"/>
          <w:szCs w:val="22"/>
        </w:rPr>
        <w:t xml:space="preserve">This Third-Party Synthetic Monitoring Agreement ("Agreement") is entered into between:</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Client ("Monitoring Party"):</w:t>
            </w:r>
          </w:p>
        </w:tc>
        <w:tc>
          <w:tcPr>
            <w:tcW w:type="dxa" w:w="6560"/>
            <w:tcBorders>
              <w:top w:val="none" w:color="FFFFFF" w:sz="0"/>
              <w:left w:val="none" w:color="FFFFFF" w:sz="0"/>
              <w:bottom w:val="single" w:color="999999" w:sz="4"/>
              <w:right w:val="none" w:color="FFFFFF" w:sz="0"/>
            </w:tcBorders>
            <w:tcMar>
              <w:top w:type="dxa" w:w="60"/>
              <w:left w:type="dxa" w:w="120"/>
              <w:bottom w:type="dxa" w:w="60"/>
              <w:right w:type="dxa" w:w="0"/>
            </w:tcMar>
          </w:tcPr>
          <w:p>
            <w:r>
              <w:rPr>
                <w:rFonts w:ascii="Arial" w:cs="Arial" w:eastAsia="Arial" w:hAnsi="Arial"/>
                <w:color w:val="AAAAAA"/>
                <w:sz w:val="22"/>
                <w:szCs w:val="22"/>
              </w:rPr>
              <w:t xml:space="preserve">_______________________________</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Provider ("Monitored Party"):</w:t>
            </w:r>
          </w:p>
        </w:tc>
        <w:tc>
          <w:tcPr>
            <w:tcW w:type="dxa" w:w="6560"/>
            <w:tcBorders>
              <w:top w:val="none" w:color="FFFFFF" w:sz="0"/>
              <w:left w:val="none" w:color="FFFFFF" w:sz="0"/>
              <w:bottom w:val="single" w:color="999999" w:sz="4"/>
              <w:right w:val="none" w:color="FFFFFF" w:sz="0"/>
            </w:tcBorders>
            <w:tcMar>
              <w:top w:type="dxa" w:w="60"/>
              <w:left w:type="dxa" w:w="120"/>
              <w:bottom w:type="dxa" w:w="60"/>
              <w:right w:type="dxa" w:w="0"/>
            </w:tcMar>
          </w:tcPr>
          <w:p>
            <w:r>
              <w:rPr>
                <w:rFonts w:ascii="Arial" w:cs="Arial" w:eastAsia="Arial" w:hAnsi="Arial"/>
                <w:color w:val="AAAAAA"/>
                <w:sz w:val="22"/>
                <w:szCs w:val="22"/>
              </w:rPr>
              <w:t xml:space="preserve">_______________________________</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Effective Date:</w:t>
            </w:r>
          </w:p>
        </w:tc>
        <w:tc>
          <w:tcPr>
            <w:tcW w:type="dxa" w:w="6560"/>
            <w:tcBorders>
              <w:top w:val="none" w:color="FFFFFF" w:sz="0"/>
              <w:left w:val="none" w:color="FFFFFF" w:sz="0"/>
              <w:bottom w:val="single" w:color="999999" w:sz="4"/>
              <w:right w:val="none" w:color="FFFFFF" w:sz="0"/>
            </w:tcBorders>
            <w:tcMar>
              <w:top w:type="dxa" w:w="60"/>
              <w:left w:type="dxa" w:w="120"/>
              <w:bottom w:type="dxa" w:w="60"/>
              <w:right w:type="dxa" w:w="0"/>
            </w:tcMar>
          </w:tcPr>
          <w:p>
            <w:r>
              <w:rPr>
                <w:rFonts w:ascii="Arial" w:cs="Arial" w:eastAsia="Arial" w:hAnsi="Arial"/>
                <w:color w:val="AAAAAA"/>
                <w:sz w:val="22"/>
                <w:szCs w:val="22"/>
              </w:rPr>
              <w:t xml:space="preserve">_______________________________</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Master Agreement Reference:</w:t>
            </w:r>
          </w:p>
        </w:tc>
        <w:tc>
          <w:tcPr>
            <w:tcW w:type="dxa" w:w="6560"/>
            <w:tcBorders>
              <w:top w:val="none" w:color="FFFFFF" w:sz="0"/>
              <w:left w:val="none" w:color="FFFFFF" w:sz="0"/>
              <w:bottom w:val="single" w:color="999999" w:sz="4"/>
              <w:right w:val="none" w:color="FFFFFF" w:sz="0"/>
            </w:tcBorders>
            <w:tcMar>
              <w:top w:type="dxa" w:w="60"/>
              <w:left w:type="dxa" w:w="120"/>
              <w:bottom w:type="dxa" w:w="60"/>
              <w:right w:type="dxa" w:w="0"/>
            </w:tcMar>
          </w:tcPr>
          <w:p>
            <w:r>
              <w:rPr>
                <w:rFonts w:ascii="Arial" w:cs="Arial" w:eastAsia="Arial" w:hAnsi="Arial"/>
                <w:color w:val="AAAAAA"/>
                <w:sz w:val="22"/>
                <w:szCs w:val="22"/>
              </w:rPr>
              <w:t xml:space="preserve">_______________________________</w:t>
            </w:r>
          </w:p>
        </w:tc>
      </w:tr>
    </w:tbl>
    <w:p>
      <w:pPr>
        <w:spacing w:after="0" w:before="160"/>
      </w:pPr>
      <w:r>
        <w:t xml:space="preserve"/>
      </w:r>
    </w:p>
    <w:p>
      <w:pPr>
        <w:spacing w:after="80" w:before="80"/>
        <w:jc w:val="left"/>
      </w:pPr>
      <w:r>
        <w:rPr>
          <w:rFonts w:ascii="Arial" w:cs="Arial" w:eastAsia="Arial" w:hAnsi="Arial"/>
          <w:b/>
          <w:bCs/>
          <w:sz w:val="22"/>
          <w:szCs w:val="22"/>
        </w:rPr>
        <w:t xml:space="preserve">For purposes of this Agreement, the following definitions apply:</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"Synthetic Monitoring" means the automated, non-intrusive external verification of security posture indicators on publicly accessible endpoints, performed without access to internal systems, source code, or infrastructure.</w:t>
      </w:r>
    </w:p>
    <w:p>
      <w:pPr>
        <w:pStyle w:val="ListParagraph"/>
        <w:numPr>
          <w:ilvl w:val="0"/>
          <w:numId w:val="2"/>
        </w:numPr>
        <w:spacing w:after="60" w:before="60"/>
      </w:pPr>
      <w:r>
        <w:rPr>
          <w:rFonts w:ascii="Arial" w:cs="Arial" w:eastAsia="Arial" w:hAnsi="Arial"/>
          <w:sz w:val="22"/>
          <w:szCs w:val="22"/>
        </w:rPr>
        <w:t xml:space="preserve">"Monitored Surface" means the set of URLs and endpoints listed in Schedule A that the Provider exposes to the Client in the context of the contracted service.</w:t>
      </w:r>
    </w:p>
    <w:p>
      <w:pPr>
        <w:pStyle w:val="ListParagraph"/>
        <w:numPr>
          <w:ilvl w:val="0"/>
          <w:numId w:val="2"/>
        </w:numPr>
        <w:spacing w:after="60" w:before="60"/>
      </w:pPr>
      <w:r>
        <w:rPr>
          <w:rFonts w:ascii="Arial" w:cs="Arial" w:eastAsia="Arial" w:hAnsi="Arial"/>
          <w:sz w:val="22"/>
          <w:szCs w:val="22"/>
        </w:rPr>
        <w:t xml:space="preserve">"Security Headers" means HTTP response headers configured to instruct browsers and clients on security-relevant behavior, including but not limited to HSTS, X-Frame-Options, X-Content-Type-Options, Content-Security-Policy, and Referrer-Policy.</w:t>
      </w:r>
    </w:p>
    <w:p>
      <w:pPr>
        <w:pStyle w:val="ListParagraph"/>
        <w:numPr>
          <w:ilvl w:val="0"/>
          <w:numId w:val="2"/>
        </w:numPr>
        <w:spacing w:after="60" w:before="60"/>
      </w:pPr>
      <w:r>
        <w:rPr>
          <w:rFonts w:ascii="Arial" w:cs="Arial" w:eastAsia="Arial" w:hAnsi="Arial"/>
          <w:sz w:val="22"/>
          <w:szCs w:val="22"/>
        </w:rPr>
        <w:t xml:space="preserve">"Monitoring Evidence" means timestamped records, logs, and reports generated by the monitoring tool, stored in infrastructure controlled by the Client.</w:t>
      </w:r>
    </w:p>
    <w:p>
      <w:pPr>
        <w:spacing w:after="0" w:before="120"/>
      </w:pPr>
      <w:r>
        <w:t xml:space="preserve"/>
      </w:r>
    </w:p>
    <w:p>
      <w:pPr>
        <w:pStyle w:val="Heading1"/>
        <w:pBdr>
          <w:bottom w:val="single" w:color="1F4E79" w:sz="6" w:space="4"/>
        </w:pBdr>
        <w:spacing w:after="160" w:before="320"/>
      </w:pPr>
      <w:r>
        <w:rPr>
          <w:rFonts w:ascii="Arial" w:cs="Arial" w:eastAsia="Arial" w:hAnsi="Arial"/>
          <w:b/>
          <w:bCs/>
          <w:color w:val="1F4E79"/>
          <w:sz w:val="28"/>
          <w:szCs w:val="28"/>
        </w:rPr>
        <w:t xml:space="preserve">2. Purpose and Scope</w:t>
      </w:r>
    </w:p>
    <w:p>
      <w:pPr>
        <w:spacing w:after="80" w:before="80"/>
        <w:jc w:val="both"/>
      </w:pPr>
      <w:r>
        <w:rPr>
          <w:rFonts w:ascii="Arial" w:cs="Arial" w:eastAsia="Arial" w:hAnsi="Arial"/>
          <w:sz w:val="22"/>
          <w:szCs w:val="22"/>
        </w:rPr>
        <w:t xml:space="preserve">This Agreement establishes the Client's right to conduct continuous, independent synthetic monitoring of the Monitored Surface as a complementary layer of security assurance. This monitoring does not replace, substitute, or supersede any certification, audit report, or attestation (including SOC 2, ISO 27001, or equivalent) provided by the Provider. It operates as an independent, client-controlled verification mechanism aligned with the Client's third-party risk management obligations.</w:t>
      </w:r>
    </w:p>
    <w:p>
      <w:pPr>
        <w:spacing w:after="0" w:before="80"/>
      </w:pPr>
      <w:r>
        <w:t xml:space="preserve"/>
      </w:r>
    </w:p>
    <w:p>
      <w:pPr>
        <w:spacing w:after="80" w:before="80"/>
        <w:jc w:val="both"/>
      </w:pPr>
      <w:r>
        <w:rPr>
          <w:rFonts w:ascii="Arial" w:cs="Arial" w:eastAsia="Arial" w:hAnsi="Arial"/>
          <w:sz w:val="22"/>
          <w:szCs w:val="22"/>
        </w:rPr>
        <w:t xml:space="preserve">This Agreement applies exclusively to the external, publicly accessible surface the Provider exposes for the Client's use. It does not grant the Client access to internal systems, network infrastructure, source code, databases, or any other non-public assets of the Provider.</w:t>
      </w:r>
    </w:p>
    <w:p>
      <w:pPr>
        <w:spacing w:after="0" w:before="120"/>
      </w:pPr>
      <w:r>
        <w:t xml:space="preserve"/>
      </w:r>
    </w:p>
    <w:p>
      <w:pPr>
        <w:pStyle w:val="Heading1"/>
        <w:pBdr>
          <w:bottom w:val="single" w:color="1F4E79" w:sz="6" w:space="4"/>
        </w:pBdr>
        <w:spacing w:after="160" w:before="320"/>
      </w:pPr>
      <w:r>
        <w:rPr>
          <w:rFonts w:ascii="Arial" w:cs="Arial" w:eastAsia="Arial" w:hAnsi="Arial"/>
          <w:b/>
          <w:bCs/>
          <w:color w:val="1F4E79"/>
          <w:sz w:val="28"/>
          <w:szCs w:val="28"/>
        </w:rPr>
        <w:t xml:space="preserve">3. Monitored Surface</w:t>
      </w:r>
    </w:p>
    <w:p>
      <w:pPr>
        <w:spacing w:after="80" w:before="80"/>
        <w:jc w:val="left"/>
      </w:pPr>
      <w:r>
        <w:rPr>
          <w:rFonts w:ascii="Arial" w:cs="Arial" w:eastAsia="Arial" w:hAnsi="Arial"/>
          <w:sz w:val="22"/>
          <w:szCs w:val="22"/>
        </w:rPr>
        <w:t xml:space="preserve">The endpoints subject to monitoring under this Agreement are listed in Schedule A. The Monitored Surface is limited to URLs and endpoints that:</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Are publicly accessible via HTTPS;</w:t>
      </w:r>
    </w:p>
    <w:p>
      <w:pPr>
        <w:pStyle w:val="ListParagraph"/>
        <w:numPr>
          <w:ilvl w:val="0"/>
          <w:numId w:val="2"/>
        </w:numPr>
        <w:spacing w:after="60" w:before="60"/>
      </w:pPr>
      <w:r>
        <w:rPr>
          <w:rFonts w:ascii="Arial" w:cs="Arial" w:eastAsia="Arial" w:hAnsi="Arial"/>
          <w:sz w:val="22"/>
          <w:szCs w:val="22"/>
        </w:rPr>
        <w:t xml:space="preserve">Are exposed by the Provider specifically for the Client's use under the Master Agreement; and</w:t>
      </w:r>
    </w:p>
    <w:p>
      <w:pPr>
        <w:pStyle w:val="ListParagraph"/>
        <w:numPr>
          <w:ilvl w:val="0"/>
          <w:numId w:val="2"/>
        </w:numPr>
        <w:spacing w:after="60" w:before="60"/>
      </w:pPr>
      <w:r>
        <w:rPr>
          <w:rFonts w:ascii="Arial" w:cs="Arial" w:eastAsia="Arial" w:hAnsi="Arial"/>
          <w:sz w:val="22"/>
          <w:szCs w:val="22"/>
        </w:rPr>
        <w:t xml:space="preserve">Do not require authentication credentials, privileged access, or bypass of security controls to reach.</w:t>
      </w:r>
    </w:p>
    <w:p>
      <w:pPr>
        <w:spacing w:after="0" w:before="80"/>
      </w:pPr>
      <w:r>
        <w:t xml:space="preserve"/>
      </w:r>
    </w:p>
    <w:p>
      <w:pPr>
        <w:spacing w:after="80" w:before="80"/>
        <w:jc w:val="both"/>
      </w:pPr>
      <w:r>
        <w:rPr>
          <w:rFonts w:ascii="Arial" w:cs="Arial" w:eastAsia="Arial" w:hAnsi="Arial"/>
          <w:sz w:val="22"/>
          <w:szCs w:val="22"/>
        </w:rPr>
        <w:t xml:space="preserve">The Provider shall notify the Client no less than [___] business days in advance of any planned changes to the URLs, domain names, or infrastructure components listed in Schedule A. Emergency changes shall be communicated within [___] hours of implementation.</w:t>
      </w:r>
    </w:p>
    <w:p>
      <w:pPr>
        <w:spacing w:after="0" w:before="120"/>
      </w:pPr>
      <w:r>
        <w:t xml:space="preserve"/>
      </w:r>
    </w:p>
    <w:p>
      <w:pPr>
        <w:pStyle w:val="Heading1"/>
        <w:pBdr>
          <w:bottom w:val="single" w:color="1F4E79" w:sz="6" w:space="4"/>
        </w:pBdr>
        <w:spacing w:after="160" w:before="320"/>
      </w:pPr>
      <w:r>
        <w:rPr>
          <w:rFonts w:ascii="Arial" w:cs="Arial" w:eastAsia="Arial" w:hAnsi="Arial"/>
          <w:b/>
          <w:bCs/>
          <w:color w:val="1F4E79"/>
          <w:sz w:val="28"/>
          <w:szCs w:val="28"/>
        </w:rPr>
        <w:t xml:space="preserve">4. Monitoring Criteria</w:t>
      </w:r>
    </w:p>
    <w:p>
      <w:pPr>
        <w:spacing w:after="80" w:before="80"/>
        <w:jc w:val="left"/>
      </w:pPr>
      <w:r>
        <w:rPr>
          <w:rFonts w:ascii="Arial" w:cs="Arial" w:eastAsia="Arial" w:hAnsi="Arial"/>
          <w:sz w:val="22"/>
          <w:szCs w:val="22"/>
        </w:rPr>
        <w:t xml:space="preserve">The Client's monitoring tool verifies the following external security indicators on the Monitored Surface. Applicability of each criterion depends on the nature of the endpoint and shall be documented in Schedule A.</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is Verified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Applicable 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TLS/Certificate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version (TLS 1.2 minimum), certificate validity, expiration date, and chain completeness.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HTTPS endpoints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Headers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Presence and configuration of HSTS, X-Frame-Options, X-Content-Type-Options, CSP, and Referrer-Policy as applicable to the endpoint 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portals, login pages, API gateways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Availability / Uptime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response code, endpoint reachability, and compliance with contractual SLA thresholds.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endpoints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 Time (TTFB)</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to First Byte measured at defined intervals to detect degradation patterns.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endpoints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Integrity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Detection of unexpected structural changes to endpoint responses that may indicate unauthorized modification.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Portals, dashboards, public API responses</w:t>
            </w:r>
          </w:p>
        </w:tc>
      </w:tr>
    </w:tbl>
    <w:p>
      <w:pPr>
        <w:spacing w:after="0" w:before="160"/>
      </w:pPr>
      <w:r>
        <w:t xml:space="preserve"/>
      </w:r>
    </w:p>
    <w:p>
      <w:pPr>
        <w:spacing w:after="80" w:before="80"/>
        <w:jc w:val="both"/>
      </w:pPr>
      <w:r>
        <w:rPr>
          <w:rFonts w:ascii="Arial" w:cs="Arial" w:eastAsia="Arial" w:hAnsi="Arial"/>
          <w:sz w:val="22"/>
          <w:szCs w:val="22"/>
        </w:rPr>
        <w:t xml:space="preserve">The above criteria represent the maximum scope of external verification. The Client shall not use the monitoring tool to attempt authentication bypass, enumerate internal resources, conduct penetration testing, or perform any activity beyond passive observation of publicly accessible responses.</w:t>
      </w:r>
    </w:p>
    <w:p>
      <w:pPr>
        <w:spacing w:after="0" w:before="120"/>
      </w:pPr>
      <w:r>
        <w:t xml:space="preserve"/>
      </w:r>
    </w:p>
    <w:p>
      <w:pPr>
        <w:pStyle w:val="Heading1"/>
        <w:pBdr>
          <w:bottom w:val="single" w:color="1F4E79" w:sz="6" w:space="4"/>
        </w:pBdr>
        <w:spacing w:after="160" w:before="320"/>
      </w:pPr>
      <w:r>
        <w:rPr>
          <w:rFonts w:ascii="Arial" w:cs="Arial" w:eastAsia="Arial" w:hAnsi="Arial"/>
          <w:b/>
          <w:bCs/>
          <w:color w:val="1F4E79"/>
          <w:sz w:val="28"/>
          <w:szCs w:val="28"/>
        </w:rPr>
        <w:t xml:space="preserve">5. Provider Obligations</w:t>
      </w:r>
    </w:p>
    <w:p>
      <w:pPr>
        <w:pStyle w:val="Heading2"/>
        <w:spacing w:after="120" w:before="240"/>
      </w:pPr>
      <w:r>
        <w:rPr>
          <w:rFonts w:ascii="Arial" w:cs="Arial" w:eastAsia="Arial" w:hAnsi="Arial"/>
          <w:b/>
          <w:bCs/>
          <w:color w:val="2E74B5"/>
          <w:sz w:val="24"/>
          <w:szCs w:val="24"/>
        </w:rPr>
        <w:t xml:space="preserve">5.1 Non-Interference</w:t>
      </w:r>
    </w:p>
    <w:p>
      <w:pPr>
        <w:spacing w:after="80" w:before="80"/>
        <w:jc w:val="both"/>
      </w:pPr>
      <w:r>
        <w:rPr>
          <w:rFonts w:ascii="Arial" w:cs="Arial" w:eastAsia="Arial" w:hAnsi="Arial"/>
          <w:sz w:val="22"/>
          <w:szCs w:val="22"/>
        </w:rPr>
        <w:t xml:space="preserve">The Provider agrees not to block, throttle, or otherwise interfere with monitoring traffic originating from IP addresses or user-agent strings disclosed by the Client, provided such traffic conforms to the frequency and scope defined in Schedule B. Any security control (WAF rule, rate limiter, IP block) that would affect monitoring traffic shall be implemented only after providing [___] business days' written notice to the Client.</w:t>
      </w:r>
    </w:p>
    <w:p>
      <w:pPr>
        <w:spacing w:after="0" w:before="80"/>
      </w:pPr>
      <w:r>
        <w:t xml:space="preserve"/>
      </w:r>
    </w:p>
    <w:p>
      <w:pPr>
        <w:pStyle w:val="Heading2"/>
        <w:spacing w:after="120" w:before="240"/>
      </w:pPr>
      <w:r>
        <w:rPr>
          <w:rFonts w:ascii="Arial" w:cs="Arial" w:eastAsia="Arial" w:hAnsi="Arial"/>
          <w:b/>
          <w:bCs/>
          <w:color w:val="2E74B5"/>
          <w:sz w:val="24"/>
          <w:szCs w:val="24"/>
        </w:rPr>
        <w:t xml:space="preserve">5.2 Change Notification</w:t>
      </w:r>
    </w:p>
    <w:p>
      <w:pPr>
        <w:spacing w:after="80" w:before="80"/>
        <w:jc w:val="both"/>
      </w:pPr>
      <w:r>
        <w:rPr>
          <w:rFonts w:ascii="Arial" w:cs="Arial" w:eastAsia="Arial" w:hAnsi="Arial"/>
          <w:sz w:val="22"/>
          <w:szCs w:val="22"/>
        </w:rPr>
        <w:t xml:space="preserve">The Provider shall notify the Client of planned changes that may affect monitoring results, including: infrastructure migrations, domain changes, certificate renewals (when renewal results in issuer or key changes), and modifications to HTTP security header configurations.</w:t>
      </w:r>
    </w:p>
    <w:p>
      <w:pPr>
        <w:spacing w:after="0" w:before="80"/>
      </w:pPr>
      <w:r>
        <w:t xml:space="preserve"/>
      </w:r>
    </w:p>
    <w:p>
      <w:pPr>
        <w:pStyle w:val="Heading2"/>
        <w:spacing w:after="120" w:before="240"/>
      </w:pPr>
      <w:r>
        <w:rPr>
          <w:rFonts w:ascii="Arial" w:cs="Arial" w:eastAsia="Arial" w:hAnsi="Arial"/>
          <w:b/>
          <w:bCs/>
          <w:color w:val="2E74B5"/>
          <w:sz w:val="24"/>
          <w:szCs w:val="24"/>
        </w:rPr>
        <w:t xml:space="preserve">5.3 Incident Cooperation</w:t>
      </w:r>
    </w:p>
    <w:p>
      <w:pPr>
        <w:spacing w:after="80" w:before="80"/>
        <w:jc w:val="both"/>
      </w:pPr>
      <w:r>
        <w:rPr>
          <w:rFonts w:ascii="Arial" w:cs="Arial" w:eastAsia="Arial" w:hAnsi="Arial"/>
          <w:sz w:val="22"/>
          <w:szCs w:val="22"/>
        </w:rPr>
        <w:t xml:space="preserve">In the event the monitoring tool detects an anomaly (certificate expiration, header removal, availability degradation, or content change), the Provider agrees to cooperate with the Client's investigation within [___] business hours of notification.</w:t>
      </w:r>
    </w:p>
    <w:p>
      <w:pPr>
        <w:spacing w:after="0" w:before="120"/>
      </w:pPr>
      <w:r>
        <w:t xml:space="preserve"/>
      </w:r>
    </w:p>
    <w:p>
      <w:pPr>
        <w:pStyle w:val="Heading1"/>
        <w:pBdr>
          <w:bottom w:val="single" w:color="1F4E79" w:sz="6" w:space="4"/>
        </w:pBdr>
        <w:spacing w:after="160" w:before="320"/>
      </w:pPr>
      <w:r>
        <w:rPr>
          <w:rFonts w:ascii="Arial" w:cs="Arial" w:eastAsia="Arial" w:hAnsi="Arial"/>
          <w:b/>
          <w:bCs/>
          <w:color w:val="1F4E79"/>
          <w:sz w:val="28"/>
          <w:szCs w:val="28"/>
        </w:rPr>
        <w:t xml:space="preserve">6. Monitoring Evidence and Data Handling</w:t>
      </w:r>
    </w:p>
    <w:p>
      <w:pPr>
        <w:spacing w:after="80" w:before="80"/>
        <w:jc w:val="left"/>
      </w:pPr>
      <w:r>
        <w:rPr>
          <w:rFonts w:ascii="Arial" w:cs="Arial" w:eastAsia="Arial" w:hAnsi="Arial"/>
          <w:sz w:val="22"/>
          <w:szCs w:val="22"/>
        </w:rPr>
        <w:t xml:space="preserve">All Monitoring Evidence is collected and stored exclusively within Client-controlled infrastructure. The following data handling principles apply:</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Monitoring Evidence is the property of the Client and constitutes part of the Client's third-party risk management records.</w:t>
      </w:r>
    </w:p>
    <w:p>
      <w:pPr>
        <w:pStyle w:val="ListParagraph"/>
        <w:numPr>
          <w:ilvl w:val="0"/>
          <w:numId w:val="2"/>
        </w:numPr>
        <w:spacing w:after="60" w:before="60"/>
      </w:pPr>
      <w:r>
        <w:rPr>
          <w:rFonts w:ascii="Arial" w:cs="Arial" w:eastAsia="Arial" w:hAnsi="Arial"/>
          <w:sz w:val="22"/>
          <w:szCs w:val="22"/>
        </w:rPr>
        <w:t xml:space="preserve">Evidence is retained for a minimum of [___] days, consistent with the Client's record retention policy and applicable regulatory obligations.</w:t>
      </w:r>
    </w:p>
    <w:p>
      <w:pPr>
        <w:pStyle w:val="ListParagraph"/>
        <w:numPr>
          <w:ilvl w:val="0"/>
          <w:numId w:val="2"/>
        </w:numPr>
        <w:spacing w:after="60" w:before="60"/>
      </w:pPr>
      <w:r>
        <w:rPr>
          <w:rFonts w:ascii="Arial" w:cs="Arial" w:eastAsia="Arial" w:hAnsi="Arial"/>
          <w:sz w:val="22"/>
          <w:szCs w:val="22"/>
        </w:rPr>
        <w:t xml:space="preserve">The monitoring tool does not collect, store, or transmit personal data, authentication credentials, session tokens, or any data contained within authenticated responses.</w:t>
      </w:r>
    </w:p>
    <w:p>
      <w:pPr>
        <w:pStyle w:val="ListParagraph"/>
        <w:numPr>
          <w:ilvl w:val="0"/>
          <w:numId w:val="2"/>
        </w:numPr>
        <w:spacing w:after="60" w:before="60"/>
      </w:pPr>
      <w:r>
        <w:rPr>
          <w:rFonts w:ascii="Arial" w:cs="Arial" w:eastAsia="Arial" w:hAnsi="Arial"/>
          <w:sz w:val="22"/>
          <w:szCs w:val="22"/>
        </w:rPr>
        <w:t xml:space="preserve">Monitoring Evidence may be used in audit contexts, regulatory inquiries, or contractual dispute resolution as documentation of observed security posture.</w:t>
      </w:r>
    </w:p>
    <w:p>
      <w:pPr>
        <w:spacing w:after="0" w:before="80"/>
      </w:pPr>
      <w:r>
        <w:t xml:space="preserve"/>
      </w:r>
    </w:p>
    <w:p>
      <w:pPr>
        <w:spacing w:after="80" w:before="80"/>
        <w:jc w:val="both"/>
      </w:pPr>
      <w:r>
        <w:rPr>
          <w:rFonts w:ascii="Arial" w:cs="Arial" w:eastAsia="Arial" w:hAnsi="Arial"/>
          <w:sz w:val="22"/>
          <w:szCs w:val="22"/>
        </w:rPr>
        <w:t xml:space="preserve">The Provider acknowledges that Monitoring Evidence accurately reflects the externally observable state of the Monitored Surface at the time of collection and does not constitute a security assessment of the Provider's internal controls.</w:t>
      </w:r>
    </w:p>
    <w:p>
      <w:pPr>
        <w:spacing w:after="0" w:before="120"/>
      </w:pPr>
      <w:r>
        <w:t xml:space="preserve"/>
      </w:r>
    </w:p>
    <w:p>
      <w:pPr>
        <w:pStyle w:val="Heading1"/>
        <w:pBdr>
          <w:bottom w:val="single" w:color="1F4E79" w:sz="6" w:space="4"/>
        </w:pBdr>
        <w:spacing w:after="160" w:before="320"/>
      </w:pPr>
      <w:r>
        <w:rPr>
          <w:rFonts w:ascii="Arial" w:cs="Arial" w:eastAsia="Arial" w:hAnsi="Arial"/>
          <w:b/>
          <w:bCs/>
          <w:color w:val="1F4E79"/>
          <w:sz w:val="28"/>
          <w:szCs w:val="28"/>
        </w:rPr>
        <w:t xml:space="preserve">7. Limitations and Exclusions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Important: Scope of This Agreement</w:t>
            </w:r>
          </w:p>
          <w:p>
            <w:pPr>
              <w:spacing w:after="80" w:before="80"/>
              <w:jc w:val="left"/>
            </w:pPr>
            <w:r>
              <w:rPr>
                <w:rFonts w:ascii="Arial" w:cs="Arial" w:eastAsia="Arial" w:hAnsi="Arial"/>
                <w:sz w:val="22"/>
                <w:szCs w:val="22"/>
              </w:rPr>
              <w:t xml:space="preserve">Synthetic monitoring as defined herein is an external, passive observation mechanism. It does not constitute and shall not be construed as:</w:t>
            </w:r>
          </w:p>
          <w:p>
            <w:pPr>
              <w:spacing w:after="0" w:before="60"/>
            </w:pPr>
            <w:r>
              <w:t xml:space="preserve"/>
            </w:r>
          </w:p>
          <w:p>
            <w:pPr>
              <w:pStyle w:val="ListParagraph"/>
              <w:numPr>
                <w:ilvl w:val="0"/>
                <w:numId w:val="2"/>
              </w:numPr>
              <w:spacing w:after="60" w:before="60"/>
            </w:pPr>
            <w:r>
              <w:rPr>
                <w:rFonts w:ascii="Arial" w:cs="Arial" w:eastAsia="Arial" w:hAnsi="Arial"/>
                <w:sz w:val="22"/>
                <w:szCs w:val="22"/>
              </w:rPr>
              <w:t xml:space="preserve">A security audit, penetration test, or vulnerability assessment;</w:t>
            </w:r>
          </w:p>
          <w:p>
            <w:pPr>
              <w:pStyle w:val="ListParagraph"/>
              <w:numPr>
                <w:ilvl w:val="0"/>
                <w:numId w:val="2"/>
              </w:numPr>
              <w:spacing w:after="60" w:before="60"/>
            </w:pPr>
            <w:r>
              <w:rPr>
                <w:rFonts w:ascii="Arial" w:cs="Arial" w:eastAsia="Arial" w:hAnsi="Arial"/>
                <w:sz w:val="22"/>
                <w:szCs w:val="22"/>
              </w:rPr>
              <w:t xml:space="preserve">An evaluation of the Provider's internal controls, processes, or governance practices;</w:t>
            </w:r>
          </w:p>
          <w:p>
            <w:pPr>
              <w:pStyle w:val="ListParagraph"/>
              <w:numPr>
                <w:ilvl w:val="0"/>
                <w:numId w:val="2"/>
              </w:numPr>
              <w:spacing w:after="60" w:before="60"/>
            </w:pPr>
            <w:r>
              <w:rPr>
                <w:rFonts w:ascii="Arial" w:cs="Arial" w:eastAsia="Arial" w:hAnsi="Arial"/>
                <w:sz w:val="22"/>
                <w:szCs w:val="22"/>
              </w:rPr>
              <w:t xml:space="preserve">A substitute for SOC 2, ISO 27001, or other third-party audit certifications; or</w:t>
            </w:r>
          </w:p>
          <w:p>
            <w:pPr>
              <w:pStyle w:val="ListParagraph"/>
              <w:numPr>
                <w:ilvl w:val="0"/>
                <w:numId w:val="2"/>
              </w:numPr>
              <w:spacing w:after="60" w:before="60"/>
            </w:pPr>
            <w:r>
              <w:rPr>
                <w:rFonts w:ascii="Arial" w:cs="Arial" w:eastAsia="Arial" w:hAnsi="Arial"/>
                <w:sz w:val="22"/>
                <w:szCs w:val="22"/>
              </w:rPr>
              <w:t xml:space="preserve">Legal advice or a determination of regulatory compliance.</w:t>
            </w:r>
          </w:p>
          <w:p>
            <w:pPr>
              <w:spacing w:after="0" w:before="60"/>
            </w:pPr>
            <w:r>
              <w:t xml:space="preserve"/>
            </w:r>
          </w:p>
          <w:p>
            <w:pPr>
              <w:spacing w:after="80" w:before="80"/>
              <w:jc w:val="both"/>
            </w:pPr>
            <w:r>
              <w:rPr>
                <w:rFonts w:ascii="Arial" w:cs="Arial" w:eastAsia="Arial" w:hAnsi="Arial"/>
                <w:sz w:val="22"/>
                <w:szCs w:val="22"/>
              </w:rPr>
              <w:t xml:space="preserve">Findings from synthetic monitoring represent observed external indicators only. The absence of detected anomalies does not guarantee the absence of internal security vulnerabilities or control failures.</w:t>
            </w:r>
          </w:p>
        </w:tc>
      </w:tr>
    </w:tbl>
    <w:p>
      <w:pPr>
        <w:spacing w:after="0" w:before="120"/>
      </w:pPr>
      <w:r>
        <w:t xml:space="preserve"/>
      </w:r>
    </w:p>
    <w:p>
      <w:pPr>
        <w:pStyle w:val="Heading1"/>
        <w:pBdr>
          <w:bottom w:val="single" w:color="1F4E79" w:sz="6" w:space="4"/>
        </w:pBdr>
        <w:spacing w:after="160" w:before="320"/>
      </w:pPr>
      <w:r>
        <w:rPr>
          <w:rFonts w:ascii="Arial" w:cs="Arial" w:eastAsia="Arial" w:hAnsi="Arial"/>
          <w:b/>
          <w:bCs/>
          <w:color w:val="1F4E79"/>
          <w:sz w:val="28"/>
          <w:szCs w:val="28"/>
        </w:rPr>
        <w:t xml:space="preserve">8. Term and Termination</w:t>
      </w:r>
    </w:p>
    <w:p>
      <w:pPr>
        <w:spacing w:after="80" w:before="80"/>
        <w:jc w:val="both"/>
      </w:pPr>
      <w:r>
        <w:rPr>
          <w:rFonts w:ascii="Arial" w:cs="Arial" w:eastAsia="Arial" w:hAnsi="Arial"/>
          <w:sz w:val="22"/>
          <w:szCs w:val="22"/>
        </w:rPr>
        <w:t xml:space="preserve">This Agreement is coterminous with the Master Agreement referenced in Section 1 and terminates automatically upon expiration or termination of that agreement, unless separately extended in writing by both parties.</w:t>
      </w:r>
    </w:p>
    <w:p>
      <w:pPr>
        <w:spacing w:after="0" w:before="80"/>
      </w:pPr>
      <w:r>
        <w:t xml:space="preserve"/>
      </w:r>
    </w:p>
    <w:p>
      <w:pPr>
        <w:spacing w:after="80" w:before="80"/>
        <w:jc w:val="both"/>
      </w:pPr>
      <w:r>
        <w:rPr>
          <w:rFonts w:ascii="Arial" w:cs="Arial" w:eastAsia="Arial" w:hAnsi="Arial"/>
          <w:sz w:val="22"/>
          <w:szCs w:val="22"/>
        </w:rPr>
        <w:t xml:space="preserve">Either party may request modification of the Monitored Surface or monitoring criteria by providing written notice. Modifications take effect upon mutual written agreement.</w:t>
      </w:r>
    </w:p>
    <w:p>
      <w:pPr>
        <w:spacing w:after="0" w:before="80"/>
      </w:pPr>
      <w:r>
        <w:t xml:space="preserve"/>
      </w:r>
    </w:p>
    <w:p>
      <w:pPr>
        <w:spacing w:after="80" w:before="80"/>
        <w:jc w:val="both"/>
      </w:pPr>
      <w:r>
        <w:rPr>
          <w:rFonts w:ascii="Arial" w:cs="Arial" w:eastAsia="Arial" w:hAnsi="Arial"/>
          <w:sz w:val="22"/>
          <w:szCs w:val="22"/>
        </w:rPr>
        <w:t xml:space="preserve">Upon termination, the Client retains all Monitoring Evidence collected during the term of this Agreement.</w:t>
      </w:r>
    </w:p>
    <w:p>
      <w:pPr>
        <w:spacing w:after="0" w:before="120"/>
      </w:pPr>
      <w:r>
        <w:t xml:space="preserve"/>
      </w:r>
    </w:p>
    <w:p>
      <w:pPr>
        <w:pStyle w:val="Heading1"/>
        <w:pBdr>
          <w:bottom w:val="single" w:color="1F4E79" w:sz="6" w:space="4"/>
        </w:pBdr>
        <w:spacing w:after="160" w:before="320"/>
      </w:pPr>
      <w:r>
        <w:rPr>
          <w:rFonts w:ascii="Arial" w:cs="Arial" w:eastAsia="Arial" w:hAnsi="Arial"/>
          <w:b/>
          <w:bCs/>
          <w:color w:val="1F4E79"/>
          <w:sz w:val="28"/>
          <w:szCs w:val="28"/>
        </w:rPr>
        <w:t xml:space="preserve">9. Signatures</w:t>
      </w:r>
    </w:p>
    <w:p>
      <w:pPr>
        <w:spacing w:after="80" w:before="80"/>
        <w:jc w:val="left"/>
      </w:pPr>
      <w:r>
        <w:rPr>
          <w:rFonts w:ascii="Arial" w:cs="Arial" w:eastAsia="Arial" w:hAnsi="Arial"/>
          <w:sz w:val="22"/>
          <w:szCs w:val="22"/>
        </w:rPr>
        <w:t xml:space="preserve">By signing below, the parties agree to the terms of this Third-Party Synthetic Monitoring Agreement.</w:t>
      </w:r>
    </w:p>
    <w:p>
      <w:pPr>
        <w:spacing w:after="0" w:before="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4E79"/>
                <w:sz w:val="22"/>
                <w:szCs w:val="22"/>
              </w:rPr>
              <w:t xml:space="preserve">CLIENT (Monitoring Party)</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4E79"/>
                <w:sz w:val="22"/>
                <w:szCs w:val="22"/>
              </w:rPr>
              <w:t xml:space="preserve">PROVIDER (Monitored Party)</w:t>
            </w:r>
          </w:p>
        </w:tc>
      </w:tr>
      <w:tr>
        <w:tc>
          <w:tcPr>
            <w:tcW w:type="dxa" w:w="4500"/>
            <w:tcBorders>
              <w:top w:val="none" w:color="FFFFFF" w:sz="0"/>
              <w:left w:val="none" w:color="FFFFFF" w:sz="0"/>
              <w:bottom w:val="single" w:color="999999" w:sz="4"/>
              <w:right w:val="none" w:color="FFFFFF" w:sz="0"/>
            </w:tcBorders>
            <w:tcMar>
              <w:top w:type="dxa" w:w="480"/>
              <w:left w:type="dxa" w:w="0"/>
              <w:bottom w:type="dxa" w:w="60"/>
              <w:right w:type="dxa" w:w="0"/>
            </w:tcMar>
          </w:tcPr>
          <w:p>
            <w:r>
              <w:rPr>
                <w:rFonts w:ascii="Arial" w:cs="Arial" w:eastAsia="Arial" w:hAnsi="Arial"/>
                <w:color w:val="AAAAAA"/>
                <w:sz w:val="20"/>
                <w:szCs w:val="20"/>
              </w:rPr>
              <w:t xml:space="preserve">Signature</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single" w:color="999999" w:sz="4"/>
              <w:right w:val="none" w:color="FFFFFF" w:sz="0"/>
            </w:tcBorders>
            <w:tcMar>
              <w:top w:type="dxa" w:w="480"/>
              <w:left w:type="dxa" w:w="0"/>
              <w:bottom w:type="dxa" w:w="60"/>
              <w:right w:type="dxa" w:w="0"/>
            </w:tcMar>
          </w:tcPr>
          <w:p>
            <w:r>
              <w:rPr>
                <w:rFonts w:ascii="Arial" w:cs="Arial" w:eastAsia="Arial" w:hAnsi="Arial"/>
                <w:color w:val="AAAAAA"/>
                <w:sz w:val="20"/>
                <w:szCs w:val="20"/>
              </w:rPr>
              <w:t xml:space="preserve">Signature</w:t>
            </w:r>
          </w:p>
        </w:tc>
      </w:tr>
      <w:tr>
        <w:tc>
          <w:tcPr>
            <w:tcW w:type="dxa" w:w="4500"/>
            <w:tcBorders>
              <w:top w:val="none" w:color="FFFFFF" w:sz="0"/>
              <w:left w:val="none" w:color="FFFFFF" w:sz="0"/>
              <w:bottom w:val="single" w:color="999999" w:sz="4"/>
              <w:right w:val="none" w:color="FFFFFF" w:sz="0"/>
            </w:tcBorders>
            <w:tcMar>
              <w:top w:type="dxa" w:w="240"/>
              <w:left w:type="dxa" w:w="0"/>
              <w:bottom w:type="dxa" w:w="60"/>
              <w:right w:type="dxa" w:w="0"/>
            </w:tcMar>
          </w:tcPr>
          <w:p>
            <w:r>
              <w:rPr>
                <w:rFonts w:ascii="Arial" w:cs="Arial" w:eastAsia="Arial" w:hAnsi="Arial"/>
                <w:color w:val="AAAAAA"/>
                <w:sz w:val="20"/>
                <w:szCs w:val="20"/>
              </w:rPr>
              <w:t xml:space="preserve">Name &amp; Title</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single" w:color="999999" w:sz="4"/>
              <w:right w:val="none" w:color="FFFFFF" w:sz="0"/>
            </w:tcBorders>
            <w:tcMar>
              <w:top w:type="dxa" w:w="240"/>
              <w:left w:type="dxa" w:w="0"/>
              <w:bottom w:type="dxa" w:w="60"/>
              <w:right w:type="dxa" w:w="0"/>
            </w:tcMar>
          </w:tcPr>
          <w:p>
            <w:r>
              <w:rPr>
                <w:rFonts w:ascii="Arial" w:cs="Arial" w:eastAsia="Arial" w:hAnsi="Arial"/>
                <w:color w:val="AAAAAA"/>
                <w:sz w:val="20"/>
                <w:szCs w:val="20"/>
              </w:rPr>
              <w:t xml:space="preserve">Name &amp; Title</w:t>
            </w:r>
          </w:p>
        </w:tc>
      </w:tr>
      <w:tr>
        <w:tc>
          <w:tcPr>
            <w:tcW w:type="dxa" w:w="4500"/>
            <w:tcBorders>
              <w:top w:val="none" w:color="FFFFFF" w:sz="0"/>
              <w:left w:val="none" w:color="FFFFFF" w:sz="0"/>
              <w:bottom w:val="single" w:color="999999" w:sz="4"/>
              <w:right w:val="none" w:color="FFFFFF" w:sz="0"/>
            </w:tcBorders>
            <w:tcMar>
              <w:top w:type="dxa" w:w="240"/>
              <w:left w:type="dxa" w:w="0"/>
              <w:bottom w:type="dxa" w:w="60"/>
              <w:right w:type="dxa" w:w="0"/>
            </w:tcMar>
          </w:tcPr>
          <w:p>
            <w:r>
              <w:rPr>
                <w:rFonts w:ascii="Arial" w:cs="Arial" w:eastAsia="Arial" w:hAnsi="Arial"/>
                <w:color w:val="AAAAAA"/>
                <w:sz w:val="20"/>
                <w:szCs w:val="20"/>
              </w:rPr>
              <w:t xml:space="preserve">Date</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single" w:color="999999" w:sz="4"/>
              <w:right w:val="none" w:color="FFFFFF" w:sz="0"/>
            </w:tcBorders>
            <w:tcMar>
              <w:top w:type="dxa" w:w="240"/>
              <w:left w:type="dxa" w:w="0"/>
              <w:bottom w:type="dxa" w:w="60"/>
              <w:right w:type="dxa" w:w="0"/>
            </w:tcMar>
          </w:tcPr>
          <w:p>
            <w:r>
              <w:rPr>
                <w:rFonts w:ascii="Arial" w:cs="Arial" w:eastAsia="Arial" w:hAnsi="Arial"/>
                <w:color w:val="AAAAAA"/>
                <w:sz w:val="20"/>
                <w:szCs w:val="20"/>
              </w:rPr>
              <w:t xml:space="preserve">Date</w:t>
            </w:r>
          </w:p>
        </w:tc>
      </w:tr>
    </w:tbl>
    <w:p>
      <w:pPr>
        <w:spacing w:after="0" w:before="240"/>
      </w:pPr>
      <w:r>
        <w:t xml:space="preserve"/>
      </w:r>
    </w:p>
    <w:p>
      <w:pPr>
        <w:pageBreakBefore/>
        <w:pBdr>
          <w:bottom w:val="single" w:color="1F4E79" w:sz="8" w:space="6"/>
        </w:pBdr>
        <w:spacing w:after="160" w:before="0"/>
      </w:pPr>
      <w:r>
        <w:rPr>
          <w:rFonts w:ascii="Arial" w:cs="Arial" w:eastAsia="Arial" w:hAnsi="Arial"/>
          <w:b/>
          <w:bCs/>
          <w:color w:val="1F4E79"/>
          <w:sz w:val="28"/>
          <w:szCs w:val="28"/>
        </w:rPr>
        <w:t xml:space="preserve">SCHEDULE A — Monitored Surface</w:t>
      </w:r>
    </w:p>
    <w:p>
      <w:pPr>
        <w:spacing w:after="80" w:before="80"/>
        <w:jc w:val="left"/>
      </w:pPr>
      <w:r>
        <w:rPr>
          <w:rFonts w:ascii="Arial" w:cs="Arial" w:eastAsia="Arial" w:hAnsi="Arial"/>
          <w:sz w:val="22"/>
          <w:szCs w:val="22"/>
        </w:rPr>
        <w:t xml:space="preserve">List all endpoints subject to monitoring under this Agreement. For each endpoint, indicate which criteria from Section 4 apply.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120"/>
        <w:gridCol w:w="1120"/>
        <w:gridCol w:w="1120"/>
        <w:gridCol w:w="100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Endpoint URL</w:t>
            </w:r>
          </w:p>
        </w:tc>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1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TLS/Cert</w:t>
            </w:r>
          </w:p>
        </w:tc>
        <w:tc>
          <w:tcPr>
            <w:tcW w:type="dxa" w:w="1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Sec. Headers</w:t>
            </w:r>
          </w:p>
        </w:tc>
        <w:tc>
          <w:tcPr>
            <w:tcW w:type="dxa" w:w="1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Availability</w:t>
            </w:r>
          </w:p>
        </w:tc>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Content Integrity</w:t>
            </w:r>
          </w:p>
        </w:tc>
      </w:tr>
      <w:tr>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
            </w:r>
          </w:p>
        </w:tc>
        <w:tc>
          <w:tcPr>
            <w:tcW w:type="dxa" w:w="112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 Yes  ☐ N/A</w:t>
            </w:r>
          </w:p>
        </w:tc>
        <w:tc>
          <w:tcPr>
            <w:tcW w:type="dxa" w:w="112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 Yes  ☐ N/A</w:t>
            </w:r>
          </w:p>
        </w:tc>
        <w:tc>
          <w:tcPr>
            <w:tcW w:type="dxa" w:w="112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 Yes  ☐ N/A</w:t>
            </w:r>
          </w:p>
        </w:tc>
        <w:tc>
          <w:tcPr>
            <w:tcW w:type="dxa" w:w="1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 Yes  ☐ N/A</w:t>
            </w:r>
          </w:p>
        </w:tc>
      </w:tr>
      <w:tr>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
            </w:r>
          </w:p>
        </w:tc>
        <w:tc>
          <w:tcPr>
            <w:tcW w:type="dxa" w:w="112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 Yes  ☐ N/A</w:t>
            </w:r>
          </w:p>
        </w:tc>
        <w:tc>
          <w:tcPr>
            <w:tcW w:type="dxa" w:w="112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 Yes  ☐ N/A</w:t>
            </w:r>
          </w:p>
        </w:tc>
        <w:tc>
          <w:tcPr>
            <w:tcW w:type="dxa" w:w="112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 Yes  ☐ N/A</w:t>
            </w:r>
          </w:p>
        </w:tc>
        <w:tc>
          <w:tcPr>
            <w:tcW w:type="dxa" w:w="1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 Yes  ☐ N/A</w:t>
            </w:r>
          </w:p>
        </w:tc>
      </w:tr>
      <w:tr>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
            </w:r>
          </w:p>
        </w:tc>
        <w:tc>
          <w:tcPr>
            <w:tcW w:type="dxa" w:w="112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 Yes  ☐ N/A</w:t>
            </w:r>
          </w:p>
        </w:tc>
        <w:tc>
          <w:tcPr>
            <w:tcW w:type="dxa" w:w="112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 Yes  ☐ N/A</w:t>
            </w:r>
          </w:p>
        </w:tc>
        <w:tc>
          <w:tcPr>
            <w:tcW w:type="dxa" w:w="112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 Yes  ☐ N/A</w:t>
            </w:r>
          </w:p>
        </w:tc>
        <w:tc>
          <w:tcPr>
            <w:tcW w:type="dxa" w:w="1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 Yes  ☐ N/A</w:t>
            </w:r>
          </w:p>
        </w:tc>
      </w:tr>
      <w:tr>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
            </w:r>
          </w:p>
        </w:tc>
        <w:tc>
          <w:tcPr>
            <w:tcW w:type="dxa" w:w="112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 Yes  ☐ N/A</w:t>
            </w:r>
          </w:p>
        </w:tc>
        <w:tc>
          <w:tcPr>
            <w:tcW w:type="dxa" w:w="112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 Yes  ☐ N/A</w:t>
            </w:r>
          </w:p>
        </w:tc>
        <w:tc>
          <w:tcPr>
            <w:tcW w:type="dxa" w:w="112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 Yes  ☐ N/A</w:t>
            </w:r>
          </w:p>
        </w:tc>
        <w:tc>
          <w:tcPr>
            <w:tcW w:type="dxa" w:w="1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 Yes  ☐ N/A</w:t>
            </w:r>
          </w:p>
        </w:tc>
      </w:tr>
    </w:tbl>
    <w:p>
      <w:pPr>
        <w:spacing w:after="0" w:before="240"/>
      </w:pPr>
      <w:r>
        <w:t xml:space="preserve"/>
      </w:r>
    </w:p>
    <w:p>
      <w:pPr>
        <w:pBdr>
          <w:bottom w:val="single" w:color="1F4E79" w:sz="8" w:space="6"/>
        </w:pBdr>
        <w:spacing w:after="160" w:before="200"/>
      </w:pPr>
      <w:r>
        <w:rPr>
          <w:rFonts w:ascii="Arial" w:cs="Arial" w:eastAsia="Arial" w:hAnsi="Arial"/>
          <w:b/>
          <w:bCs/>
          <w:color w:val="1F4E79"/>
          <w:sz w:val="28"/>
          <w:szCs w:val="28"/>
        </w:rPr>
        <w:t xml:space="preserve">SCHEDULE B — Monitoring Parameters and Technical Specifications</w:t>
      </w:r>
    </w:p>
    <w:p>
      <w:pPr>
        <w:spacing w:after="80" w:before="80"/>
        <w:jc w:val="left"/>
      </w:pPr>
      <w:r>
        <w:rPr>
          <w:rFonts w:ascii="Arial" w:cs="Arial" w:eastAsia="Arial" w:hAnsi="Arial"/>
          <w:sz w:val="22"/>
          <w:szCs w:val="22"/>
        </w:rPr>
        <w:t xml:space="preserve">The following technical parameters define the authorized monitoring behavior: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 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 Frequency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[___] minutes between checks per endpoint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IP Range / Agent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be disclosed by Client upon request and updated as needed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Method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only — no POST, PUT, DELETE, or authenticated requests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User-Agent String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[Client-defined identifier, e.g., 'GRC-SyntheticMonitor/1.0']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Volume (max)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[___] requests per endpoint per hour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Evidence Storage Location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Client-controlled AWS S3 bucket — not accessible to Provider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 Recipients (Client side)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[Client-defined — email addresses or notification endpoints]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Escalation Contact (Provider)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_______________ | Email: _______________ | Phone: _______________</w:t>
            </w:r>
          </w:p>
        </w:tc>
      </w:tr>
    </w:tbl>
    <w:p>
      <w:pPr>
        <w:spacing w:after="0" w:before="200"/>
      </w:pPr>
      <w:r>
        <w:t xml:space="preserve"/>
      </w:r>
    </w:p>
    <w:p>
      <w:pPr>
        <w:spacing w:after="80" w:before="80"/>
        <w:jc w:val="both"/>
      </w:pPr>
      <w:r>
        <w:rPr>
          <w:rFonts w:ascii="Arial" w:cs="Arial" w:eastAsia="Arial" w:hAnsi="Arial"/>
          <w:sz w:val="22"/>
          <w:szCs w:val="22"/>
        </w:rPr>
        <w:t xml:space="preserve">The Client's monitoring tool operates as a read-only, external observer. It does not authenticate, submit forms, execute scripts, or interact with the Provider's application layer beyond issuing standard HTTP GET requests to the URLs listed in Schedule 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2026-04-22T13:55:34.950Z</dcterms:created>
  <dcterms:modified xsi:type="dcterms:W3CDTF">2026-04-22T13:55:34.951Z</dcterms:modified>
</cp:coreProperties>
</file>

<file path=docProps/custom.xml><?xml version="1.0" encoding="utf-8"?>
<Properties xmlns="http://schemas.openxmlformats.org/officeDocument/2006/custom-properties" xmlns:vt="http://schemas.openxmlformats.org/officeDocument/2006/docPropsVTypes"/>
</file>