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B2A4A"/>
          <w:sz w:val="20"/>
          <w:szCs w:val="20"/>
        </w:rPr>
        <w:t xml:space="preserve">CARLOS J. MOLINA  ·  GRC CONSULTING</w:t>
      </w:r>
    </w:p>
    <w:p>
      <w:pPr>
        <w:spacing w:after="100"/>
      </w:pPr>
      <w:r>
        <w:rPr>
          <w:rFonts w:ascii="Georgia" w:cs="Georgia" w:eastAsia="Georgia" w:hAnsi="Georgia"/>
          <w:b/>
          <w:bCs/>
          <w:color w:val="1B2A4A"/>
          <w:sz w:val="44"/>
          <w:szCs w:val="44"/>
        </w:rPr>
        <w:t xml:space="preserve">Certification Pathway</w:t>
      </w:r>
    </w:p>
    <w:p>
      <w:pPr>
        <w:spacing w:after="300"/>
      </w:pPr>
      <w:r>
        <w:rPr>
          <w:rFonts w:ascii="Georgia" w:cs="Georgia" w:eastAsia="Georgia" w:hAnsi="Georgia"/>
          <w:i/>
          <w:iCs/>
          <w:color w:val="444444"/>
          <w:sz w:val="23"/>
          <w:szCs w:val="23"/>
        </w:rPr>
        <w:t xml:space="preserve">Master Artifact Guide — One Sequence, from First Diagnostic to Management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Document</w:t>
            </w:r>
          </w:p>
        </w:tc>
        <w:tc>
          <w:tcPr>
            <w:tcW w:type="dxa" w:w="6950"/>
            <w:tcMar>
              <w:top w:type="dxa" w:w="100"/>
              <w:left w:type="dxa" w:w="120"/>
              <w:bottom w:type="dxa" w:w="100"/>
              <w:right w:type="dxa" w:w="120"/>
            </w:tcMar>
            <w:vAlign w:val="center"/>
          </w:tcPr>
          <w:p>
            <w:r>
              <w:rPr>
                <w:rFonts w:ascii="Calibri" w:cs="Calibri" w:eastAsia="Calibri" w:hAnsi="Calibri"/>
                <w:color w:val="222222"/>
                <w:sz w:val="20"/>
                <w:szCs w:val="20"/>
              </w:rPr>
              <w:t xml:space="preserve">Certification Pathway — Master Artifact Guide</w:t>
            </w:r>
          </w:p>
        </w:tc>
      </w:tr>
      <w:tr>
        <w:tc>
          <w:tcPr>
            <w:tcW w:type="dxa" w:w="24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Framework</w:t>
            </w:r>
          </w:p>
        </w:tc>
        <w:tc>
          <w:tcPr>
            <w:tcW w:type="dxa" w:w="6950"/>
            <w:tcMar>
              <w:top w:type="dxa" w:w="100"/>
              <w:left w:type="dxa" w:w="120"/>
              <w:bottom w:type="dxa" w:w="100"/>
              <w:right w:type="dxa" w:w="120"/>
            </w:tcMar>
            <w:vAlign w:val="center"/>
          </w:tcPr>
          <w:p>
            <w:r>
              <w:rPr>
                <w:rFonts w:ascii="Calibri" w:cs="Calibri" w:eastAsia="Calibri" w:hAnsi="Calibri"/>
                <w:color w:val="222222"/>
                <w:sz w:val="20"/>
                <w:szCs w:val="20"/>
              </w:rPr>
              <w:t xml:space="preserve">SMCTR Engagement Framework (Scope → Map → Collect → Test → Report)</w:t>
            </w:r>
          </w:p>
        </w:tc>
      </w:tr>
      <w:tr>
        <w:tc>
          <w:tcPr>
            <w:tcW w:type="dxa" w:w="24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Purpose</w:t>
            </w:r>
          </w:p>
        </w:tc>
        <w:tc>
          <w:tcPr>
            <w:tcW w:type="dxa" w:w="6950"/>
            <w:tcMar>
              <w:top w:type="dxa" w:w="100"/>
              <w:left w:type="dxa" w:w="120"/>
              <w:bottom w:type="dxa" w:w="100"/>
              <w:right w:type="dxa" w:w="120"/>
            </w:tcMar>
            <w:vAlign w:val="center"/>
          </w:tcPr>
          <w:p>
            <w:r>
              <w:rPr>
                <w:rFonts w:ascii="Calibri" w:cs="Calibri" w:eastAsia="Calibri" w:hAnsi="Calibri"/>
                <w:color w:val="222222"/>
                <w:sz w:val="20"/>
                <w:szCs w:val="20"/>
              </w:rPr>
              <w:t xml:space="preserve">One unified sequence spanning the full ISO 27001 certification lifecycle. A Gap Assessment is a prefix of this same list, not a separate structure — it simply stops at artifact #7. Source for the course's module map.</w:t>
            </w:r>
          </w:p>
        </w:tc>
      </w:tr>
      <w:tr>
        <w:tc>
          <w:tcPr>
            <w:tcW w:type="dxa" w:w="24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Status</w:t>
            </w:r>
          </w:p>
        </w:tc>
        <w:tc>
          <w:tcPr>
            <w:tcW w:type="dxa" w:w="6950"/>
            <w:tcMar>
              <w:top w:type="dxa" w:w="100"/>
              <w:left w:type="dxa" w:w="120"/>
              <w:bottom w:type="dxa" w:w="100"/>
              <w:right w:type="dxa" w:w="120"/>
            </w:tcMar>
            <w:vAlign w:val="center"/>
          </w:tcPr>
          <w:p>
            <w:r>
              <w:rPr>
                <w:rFonts w:ascii="Calibri" w:cs="Calibri" w:eastAsia="Calibri" w:hAnsi="Calibri"/>
                <w:color w:val="222222"/>
                <w:sz w:val="20"/>
                <w:szCs w:val="20"/>
              </w:rPr>
              <w:t xml:space="preserve">Living reference document — v3.0, unified single-track structure with explicit audience per artifact</w:t>
            </w:r>
          </w:p>
        </w:tc>
      </w:tr>
      <w:tr>
        <w:tc>
          <w:tcPr>
            <w:tcW w:type="dxa" w:w="2400"/>
            <w:shd w:fill="F2F2F2" w:val="clear"/>
            <w:tcMar>
              <w:top w:type="dxa" w:w="100"/>
              <w:left w:type="dxa" w:w="120"/>
              <w:bottom w:type="dxa" w:w="100"/>
              <w:right w:type="dxa" w:w="120"/>
            </w:tcMar>
            <w:vAlign w:val="center"/>
          </w:tcPr>
          <w:p>
            <w:r>
              <w:rPr>
                <w:rFonts w:ascii="Calibri" w:cs="Calibri" w:eastAsia="Calibri" w:hAnsi="Calibri"/>
                <w:b/>
                <w:bCs/>
                <w:color w:val="1B2A4A"/>
                <w:sz w:val="20"/>
                <w:szCs w:val="20"/>
              </w:rPr>
              <w:t xml:space="preserve">Author</w:t>
            </w:r>
          </w:p>
        </w:tc>
        <w:tc>
          <w:tcPr>
            <w:tcW w:type="dxa" w:w="6950"/>
            <w:tcMar>
              <w:top w:type="dxa" w:w="100"/>
              <w:left w:type="dxa" w:w="120"/>
              <w:bottom w:type="dxa" w:w="100"/>
              <w:right w:type="dxa" w:w="120"/>
            </w:tcMar>
            <w:vAlign w:val="center"/>
          </w:tcPr>
          <w:p>
            <w:r>
              <w:rPr>
                <w:rFonts w:ascii="Calibri" w:cs="Calibri" w:eastAsia="Calibri" w:hAnsi="Calibri"/>
                <w:color w:val="222222"/>
                <w:sz w:val="20"/>
                <w:szCs w:val="20"/>
              </w:rPr>
              <w:t xml:space="preserve">Carlos J. Molina · GRC Consulting</w:t>
            </w:r>
          </w:p>
        </w:tc>
      </w:tr>
    </w:tbl>
    <w:p>
      <w:pPr>
        <w:pageBreakBefore/>
      </w:pPr>
      <w:r>
        <w:t xml:space="preserve"/>
      </w:r>
    </w:p>
    <w:p>
      <w:pPr>
        <w:pStyle w:val="Heading1"/>
        <w:spacing w:after="160"/>
      </w:pPr>
      <w:r>
        <w:rPr>
          <w:rFonts w:ascii="Georgia" w:cs="Georgia" w:eastAsia="Georgia" w:hAnsi="Georgia"/>
          <w:b/>
          <w:bCs/>
          <w:color w:val="1B2A4A"/>
          <w:sz w:val="28"/>
          <w:szCs w:val="28"/>
        </w:rPr>
        <w:t xml:space="preserve">How to use this guide</w:t>
      </w:r>
    </w:p>
    <w:p>
      <w:pPr>
        <w:spacing w:after="140" w:line="276"/>
      </w:pPr>
      <w:r>
        <w:rPr>
          <w:rFonts w:ascii="Calibri" w:cs="Calibri" w:eastAsia="Calibri" w:hAnsi="Calibri"/>
          <w:color w:val="222222"/>
          <w:sz w:val="22"/>
          <w:szCs w:val="22"/>
        </w:rPr>
        <w:t xml:space="preserve">This is one sequence, not several. Earlier versions of this guide kept a separate structure for a Gap Assessment engagement versus a full certification engagement — that was a mistake worth naming: it implied the diagnostic work and the certification work follow different logics, when in fact a Gap Assessment is simply the first seven artifacts of the same twelve-artifact sequence a full certification requires. A client who starts with a diagnostic and later decides to pursue certification does not restart with a different map — they continue down the same one.</w:t>
      </w:r>
    </w:p>
    <w:p>
      <w:pPr>
        <w:spacing w:after="140" w:line="276"/>
      </w:pPr>
      <w:r>
        <w:rPr>
          <w:rFonts w:ascii="Calibri" w:cs="Calibri" w:eastAsia="Calibri" w:hAnsi="Calibri"/>
          <w:color w:val="222222"/>
          <w:sz w:val="22"/>
          <w:szCs w:val="22"/>
        </w:rPr>
        <w:t xml:space="preserve">Every artifact below states who it is for. That single field resolves most of the design questions that come up while building one: an artifact written for the Auditor should contain nothing the standard does not ask for; an artifact written for internal use can be as rough or as tailored as it needs to be, because it never leaves the engagement team.</w:t>
      </w:r>
    </w:p>
    <w:p>
      <w:pPr>
        <w:pStyle w:val="Heading1"/>
        <w:pBdr>
          <w:bottom w:val="single" w:color="1B2A4A" w:sz="8" w:space="4"/>
        </w:pBdr>
        <w:spacing w:after="160" w:before="420"/>
      </w:pPr>
      <w:r>
        <w:rPr>
          <w:rFonts w:ascii="Georgia" w:cs="Georgia" w:eastAsia="Georgia" w:hAnsi="Georgia"/>
          <w:b/>
          <w:bCs/>
          <w:color w:val="1B2A4A"/>
          <w:sz w:val="30"/>
          <w:szCs w:val="30"/>
        </w:rPr>
        <w:t xml:space="preserve">Master sequence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200"/>
        <w:gridCol w:w="3050"/>
      </w:tblGrid>
      <w:tr>
        <w:tc>
          <w:tcPr>
            <w:tcW w:type="dxa" w:w="5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36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Artifact</w:t>
            </w:r>
          </w:p>
        </w:tc>
        <w:tc>
          <w:tcPr>
            <w:tcW w:type="dxa" w:w="220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Stage</w:t>
            </w:r>
          </w:p>
        </w:tc>
        <w:tc>
          <w:tcPr>
            <w:tcW w:type="dxa" w:w="3050"/>
            <w:shd w:fill="1B2A4A"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Audience</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1</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Scoping Questionnaire</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Scope</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Client + Consultant</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2</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ISMS Core Document</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Scope</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Auditor</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3</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Certification Roadmap</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Scope</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Client</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4</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Asset Inventory</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Map</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Consultant (working tool)</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5</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Statement of Applicability</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Map</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Auditor</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6</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Risk Scenarios</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Map</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Auditor (on request)</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7</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Gap Tracker</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Map</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Consultant + Remediation Owners</w:t>
            </w:r>
          </w:p>
        </w:tc>
      </w:tr>
      <w:tr>
        <w:tc>
          <w:tcPr>
            <w:tcW w:type="dxa" w:w="9350"/>
            <w:gridSpan w:val="4"/>
            <w:shd w:fill="FFF6E5" w:val="clear"/>
            <w:tcMar>
              <w:top w:type="dxa" w:w="60"/>
              <w:left w:type="dxa" w:w="100"/>
              <w:bottom w:type="dxa" w:w="60"/>
              <w:right w:type="dxa" w:w="100"/>
            </w:tcMar>
          </w:tcPr>
          <w:p>
            <w:pPr>
              <w:jc w:val="center"/>
            </w:pPr>
            <w:r>
              <w:rPr>
                <w:rFonts w:ascii="Calibri" w:cs="Calibri" w:eastAsia="Calibri" w:hAnsi="Calibri"/>
                <w:b/>
                <w:bCs/>
                <w:i/>
                <w:iCs/>
                <w:color w:val="8A6520"/>
                <w:sz w:val="18"/>
                <w:szCs w:val="18"/>
              </w:rPr>
              <w:t xml:space="preserve">— READINESS ASSESSMENT STOPS HERE —</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8</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Evidence Request List</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Collect</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Consultant + Evidence Owners</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9</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Control Owner Interview Guide</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Test</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Consultant + Control Owners</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10</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Internal Audit Playbook</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Test</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Internal Auditor</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11</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Nonconformity &amp; Corrective Action Tracker</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Report</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Auditor + Remediation Owners</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12</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Management Review Deck</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Report</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Top Management</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Executive Summary</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Closing (ours)</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Leadership / Risk Owner</w:t>
            </w:r>
          </w:p>
        </w:tc>
      </w:tr>
      <w:tr>
        <w:tc>
          <w:tcPr>
            <w:tcW w:type="dxa" w:w="500"/>
            <w:shd w:fill="FFFFFF" w:val="clear"/>
            <w:tcMar>
              <w:top w:type="dxa" w:w="60"/>
              <w:left w:type="dxa" w:w="100"/>
              <w:bottom w:type="dxa" w:w="60"/>
              <w:right w:type="dxa" w:w="100"/>
            </w:tcMar>
          </w:tcPr>
          <w:p>
            <w:r>
              <w:rPr>
                <w:rFonts w:ascii="Calibri" w:cs="Calibri" w:eastAsia="Calibri" w:hAnsi="Calibri"/>
                <w:color w:val="222222"/>
                <w:sz w:val="19"/>
                <w:szCs w:val="19"/>
              </w:rPr>
              <w:t xml:space="preserve">—</w:t>
            </w:r>
          </w:p>
        </w:tc>
        <w:tc>
          <w:tcPr>
            <w:tcW w:type="dxa" w:w="3600"/>
            <w:shd w:fill="FFFFFF" w:val="clear"/>
            <w:tcMar>
              <w:top w:type="dxa" w:w="60"/>
              <w:left w:type="dxa" w:w="100"/>
              <w:bottom w:type="dxa" w:w="60"/>
              <w:right w:type="dxa" w:w="100"/>
            </w:tcMar>
          </w:tcPr>
          <w:p>
            <w:r>
              <w:rPr>
                <w:rFonts w:ascii="Calibri" w:cs="Calibri" w:eastAsia="Calibri" w:hAnsi="Calibri"/>
                <w:color w:val="222222"/>
                <w:sz w:val="19"/>
                <w:szCs w:val="19"/>
              </w:rPr>
              <w:t xml:space="preserve">System Components Reference</w:t>
            </w:r>
          </w:p>
        </w:tc>
        <w:tc>
          <w:tcPr>
            <w:tcW w:type="dxa" w:w="2200"/>
            <w:shd w:fill="FFFFFF" w:val="clear"/>
            <w:tcMar>
              <w:top w:type="dxa" w:w="60"/>
              <w:left w:type="dxa" w:w="100"/>
              <w:bottom w:type="dxa" w:w="60"/>
              <w:right w:type="dxa" w:w="100"/>
            </w:tcMar>
          </w:tcPr>
          <w:p>
            <w:r>
              <w:rPr>
                <w:rFonts w:ascii="Calibri" w:cs="Calibri" w:eastAsia="Calibri" w:hAnsi="Calibri"/>
                <w:color w:val="222222"/>
                <w:sz w:val="19"/>
                <w:szCs w:val="19"/>
              </w:rPr>
              <w:t xml:space="preserve">Internal-only, no fixed stage</w:t>
            </w:r>
          </w:p>
        </w:tc>
        <w:tc>
          <w:tcPr>
            <w:tcW w:type="dxa" w:w="3050"/>
            <w:shd w:fill="FFFFFF" w:val="clear"/>
            <w:tcMar>
              <w:top w:type="dxa" w:w="60"/>
              <w:left w:type="dxa" w:w="100"/>
              <w:bottom w:type="dxa" w:w="60"/>
              <w:right w:type="dxa" w:w="100"/>
            </w:tcMar>
          </w:tcPr>
          <w:p>
            <w:r>
              <w:rPr>
                <w:rFonts w:ascii="Calibri" w:cs="Calibri" w:eastAsia="Calibri" w:hAnsi="Calibri"/>
                <w:color w:val="222222"/>
                <w:sz w:val="19"/>
                <w:szCs w:val="19"/>
              </w:rPr>
              <w:t xml:space="preserve">Consultant + Client (never Auditor)</w:t>
            </w:r>
          </w:p>
        </w:tc>
      </w:tr>
    </w:tbl>
    <w:p>
      <w:pPr>
        <w:pBdr>
          <w:left w:val="single" w:color="1B2A4A" w:sz="18" w:space="8"/>
        </w:pBdr>
        <w:shd w:fill="F2F2F2" w:val="clear"/>
        <w:spacing w:after="200" w:before="100"/>
        <w:ind w:left="120"/>
      </w:pPr>
      <w:r>
        <w:rPr>
          <w:rFonts w:ascii="Calibri" w:cs="Calibri" w:eastAsia="Calibri" w:hAnsi="Calibri"/>
          <w:i/>
          <w:iCs/>
          <w:color w:val="444444"/>
          <w:sz w:val="20"/>
          <w:szCs w:val="20"/>
        </w:rPr>
        <w:t xml:space="preserve">ISO/IEC 27001:2022 requires that certain information be documented (scope, policy, risk methodology, SoA, objectives, competence, and others) — it does not mandate the file names, the section headers, or how that information is packaged into documents. The twelve artifacts below are one reasonable, defensible way to organize that required content, not the only valid one. Treat the sequence as a design choice made for clarity and teachability, not as a literal standard requirement.</w:t>
      </w:r>
    </w:p>
    <w:p>
      <w:pPr>
        <w:pStyle w:val="Heading1"/>
        <w:pBdr>
          <w:bottom w:val="single" w:color="1B2A4A" w:sz="8" w:space="4"/>
        </w:pBdr>
        <w:spacing w:after="160" w:before="420"/>
      </w:pPr>
      <w:r>
        <w:rPr>
          <w:rFonts w:ascii="Georgia" w:cs="Georgia" w:eastAsia="Georgia" w:hAnsi="Georgia"/>
          <w:b/>
          <w:bCs/>
          <w:color w:val="1B2A4A"/>
          <w:sz w:val="30"/>
          <w:szCs w:val="30"/>
        </w:rPr>
        <w:t xml:space="preserve">Stage: Scope</w:t>
      </w:r>
    </w:p>
    <w:p>
      <w:pPr>
        <w:pStyle w:val="Heading2"/>
        <w:spacing w:after="80" w:before="220"/>
      </w:pPr>
      <w:r>
        <w:rPr>
          <w:rFonts w:ascii="Georgia" w:cs="Georgia" w:eastAsia="Georgia" w:hAnsi="Georgia"/>
          <w:b/>
          <w:bCs/>
          <w:color w:val="1B2A4A"/>
          <w:sz w:val="23"/>
          <w:szCs w:val="23"/>
        </w:rPr>
        <w:t xml:space="preserve">1. Scoping Questionnaire</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Client + Consultant</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A structured diagnostic interview — what systems exist, what needs protecting, how mature current practices are.</w:t>
      </w:r>
    </w:p>
    <w:p>
      <w:pPr>
        <w:spacing w:after="90" w:line="265"/>
      </w:pPr>
      <w:r>
        <w:rPr>
          <w:rFonts w:ascii="Calibri" w:cs="Calibri" w:eastAsia="Calibri" w:hAnsi="Calibri"/>
          <w:b/>
          <w:bCs/>
          <w:color w:val="444444"/>
          <w:sz w:val="21"/>
          <w:szCs w:val="21"/>
        </w:rPr>
        <w:t xml:space="preserve">Depends on: </w:t>
      </w:r>
      <w:r>
        <w:rPr>
          <w:rFonts w:ascii="Calibri" w:cs="Calibri" w:eastAsia="Calibri" w:hAnsi="Calibri"/>
          <w:color w:val="222222"/>
          <w:sz w:val="21"/>
          <w:szCs w:val="21"/>
        </w:rPr>
        <w:t xml:space="preserve">Nothing — entry point.</w:t>
      </w:r>
    </w:p>
    <w:p>
      <w:pPr>
        <w:pBdr>
          <w:left w:val="single" w:color="1B2A4A" w:sz="18" w:space="8"/>
        </w:pBdr>
        <w:shd w:fill="F2F2F2" w:val="clear"/>
        <w:spacing w:after="200" w:before="100"/>
        <w:ind w:left="120"/>
      </w:pPr>
      <w:r>
        <w:rPr>
          <w:rFonts w:ascii="Calibri" w:cs="Calibri" w:eastAsia="Calibri" w:hAnsi="Calibri"/>
          <w:i/>
          <w:iCs/>
          <w:color w:val="444444"/>
          <w:sz w:val="20"/>
          <w:szCs w:val="20"/>
        </w:rPr>
        <w:t xml:space="preserve">Treat this as a point-in-time snapshot once completed. Do not edit it retroactively when later stages discover something new — record new findings in the ISMS Core Document's scope section instead, with a note on when and why they surfaced.</w:t>
      </w:r>
    </w:p>
    <w:p>
      <w:pPr>
        <w:pStyle w:val="Heading2"/>
        <w:spacing w:after="80" w:before="220"/>
      </w:pPr>
      <w:r>
        <w:rPr>
          <w:rFonts w:ascii="Georgia" w:cs="Georgia" w:eastAsia="Georgia" w:hAnsi="Georgia"/>
          <w:b/>
          <w:bCs/>
          <w:color w:val="1B2A4A"/>
          <w:sz w:val="23"/>
          <w:szCs w:val="23"/>
        </w:rPr>
        <w:t xml:space="preserve">2. ISMS Core Document</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Auditor</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Seven sections, reorganized around what each answers rather than around individual clause numbers, together covering the 17 ISMS clauses that concern governance design (as opposed to the 8 clauses — 7.3, 8.1–8.3, 9.2, 9.3, 10.1–10.2 — that require the ISMS to already be operating, and are out of scope until Stage 4/5 work begins).</w:t>
      </w:r>
    </w:p>
    <w:p>
      <w:pPr>
        <w:spacing w:after="120" w:line="265"/>
      </w:pPr>
      <w:r>
        <w:rPr>
          <w:rFonts w:ascii="Calibri" w:cs="Calibri" w:eastAsia="Calibri" w:hAnsi="Calibri"/>
          <w:b/>
          <w:bCs/>
          <w:color w:val="222222"/>
          <w:sz w:val="21"/>
          <w:szCs w:val="21"/>
        </w:rPr>
        <w:t xml:space="preserve">Section 1 — Organizational Context &amp; Scope </w:t>
      </w:r>
      <w:r>
        <w:rPr>
          <w:rFonts w:ascii="Calibri" w:cs="Calibri" w:eastAsia="Calibri" w:hAnsi="Calibri"/>
          <w:color w:val="222222"/>
          <w:sz w:val="21"/>
          <w:szCs w:val="21"/>
        </w:rPr>
        <w:t xml:space="preserve">(clauses 4.1, 4.2, 4.3, 4.4) — who we are and what this covers.
</w:t>
      </w:r>
      <w:r>
        <w:rPr>
          <w:rFonts w:ascii="Calibri" w:cs="Calibri" w:eastAsia="Calibri" w:hAnsi="Calibri"/>
          <w:b/>
          <w:bCs/>
          <w:color w:val="222222"/>
          <w:sz w:val="21"/>
          <w:szCs w:val="21"/>
        </w:rPr>
        <w:t xml:space="preserve">Section 2 — Leadership Commitment &amp; Policy </w:t>
      </w:r>
      <w:r>
        <w:rPr>
          <w:rFonts w:ascii="Calibri" w:cs="Calibri" w:eastAsia="Calibri" w:hAnsi="Calibri"/>
          <w:color w:val="222222"/>
          <w:sz w:val="21"/>
          <w:szCs w:val="21"/>
        </w:rPr>
        <w:t xml:space="preserve">(5.1, 5.2) — what management commits to.
</w:t>
      </w:r>
      <w:r>
        <w:rPr>
          <w:rFonts w:ascii="Calibri" w:cs="Calibri" w:eastAsia="Calibri" w:hAnsi="Calibri"/>
          <w:b/>
          <w:bCs/>
          <w:color w:val="222222"/>
          <w:sz w:val="21"/>
          <w:szCs w:val="21"/>
        </w:rPr>
        <w:t xml:space="preserve">Section 3 — Roles, Resources &amp; Competence </w:t>
      </w:r>
      <w:r>
        <w:rPr>
          <w:rFonts w:ascii="Calibri" w:cs="Calibri" w:eastAsia="Calibri" w:hAnsi="Calibri"/>
          <w:color w:val="222222"/>
          <w:sz w:val="21"/>
          <w:szCs w:val="21"/>
        </w:rPr>
        <w:t xml:space="preserve">(5.3, 7.1, 7.2) — who does it, with what, and with what capability.
</w:t>
      </w:r>
      <w:r>
        <w:rPr>
          <w:rFonts w:ascii="Calibri" w:cs="Calibri" w:eastAsia="Calibri" w:hAnsi="Calibri"/>
          <w:b/>
          <w:bCs/>
          <w:color w:val="222222"/>
          <w:sz w:val="21"/>
          <w:szCs w:val="21"/>
        </w:rPr>
        <w:t xml:space="preserve">Section 4 — Risk Approach </w:t>
      </w:r>
      <w:r>
        <w:rPr>
          <w:rFonts w:ascii="Calibri" w:cs="Calibri" w:eastAsia="Calibri" w:hAnsi="Calibri"/>
          <w:color w:val="222222"/>
          <w:sz w:val="21"/>
          <w:szCs w:val="21"/>
        </w:rPr>
        <w:t xml:space="preserve">(6.1.1, 6.1.2, 6.1.3) — how risk is assessed and treated, including the risk acceptance criteria and authorized risk owner.
</w:t>
      </w:r>
      <w:r>
        <w:rPr>
          <w:rFonts w:ascii="Calibri" w:cs="Calibri" w:eastAsia="Calibri" w:hAnsi="Calibri"/>
          <w:b/>
          <w:bCs/>
          <w:color w:val="222222"/>
          <w:sz w:val="21"/>
          <w:szCs w:val="21"/>
        </w:rPr>
        <w:t xml:space="preserve">Section 5 — Objectives &amp; Change Planning </w:t>
      </w:r>
      <w:r>
        <w:rPr>
          <w:rFonts w:ascii="Calibri" w:cs="Calibri" w:eastAsia="Calibri" w:hAnsi="Calibri"/>
          <w:color w:val="222222"/>
          <w:sz w:val="21"/>
          <w:szCs w:val="21"/>
        </w:rPr>
        <w:t xml:space="preserve">(6.2, 6.3) — where this is headed, and how changes are planned.
</w:t>
      </w:r>
      <w:r>
        <w:rPr>
          <w:rFonts w:ascii="Calibri" w:cs="Calibri" w:eastAsia="Calibri" w:hAnsi="Calibri"/>
          <w:b/>
          <w:bCs/>
          <w:color w:val="222222"/>
          <w:sz w:val="21"/>
          <w:szCs w:val="21"/>
        </w:rPr>
        <w:t xml:space="preserve">Section 6 — Communication &amp; Documentation Control </w:t>
      </w:r>
      <w:r>
        <w:rPr>
          <w:rFonts w:ascii="Calibri" w:cs="Calibri" w:eastAsia="Calibri" w:hAnsi="Calibri"/>
          <w:color w:val="222222"/>
          <w:sz w:val="21"/>
          <w:szCs w:val="21"/>
        </w:rPr>
        <w:t xml:space="preserve">(7.4, 7.5) — how information moves and how documents are controlled.
</w:t>
      </w:r>
      <w:r>
        <w:rPr>
          <w:rFonts w:ascii="Calibri" w:cs="Calibri" w:eastAsia="Calibri" w:hAnsi="Calibri"/>
          <w:b/>
          <w:bCs/>
          <w:color w:val="222222"/>
          <w:sz w:val="21"/>
          <w:szCs w:val="21"/>
        </w:rPr>
        <w:t xml:space="preserve">Section 7 — Measurement Plan </w:t>
      </w:r>
      <w:r>
        <w:rPr>
          <w:rFonts w:ascii="Calibri" w:cs="Calibri" w:eastAsia="Calibri" w:hAnsi="Calibri"/>
          <w:color w:val="222222"/>
          <w:sz w:val="21"/>
          <w:szCs w:val="21"/>
        </w:rPr>
        <w:t xml:space="preserve">(9.1) — how we know it is working.</w:t>
      </w:r>
    </w:p>
    <w:p>
      <w:pPr>
        <w:spacing w:after="90" w:line="265"/>
      </w:pPr>
      <w:r>
        <w:rPr>
          <w:rFonts w:ascii="Calibri" w:cs="Calibri" w:eastAsia="Calibri" w:hAnsi="Calibri"/>
          <w:b/>
          <w:bCs/>
          <w:color w:val="444444"/>
          <w:sz w:val="21"/>
          <w:szCs w:val="21"/>
        </w:rPr>
        <w:t xml:space="preserve">Depends on: </w:t>
      </w:r>
      <w:r>
        <w:rPr>
          <w:rFonts w:ascii="Calibri" w:cs="Calibri" w:eastAsia="Calibri" w:hAnsi="Calibri"/>
          <w:color w:val="222222"/>
          <w:sz w:val="21"/>
          <w:szCs w:val="21"/>
        </w:rPr>
        <w:t xml:space="preserve">Nothing external — risk acceptance criteria and the authorized risk owner are established within Section 4 itself, not referenced from a separate document.</w:t>
      </w:r>
    </w:p>
    <w:p>
      <w:pPr>
        <w:pBdr>
          <w:left w:val="single" w:color="1B2A4A" w:sz="18" w:space="8"/>
        </w:pBdr>
        <w:shd w:fill="F2F2F2" w:val="clear"/>
        <w:spacing w:after="200" w:before="100"/>
        <w:ind w:left="120"/>
      </w:pPr>
      <w:r>
        <w:rPr>
          <w:rFonts w:ascii="Calibri" w:cs="Calibri" w:eastAsia="Calibri" w:hAnsi="Calibri"/>
          <w:i/>
          <w:iCs/>
          <w:color w:val="444444"/>
          <w:sz w:val="20"/>
          <w:szCs w:val="20"/>
        </w:rPr>
        <w:t xml:space="preserve">This document is worked in more than one pass, by design. Sections 1, 2, 3, 4, 6, and 7 are governance design decisions that do not require any technical finding — draft them early, right after the Risk Tolerance Statement. Section 5's Objectives half genuinely depends on having real findings to target, so it is intentionally left open until the Statement of Applicability and Gap Tracker exist, and revisited as many times as new findings warrant. A document being revisited is the document doing its job, not the process falling out of order.</w:t>
      </w:r>
    </w:p>
    <w:p>
      <w:pPr>
        <w:pStyle w:val="Heading2"/>
        <w:spacing w:after="80" w:before="220"/>
      </w:pPr>
      <w:r>
        <w:rPr>
          <w:rFonts w:ascii="Georgia" w:cs="Georgia" w:eastAsia="Georgia" w:hAnsi="Georgia"/>
          <w:b/>
          <w:bCs/>
          <w:color w:val="1B2A4A"/>
          <w:sz w:val="23"/>
          <w:szCs w:val="23"/>
        </w:rPr>
        <w:t xml:space="preserve">3. Certification Roadmap</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Client</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A translation of the scoping answers into a working timeline toward certification.</w:t>
      </w:r>
    </w:p>
    <w:p>
      <w:pPr>
        <w:spacing w:after="90" w:line="265"/>
      </w:pPr>
      <w:r>
        <w:rPr>
          <w:rFonts w:ascii="Calibri" w:cs="Calibri" w:eastAsia="Calibri" w:hAnsi="Calibri"/>
          <w:b/>
          <w:bCs/>
          <w:color w:val="444444"/>
          <w:sz w:val="21"/>
          <w:szCs w:val="21"/>
        </w:rPr>
        <w:t xml:space="preserve">Depends on: </w:t>
      </w:r>
      <w:r>
        <w:rPr>
          <w:rFonts w:ascii="Calibri" w:cs="Calibri" w:eastAsia="Calibri" w:hAnsi="Calibri"/>
          <w:color w:val="222222"/>
          <w:sz w:val="21"/>
          <w:szCs w:val="21"/>
        </w:rPr>
        <w:t xml:space="preserve">Scoping Questionnaire.</w:t>
      </w:r>
    </w:p>
    <w:p>
      <w:pPr>
        <w:pStyle w:val="Heading1"/>
        <w:pBdr>
          <w:bottom w:val="single" w:color="1B2A4A" w:sz="8" w:space="4"/>
        </w:pBdr>
        <w:spacing w:after="160" w:before="420"/>
      </w:pPr>
      <w:r>
        <w:rPr>
          <w:rFonts w:ascii="Georgia" w:cs="Georgia" w:eastAsia="Georgia" w:hAnsi="Georgia"/>
          <w:b/>
          <w:bCs/>
          <w:color w:val="1B2A4A"/>
          <w:sz w:val="30"/>
          <w:szCs w:val="30"/>
        </w:rPr>
        <w:t xml:space="preserve">Stage: Map</w:t>
      </w:r>
    </w:p>
    <w:p>
      <w:pPr>
        <w:pStyle w:val="Heading2"/>
        <w:spacing w:after="80" w:before="220"/>
      </w:pPr>
      <w:r>
        <w:rPr>
          <w:rFonts w:ascii="Georgia" w:cs="Georgia" w:eastAsia="Georgia" w:hAnsi="Georgia"/>
          <w:b/>
          <w:bCs/>
          <w:color w:val="1B2A4A"/>
          <w:sz w:val="23"/>
          <w:szCs w:val="23"/>
        </w:rPr>
        <w:t xml:space="preserve">4. Asset Inventory</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Consultant (working tool, in the GRC platform of record)</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The formal register of every in-scope asset — infrastructure, software, data, people — each with security targets and recovery indicators.</w:t>
      </w:r>
    </w:p>
    <w:p>
      <w:pPr>
        <w:spacing w:after="90" w:line="265"/>
      </w:pPr>
      <w:r>
        <w:rPr>
          <w:rFonts w:ascii="Calibri" w:cs="Calibri" w:eastAsia="Calibri" w:hAnsi="Calibri"/>
          <w:b/>
          <w:bCs/>
          <w:color w:val="444444"/>
          <w:sz w:val="21"/>
          <w:szCs w:val="21"/>
        </w:rPr>
        <w:t xml:space="preserve">Depends on: </w:t>
      </w:r>
      <w:r>
        <w:rPr>
          <w:rFonts w:ascii="Calibri" w:cs="Calibri" w:eastAsia="Calibri" w:hAnsi="Calibri"/>
          <w:color w:val="222222"/>
          <w:sz w:val="21"/>
          <w:szCs w:val="21"/>
        </w:rPr>
        <w:t xml:space="preserve">Section 1 of the ISMS Core Document, which defines what belongs in the inventory in the first place.</w:t>
      </w:r>
    </w:p>
    <w:p>
      <w:pPr>
        <w:spacing w:after="90" w:line="265"/>
      </w:pPr>
      <w:r>
        <w:rPr>
          <w:rFonts w:ascii="Calibri" w:cs="Calibri" w:eastAsia="Calibri" w:hAnsi="Calibri"/>
          <w:b/>
          <w:bCs/>
          <w:color w:val="444444"/>
          <w:sz w:val="21"/>
          <w:szCs w:val="21"/>
        </w:rPr>
        <w:t xml:space="preserve">Commonly discovered here: </w:t>
      </w:r>
      <w:r>
        <w:rPr>
          <w:rFonts w:ascii="Calibri" w:cs="Calibri" w:eastAsia="Calibri" w:hAnsi="Calibri"/>
          <w:color w:val="222222"/>
          <w:sz w:val="21"/>
          <w:szCs w:val="21"/>
        </w:rPr>
        <w:t xml:space="preserve">Supporting infrastructure the client did not think to mention during scoping. Expect to return to this artifact more than once.</w:t>
      </w:r>
    </w:p>
    <w:p>
      <w:pPr>
        <w:pStyle w:val="Heading2"/>
        <w:spacing w:after="80" w:before="220"/>
      </w:pPr>
      <w:r>
        <w:rPr>
          <w:rFonts w:ascii="Georgia" w:cs="Georgia" w:eastAsia="Georgia" w:hAnsi="Georgia"/>
          <w:b/>
          <w:bCs/>
          <w:color w:val="1B2A4A"/>
          <w:sz w:val="23"/>
          <w:szCs w:val="23"/>
        </w:rPr>
        <w:t xml:space="preserve">5. Statement of Applicability (SoA)</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Auditor — the single most-referenced artifact of the entire assessment</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An applicability decision, a justification, and an implementation status for every one of the 93 ISO/IEC 27001:2022 Annex A controls.</w:t>
      </w:r>
    </w:p>
    <w:p>
      <w:pPr>
        <w:spacing w:after="90" w:line="265"/>
      </w:pPr>
      <w:r>
        <w:rPr>
          <w:rFonts w:ascii="Calibri" w:cs="Calibri" w:eastAsia="Calibri" w:hAnsi="Calibri"/>
          <w:b/>
          <w:bCs/>
          <w:color w:val="444444"/>
          <w:sz w:val="21"/>
          <w:szCs w:val="21"/>
        </w:rPr>
        <w:t xml:space="preserve">Depends on: </w:t>
      </w:r>
      <w:r>
        <w:rPr>
          <w:rFonts w:ascii="Calibri" w:cs="Calibri" w:eastAsia="Calibri" w:hAnsi="Calibri"/>
          <w:color w:val="222222"/>
          <w:sz w:val="21"/>
          <w:szCs w:val="21"/>
        </w:rPr>
        <w:t xml:space="preserve">Asset Inventory and Section 1 of the ISMS Core Document (exclusions must trace to a scope fact already established).</w:t>
      </w:r>
    </w:p>
    <w:p>
      <w:pPr>
        <w:spacing w:after="90" w:line="265"/>
      </w:pPr>
      <w:r>
        <w:rPr>
          <w:rFonts w:ascii="Calibri" w:cs="Calibri" w:eastAsia="Calibri" w:hAnsi="Calibri"/>
          <w:b/>
          <w:bCs/>
          <w:color w:val="444444"/>
          <w:sz w:val="21"/>
          <w:szCs w:val="21"/>
        </w:rPr>
        <w:t xml:space="preserve">Commonly discovered here: </w:t>
      </w:r>
      <w:r>
        <w:rPr>
          <w:rFonts w:ascii="Calibri" w:cs="Calibri" w:eastAsia="Calibri" w:hAnsi="Calibri"/>
          <w:color w:val="222222"/>
          <w:sz w:val="21"/>
          <w:szCs w:val="21"/>
        </w:rPr>
        <w:t xml:space="preserve">This is typically where the largest number of new risk-scenario candidates and gap-tracker entries originate.</w:t>
      </w:r>
    </w:p>
    <w:p>
      <w:pPr>
        <w:pStyle w:val="Heading2"/>
        <w:spacing w:after="80" w:before="220"/>
      </w:pPr>
      <w:r>
        <w:rPr>
          <w:rFonts w:ascii="Georgia" w:cs="Georgia" w:eastAsia="Georgia" w:hAnsi="Georgia"/>
          <w:b/>
          <w:bCs/>
          <w:color w:val="1B2A4A"/>
          <w:sz w:val="23"/>
          <w:szCs w:val="23"/>
        </w:rPr>
        <w:t xml:space="preserve">6. Risk Scenarios</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Auditor, on request, as supporting evidence</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A Risk Assessment container (scope + date) holding individual risk scenarios: threat, origin, current risk, proposed controls, residual risk.</w:t>
      </w:r>
    </w:p>
    <w:p>
      <w:pPr>
        <w:spacing w:after="90" w:line="265"/>
      </w:pPr>
      <w:r>
        <w:rPr>
          <w:rFonts w:ascii="Calibri" w:cs="Calibri" w:eastAsia="Calibri" w:hAnsi="Calibri"/>
          <w:b/>
          <w:bCs/>
          <w:color w:val="444444"/>
          <w:sz w:val="21"/>
          <w:szCs w:val="21"/>
        </w:rPr>
        <w:t xml:space="preserve">Depends on: </w:t>
      </w:r>
      <w:r>
        <w:rPr>
          <w:rFonts w:ascii="Calibri" w:cs="Calibri" w:eastAsia="Calibri" w:hAnsi="Calibri"/>
          <w:color w:val="222222"/>
          <w:sz w:val="21"/>
          <w:szCs w:val="21"/>
        </w:rPr>
        <w:t xml:space="preserve">Asset Inventory, Risk Tolerance Statement, and — for scenarios discovered this way — the Statement of Applicability.</w:t>
      </w:r>
    </w:p>
    <w:p>
      <w:pPr>
        <w:spacing w:after="90" w:line="265"/>
      </w:pPr>
      <w:r>
        <w:rPr>
          <w:rFonts w:ascii="Calibri" w:cs="Calibri" w:eastAsia="Calibri" w:hAnsi="Calibri"/>
          <w:b/>
          <w:bCs/>
          <w:color w:val="444444"/>
          <w:sz w:val="21"/>
          <w:szCs w:val="21"/>
        </w:rPr>
        <w:t xml:space="preserve">Selection criterion: </w:t>
      </w:r>
      <w:r>
        <w:rPr>
          <w:rFonts w:ascii="Calibri" w:cs="Calibri" w:eastAsia="Calibri" w:hAnsi="Calibri"/>
          <w:color w:val="222222"/>
          <w:sz w:val="21"/>
          <w:szCs w:val="21"/>
        </w:rPr>
        <w:t xml:space="preserve">A candidate earns its own scenario only when it satisfies two conditions together: it puts a specific Risk Tolerance principle at stake, and it involves an asset with a high (3–4) security target rating in the affected dimension. When two plausible threat origins would be mitigated by the exact same controls, model the more demanding origin only.</w:t>
      </w:r>
    </w:p>
    <w:p>
      <w:pPr>
        <w:pStyle w:val="Heading2"/>
        <w:spacing w:after="80" w:before="220"/>
      </w:pPr>
      <w:r>
        <w:rPr>
          <w:rFonts w:ascii="Georgia" w:cs="Georgia" w:eastAsia="Georgia" w:hAnsi="Georgia"/>
          <w:b/>
          <w:bCs/>
          <w:color w:val="1B2A4A"/>
          <w:sz w:val="23"/>
          <w:szCs w:val="23"/>
        </w:rPr>
        <w:t xml:space="preserve">7. Gap Tracker</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Consultant + Remediation Owners — internal working document</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Every Annex A control not yet Implemented, repackaged as a follow-up item with an owner and a priority — no re-analysis, just re-formatting of the SoA's own findings.</w:t>
      </w:r>
    </w:p>
    <w:p>
      <w:pPr>
        <w:spacing w:after="90" w:line="265"/>
      </w:pPr>
      <w:r>
        <w:rPr>
          <w:rFonts w:ascii="Calibri" w:cs="Calibri" w:eastAsia="Calibri" w:hAnsi="Calibri"/>
          <w:b/>
          <w:bCs/>
          <w:color w:val="444444"/>
          <w:sz w:val="21"/>
          <w:szCs w:val="21"/>
        </w:rPr>
        <w:t xml:space="preserve">Depends on: </w:t>
      </w:r>
      <w:r>
        <w:rPr>
          <w:rFonts w:ascii="Calibri" w:cs="Calibri" w:eastAsia="Calibri" w:hAnsi="Calibri"/>
          <w:color w:val="222222"/>
          <w:sz w:val="21"/>
          <w:szCs w:val="21"/>
        </w:rPr>
        <w:t xml:space="preserve">Statement of Applicability.</w:t>
      </w:r>
    </w:p>
    <w:p>
      <w:pPr>
        <w:pBdr>
          <w:top w:val="single" w:color="C8993A" w:sz="12" w:space="6"/>
          <w:bottom w:val="single" w:color="C8993A" w:sz="12" w:space="6"/>
        </w:pBdr>
        <w:shd w:fill="FFF6E5" w:val="clear"/>
        <w:spacing w:after="200" w:before="300"/>
        <w:jc w:val="center"/>
      </w:pPr>
      <w:r>
        <w:rPr>
          <w:rFonts w:ascii="Calibri" w:cs="Calibri" w:eastAsia="Calibri" w:hAnsi="Calibri"/>
          <w:b/>
          <w:bCs/>
          <w:i/>
          <w:iCs/>
          <w:color w:val="8A6520"/>
          <w:sz w:val="20"/>
          <w:szCs w:val="20"/>
        </w:rPr>
        <w:t xml:space="preserve">A Gap Assessment engagement ends here — artifacts 1 through 7. Artifacts 8 through 12 require the ISMS to already be operating, and belong to a full certification engagement.</w:t>
      </w:r>
    </w:p>
    <w:p>
      <w:pPr>
        <w:pStyle w:val="Heading1"/>
        <w:pBdr>
          <w:bottom w:val="single" w:color="1B2A4A" w:sz="8" w:space="4"/>
        </w:pBdr>
        <w:spacing w:after="160" w:before="420"/>
      </w:pPr>
      <w:r>
        <w:rPr>
          <w:rFonts w:ascii="Georgia" w:cs="Georgia" w:eastAsia="Georgia" w:hAnsi="Georgia"/>
          <w:b/>
          <w:bCs/>
          <w:color w:val="1B2A4A"/>
          <w:sz w:val="30"/>
          <w:szCs w:val="30"/>
        </w:rPr>
        <w:t xml:space="preserve">Stage: Collect</w:t>
      </w:r>
    </w:p>
    <w:p>
      <w:pPr>
        <w:pStyle w:val="Heading2"/>
        <w:spacing w:after="80" w:before="220"/>
      </w:pPr>
      <w:r>
        <w:rPr>
          <w:rFonts w:ascii="Georgia" w:cs="Georgia" w:eastAsia="Georgia" w:hAnsi="Georgia"/>
          <w:b/>
          <w:bCs/>
          <w:color w:val="1B2A4A"/>
          <w:sz w:val="23"/>
          <w:szCs w:val="23"/>
        </w:rPr>
        <w:t xml:space="preserve">8. Evidence Request List</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Consultant + Evidence Owners</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A cadenced list of evidence to collect for each control — what, from whom, how often, and where it comes from.</w:t>
      </w:r>
    </w:p>
    <w:p>
      <w:pPr>
        <w:spacing w:after="90" w:line="265"/>
      </w:pPr>
      <w:r>
        <w:rPr>
          <w:rFonts w:ascii="Calibri" w:cs="Calibri" w:eastAsia="Calibri" w:hAnsi="Calibri"/>
          <w:b/>
          <w:bCs/>
          <w:color w:val="444444"/>
          <w:sz w:val="21"/>
          <w:szCs w:val="21"/>
        </w:rPr>
        <w:t xml:space="preserve">Depends on: </w:t>
      </w:r>
      <w:r>
        <w:rPr>
          <w:rFonts w:ascii="Calibri" w:cs="Calibri" w:eastAsia="Calibri" w:hAnsi="Calibri"/>
          <w:color w:val="222222"/>
          <w:sz w:val="21"/>
          <w:szCs w:val="21"/>
        </w:rPr>
        <w:t xml:space="preserve">Statement of Applicability.</w:t>
      </w:r>
    </w:p>
    <w:p>
      <w:pPr>
        <w:spacing w:after="90" w:line="265"/>
      </w:pPr>
      <w:r>
        <w:rPr>
          <w:rFonts w:ascii="Calibri" w:cs="Calibri" w:eastAsia="Calibri" w:hAnsi="Calibri"/>
          <w:b/>
          <w:bCs/>
          <w:color w:val="444444"/>
          <w:sz w:val="21"/>
          <w:szCs w:val="21"/>
        </w:rPr>
        <w:t xml:space="preserve">Status: </w:t>
      </w:r>
      <w:r>
        <w:rPr>
          <w:rFonts w:ascii="Calibri" w:cs="Calibri" w:eastAsia="Calibri" w:hAnsi="Calibri"/>
          <w:color w:val="222222"/>
          <w:sz w:val="21"/>
          <w:szCs w:val="21"/>
        </w:rPr>
        <w:t xml:space="preserve">Not built. Belongs to a full certification engagement, not the current Gap Assessment. Model: the Club's Evidence Request List (Stage 3).</w:t>
      </w:r>
    </w:p>
    <w:p>
      <w:pPr>
        <w:pStyle w:val="Heading1"/>
        <w:pBdr>
          <w:bottom w:val="single" w:color="1B2A4A" w:sz="8" w:space="4"/>
        </w:pBdr>
        <w:spacing w:after="160" w:before="420"/>
      </w:pPr>
      <w:r>
        <w:rPr>
          <w:rFonts w:ascii="Georgia" w:cs="Georgia" w:eastAsia="Georgia" w:hAnsi="Georgia"/>
          <w:b/>
          <w:bCs/>
          <w:color w:val="1B2A4A"/>
          <w:sz w:val="30"/>
          <w:szCs w:val="30"/>
        </w:rPr>
        <w:t xml:space="preserve">Stage: Test</w:t>
      </w:r>
    </w:p>
    <w:p>
      <w:pPr>
        <w:pStyle w:val="Heading2"/>
        <w:spacing w:after="80" w:before="220"/>
      </w:pPr>
      <w:r>
        <w:rPr>
          <w:rFonts w:ascii="Georgia" w:cs="Georgia" w:eastAsia="Georgia" w:hAnsi="Georgia"/>
          <w:b/>
          <w:bCs/>
          <w:color w:val="1B2A4A"/>
          <w:sz w:val="23"/>
          <w:szCs w:val="23"/>
        </w:rPr>
        <w:t xml:space="preserve">9. Control Owner Interview Guide</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Consultant + Control Owners</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Structured interview questions per control-owning function, each ending in the artifact to request.</w:t>
      </w:r>
    </w:p>
    <w:p>
      <w:pPr>
        <w:spacing w:after="90" w:line="265"/>
      </w:pPr>
      <w:r>
        <w:rPr>
          <w:rFonts w:ascii="Calibri" w:cs="Calibri" w:eastAsia="Calibri" w:hAnsi="Calibri"/>
          <w:b/>
          <w:bCs/>
          <w:color w:val="444444"/>
          <w:sz w:val="21"/>
          <w:szCs w:val="21"/>
        </w:rPr>
        <w:t xml:space="preserve">Status: </w:t>
      </w:r>
      <w:r>
        <w:rPr>
          <w:rFonts w:ascii="Calibri" w:cs="Calibri" w:eastAsia="Calibri" w:hAnsi="Calibri"/>
          <w:color w:val="222222"/>
          <w:sz w:val="21"/>
          <w:szCs w:val="21"/>
        </w:rPr>
        <w:t xml:space="preserve">Not built. Model: the Club's Control Owner Interview Guide (Stage 4).</w:t>
      </w:r>
    </w:p>
    <w:p>
      <w:pPr>
        <w:pStyle w:val="Heading2"/>
        <w:spacing w:after="80" w:before="220"/>
      </w:pPr>
      <w:r>
        <w:rPr>
          <w:rFonts w:ascii="Georgia" w:cs="Georgia" w:eastAsia="Georgia" w:hAnsi="Georgia"/>
          <w:b/>
          <w:bCs/>
          <w:color w:val="1B2A4A"/>
          <w:sz w:val="23"/>
          <w:szCs w:val="23"/>
        </w:rPr>
        <w:t xml:space="preserve">10. Internal Audit Playbook</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Internal Auditor (someone impartial to what they audit)</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The mandatory internal audit function required before Stage 2 certification audit: program, test procedures, sampling, and finding-writing guidance.</w:t>
      </w:r>
    </w:p>
    <w:p>
      <w:pPr>
        <w:spacing w:after="90" w:line="265"/>
      </w:pPr>
      <w:r>
        <w:rPr>
          <w:rFonts w:ascii="Calibri" w:cs="Calibri" w:eastAsia="Calibri" w:hAnsi="Calibri"/>
          <w:b/>
          <w:bCs/>
          <w:color w:val="444444"/>
          <w:sz w:val="21"/>
          <w:szCs w:val="21"/>
        </w:rPr>
        <w:t xml:space="preserve">Status: </w:t>
      </w:r>
      <w:r>
        <w:rPr>
          <w:rFonts w:ascii="Calibri" w:cs="Calibri" w:eastAsia="Calibri" w:hAnsi="Calibri"/>
          <w:color w:val="222222"/>
          <w:sz w:val="21"/>
          <w:szCs w:val="21"/>
        </w:rPr>
        <w:t xml:space="preserve">Not built. Model: the Club's Internal Audit Playbook (Stage 4).</w:t>
      </w:r>
    </w:p>
    <w:p>
      <w:pPr>
        <w:pStyle w:val="Heading1"/>
        <w:pBdr>
          <w:bottom w:val="single" w:color="1B2A4A" w:sz="8" w:space="4"/>
        </w:pBdr>
        <w:spacing w:after="160" w:before="420"/>
      </w:pPr>
      <w:r>
        <w:rPr>
          <w:rFonts w:ascii="Georgia" w:cs="Georgia" w:eastAsia="Georgia" w:hAnsi="Georgia"/>
          <w:b/>
          <w:bCs/>
          <w:color w:val="1B2A4A"/>
          <w:sz w:val="30"/>
          <w:szCs w:val="30"/>
        </w:rPr>
        <w:t xml:space="preserve">Stage: Report</w:t>
      </w:r>
    </w:p>
    <w:p>
      <w:pPr>
        <w:pStyle w:val="Heading2"/>
        <w:spacing w:after="80" w:before="220"/>
      </w:pPr>
      <w:r>
        <w:rPr>
          <w:rFonts w:ascii="Georgia" w:cs="Georgia" w:eastAsia="Georgia" w:hAnsi="Georgia"/>
          <w:b/>
          <w:bCs/>
          <w:color w:val="1B2A4A"/>
          <w:sz w:val="23"/>
          <w:szCs w:val="23"/>
        </w:rPr>
        <w:t xml:space="preserve">11. Nonconformity and Corrective Action Tracker</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Auditor + Remediation Owners</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Findings classified major/minor/OFI, tracked from discovery to verified closure.</w:t>
      </w:r>
    </w:p>
    <w:p>
      <w:pPr>
        <w:spacing w:after="90" w:line="265"/>
      </w:pPr>
      <w:r>
        <w:rPr>
          <w:rFonts w:ascii="Calibri" w:cs="Calibri" w:eastAsia="Calibri" w:hAnsi="Calibri"/>
          <w:b/>
          <w:bCs/>
          <w:color w:val="444444"/>
          <w:sz w:val="21"/>
          <w:szCs w:val="21"/>
        </w:rPr>
        <w:t xml:space="preserve">Status: </w:t>
      </w:r>
      <w:r>
        <w:rPr>
          <w:rFonts w:ascii="Calibri" w:cs="Calibri" w:eastAsia="Calibri" w:hAnsi="Calibri"/>
          <w:color w:val="222222"/>
          <w:sz w:val="21"/>
          <w:szCs w:val="21"/>
        </w:rPr>
        <w:t xml:space="preserve">Not built. Model: the Club's Nonconformity and Corrective Action Tracker (Stage 5).</w:t>
      </w:r>
    </w:p>
    <w:p>
      <w:pPr>
        <w:pStyle w:val="Heading2"/>
        <w:spacing w:after="80" w:before="220"/>
      </w:pPr>
      <w:r>
        <w:rPr>
          <w:rFonts w:ascii="Georgia" w:cs="Georgia" w:eastAsia="Georgia" w:hAnsi="Georgia"/>
          <w:b/>
          <w:bCs/>
          <w:color w:val="1B2A4A"/>
          <w:sz w:val="23"/>
          <w:szCs w:val="23"/>
        </w:rPr>
        <w:t xml:space="preserve">12. Management Review Deck</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Top Management</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The formal review required by clause 9.3, built on the standard's required inputs.</w:t>
      </w:r>
    </w:p>
    <w:p>
      <w:pPr>
        <w:spacing w:after="90" w:line="265"/>
      </w:pPr>
      <w:r>
        <w:rPr>
          <w:rFonts w:ascii="Calibri" w:cs="Calibri" w:eastAsia="Calibri" w:hAnsi="Calibri"/>
          <w:b/>
          <w:bCs/>
          <w:color w:val="444444"/>
          <w:sz w:val="21"/>
          <w:szCs w:val="21"/>
        </w:rPr>
        <w:t xml:space="preserve">Status: </w:t>
      </w:r>
      <w:r>
        <w:rPr>
          <w:rFonts w:ascii="Calibri" w:cs="Calibri" w:eastAsia="Calibri" w:hAnsi="Calibri"/>
          <w:color w:val="222222"/>
          <w:sz w:val="21"/>
          <w:szCs w:val="21"/>
        </w:rPr>
        <w:t xml:space="preserve">Not built. Model: the Club's Management Review Deck (Stage 5).</w:t>
      </w:r>
    </w:p>
    <w:p>
      <w:pPr>
        <w:pStyle w:val="Heading1"/>
        <w:pBdr>
          <w:bottom w:val="single" w:color="1B2A4A" w:sz="8" w:space="4"/>
        </w:pBdr>
        <w:spacing w:after="160" w:before="420"/>
      </w:pPr>
      <w:r>
        <w:rPr>
          <w:rFonts w:ascii="Georgia" w:cs="Georgia" w:eastAsia="Georgia" w:hAnsi="Georgia"/>
          <w:b/>
          <w:bCs/>
          <w:color w:val="1B2A4A"/>
          <w:sz w:val="30"/>
          <w:szCs w:val="30"/>
        </w:rPr>
        <w:t xml:space="preserve">Outside the numbered sequence</w:t>
      </w:r>
    </w:p>
    <w:p>
      <w:pPr>
        <w:pStyle w:val="Heading2"/>
        <w:spacing w:after="80" w:before="220"/>
      </w:pPr>
      <w:r>
        <w:rPr>
          <w:rFonts w:ascii="Georgia" w:cs="Georgia" w:eastAsia="Georgia" w:hAnsi="Georgia"/>
          <w:b/>
          <w:bCs/>
          <w:color w:val="1B2A4A"/>
          <w:sz w:val="23"/>
          <w:szCs w:val="23"/>
        </w:rPr>
        <w:t xml:space="preserve">Executive Summary</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Leadership / Risk Owner (e.g., Vice Presidency)</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A short, non-technical translation of the assessment's key findings — the closing artifact for a Gap Assessment engagement.</w:t>
      </w:r>
    </w:p>
    <w:p>
      <w:pPr>
        <w:spacing w:after="90" w:line="265"/>
      </w:pPr>
      <w:r>
        <w:rPr>
          <w:rFonts w:ascii="Calibri" w:cs="Calibri" w:eastAsia="Calibri" w:hAnsi="Calibri"/>
          <w:b/>
          <w:bCs/>
          <w:color w:val="444444"/>
          <w:sz w:val="21"/>
          <w:szCs w:val="21"/>
        </w:rPr>
        <w:t xml:space="preserve">Depends on: </w:t>
      </w:r>
      <w:r>
        <w:rPr>
          <w:rFonts w:ascii="Calibri" w:cs="Calibri" w:eastAsia="Calibri" w:hAnsi="Calibri"/>
          <w:color w:val="222222"/>
          <w:sz w:val="21"/>
          <w:szCs w:val="21"/>
        </w:rPr>
        <w:t xml:space="preserve">Artifacts 1–7 — always the last artifact produced in a Gap Assessment.</w:t>
      </w:r>
    </w:p>
    <w:p>
      <w:pPr>
        <w:spacing w:after="90" w:line="265"/>
      </w:pPr>
      <w:r>
        <w:rPr>
          <w:rFonts w:ascii="Calibri" w:cs="Calibri" w:eastAsia="Calibri" w:hAnsi="Calibri"/>
          <w:b/>
          <w:bCs/>
          <w:color w:val="444444"/>
          <w:sz w:val="21"/>
          <w:szCs w:val="21"/>
        </w:rPr>
        <w:t xml:space="preserve">Why it is not numbered in the master sequence: </w:t>
      </w:r>
      <w:r>
        <w:rPr>
          <w:rFonts w:ascii="Calibri" w:cs="Calibri" w:eastAsia="Calibri" w:hAnsi="Calibri"/>
          <w:color w:val="222222"/>
          <w:sz w:val="21"/>
          <w:szCs w:val="21"/>
        </w:rPr>
        <w:t xml:space="preserve">It is our own closing synthesis for engagements that stop at artifact 7, not a document the standard or the Club's kit calls for — a full certification engagement's true closing point is the Management Review Deck (#12) instead.</w:t>
      </w:r>
    </w:p>
    <w:p>
      <w:pPr>
        <w:pStyle w:val="Heading2"/>
        <w:spacing w:after="80" w:before="220"/>
      </w:pPr>
      <w:r>
        <w:rPr>
          <w:rFonts w:ascii="Georgia" w:cs="Georgia" w:eastAsia="Georgia" w:hAnsi="Georgia"/>
          <w:b/>
          <w:bCs/>
          <w:color w:val="1B2A4A"/>
          <w:sz w:val="23"/>
          <w:szCs w:val="23"/>
        </w:rPr>
        <w:t xml:space="preserve">System Components Reference (optional, internal-only)</w:t>
      </w:r>
    </w:p>
    <w:p>
      <w:pPr>
        <w:shd w:fill="FFF6E5" w:val="clear"/>
        <w:spacing w:after="90" w:line="265"/>
      </w:pPr>
      <w:r>
        <w:rPr>
          <w:rFonts w:ascii="Calibri" w:cs="Calibri" w:eastAsia="Calibri" w:hAnsi="Calibri"/>
          <w:b/>
          <w:bCs/>
          <w:color w:val="8A6520"/>
          <w:sz w:val="21"/>
          <w:szCs w:val="21"/>
        </w:rPr>
        <w:t xml:space="preserve">Audience: </w:t>
      </w:r>
      <w:r>
        <w:rPr>
          <w:rFonts w:ascii="Calibri" w:cs="Calibri" w:eastAsia="Calibri" w:hAnsi="Calibri"/>
          <w:b/>
          <w:bCs/>
          <w:color w:val="8A6520"/>
          <w:sz w:val="21"/>
          <w:szCs w:val="21"/>
        </w:rPr>
        <w:t xml:space="preserve">Consultant + Client — never the Auditor</w:t>
      </w:r>
    </w:p>
    <w:p>
      <w:pPr>
        <w:spacing w:after="90" w:line="265"/>
      </w:pPr>
      <w:r>
        <w:rPr>
          <w:rFonts w:ascii="Calibri" w:cs="Calibri" w:eastAsia="Calibri" w:hAnsi="Calibri"/>
          <w:b/>
          <w:bCs/>
          <w:color w:val="444444"/>
          <w:sz w:val="21"/>
          <w:szCs w:val="21"/>
        </w:rPr>
        <w:t xml:space="preserve">What it is: </w:t>
      </w:r>
      <w:r>
        <w:rPr>
          <w:rFonts w:ascii="Calibri" w:cs="Calibri" w:eastAsia="Calibri" w:hAnsi="Calibri"/>
          <w:color w:val="222222"/>
          <w:sz w:val="21"/>
          <w:szCs w:val="21"/>
        </w:rPr>
        <w:t xml:space="preserve">A short, plain-language inventory of infrastructure, software, and data, useful as a quick reference without opening the GRC platform.</w:t>
      </w:r>
    </w:p>
    <w:p>
      <w:pPr>
        <w:spacing w:after="90" w:line="265"/>
      </w:pPr>
      <w:r>
        <w:rPr>
          <w:rFonts w:ascii="Calibri" w:cs="Calibri" w:eastAsia="Calibri" w:hAnsi="Calibri"/>
          <w:b/>
          <w:bCs/>
          <w:color w:val="444444"/>
          <w:sz w:val="21"/>
          <w:szCs w:val="21"/>
        </w:rPr>
        <w:t xml:space="preserve">Why it sits outside the sequence: </w:t>
      </w:r>
      <w:r>
        <w:rPr>
          <w:rFonts w:ascii="Calibri" w:cs="Calibri" w:eastAsia="Calibri" w:hAnsi="Calibri"/>
          <w:color w:val="222222"/>
          <w:sz w:val="21"/>
          <w:szCs w:val="21"/>
        </w:rPr>
        <w:t xml:space="preserve">ISO 27001 does not require this document in any form. It survives only as a clearly-labeled internal tool, buildable any time after Asset Inventory exists, with no fixed position.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Certification Pathway — Master Artifact Guide  ·  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6B6B6B"/>
        <w:sz w:val="16"/>
        <w:szCs w:val="16"/>
      </w:rPr>
      <w:t xml:space="preserve">CARLOS J. MOLINA · GRC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2026-09-16T15:33:58.211Z</dcterms:created>
  <dcterms:modified xsi:type="dcterms:W3CDTF">2026-09-16T15:33:58.211Z</dcterms:modified>
</cp:coreProperties>
</file>

<file path=docProps/custom.xml><?xml version="1.0" encoding="utf-8"?>
<Properties xmlns="http://schemas.openxmlformats.org/officeDocument/2006/custom-properties" xmlns:vt="http://schemas.openxmlformats.org/officeDocument/2006/docPropsVTypes"/>
</file>