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B2A4A"/>
          <w:sz w:val="20"/>
          <w:szCs w:val="20"/>
        </w:rPr>
        <w:t xml:space="preserve">CARLOS J. MOLINA  ·  GRC CONSULTING</w:t>
      </w:r>
    </w:p>
    <w:p>
      <w:pPr>
        <w:spacing w:after="100"/>
      </w:pPr>
      <w:r>
        <w:rPr>
          <w:rFonts w:ascii="Georgia" w:cs="Georgia" w:eastAsia="Georgia" w:hAnsi="Georgia"/>
          <w:b/>
          <w:bCs/>
          <w:color w:val="1B2A4A"/>
          <w:sz w:val="52"/>
          <w:szCs w:val="52"/>
        </w:rPr>
        <w:t xml:space="preserve">ISMS Core Document</w:t>
      </w:r>
    </w:p>
    <w:p>
      <w:pPr>
        <w:spacing w:after="300"/>
      </w:pPr>
      <w:r>
        <w:rPr>
          <w:rFonts w:ascii="Georgia" w:cs="Georgia" w:eastAsia="Georgia" w:hAnsi="Georgia"/>
          <w:i/>
          <w:iCs/>
          <w:color w:val="444444"/>
          <w:sz w:val="24"/>
          <w:szCs w:val="24"/>
        </w:rPr>
        <w:t xml:space="preserve">Custody Corp — Scope, Policy, Roles, Risk Approach, Objectives, Communication &amp; Measurement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Document</w:t>
            </w:r>
          </w:p>
        </w:tc>
        <w:tc>
          <w:tcPr>
            <w:tcW w:type="dxa" w:w="6850"/>
            <w:tcMar>
              <w:top w:type="dxa" w:w="100"/>
              <w:left w:type="dxa" w:w="120"/>
              <w:bottom w:type="dxa" w:w="100"/>
              <w:right w:type="dxa" w:w="120"/>
            </w:tcMar>
            <w:vAlign w:val="center"/>
          </w:tcPr>
          <w:p>
            <w:r>
              <w:rPr>
                <w:rFonts w:ascii="Calibri" w:cs="Calibri" w:eastAsia="Calibri" w:hAnsi="Calibri"/>
                <w:color w:val="222222"/>
                <w:sz w:val="20"/>
                <w:szCs w:val="20"/>
              </w:rPr>
              <w:t xml:space="preserve">ISMS Core Document — Custody Corp</w:t>
            </w:r>
          </w:p>
        </w:tc>
      </w:tr>
      <w:tr>
        <w:tc>
          <w:tcPr>
            <w:tcW w:type="dxa" w:w="25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Framework</w:t>
            </w:r>
          </w:p>
        </w:tc>
        <w:tc>
          <w:tcPr>
            <w:tcW w:type="dxa" w:w="6850"/>
            <w:tcMar>
              <w:top w:type="dxa" w:w="100"/>
              <w:left w:type="dxa" w:w="120"/>
              <w:bottom w:type="dxa" w:w="100"/>
              <w:right w:type="dxa" w:w="120"/>
            </w:tcMar>
            <w:vAlign w:val="center"/>
          </w:tcPr>
          <w:p>
            <w:r>
              <w:rPr>
                <w:rFonts w:ascii="Calibri" w:cs="Calibri" w:eastAsia="Calibri" w:hAnsi="Calibri"/>
                <w:color w:val="222222"/>
                <w:sz w:val="20"/>
                <w:szCs w:val="20"/>
              </w:rPr>
              <w:t xml:space="preserve">SMCTR Engagement Framework — Stage: Scope · Certification Pathway, Artifact #2 of 13</w:t>
            </w:r>
          </w:p>
        </w:tc>
      </w:tr>
      <w:tr>
        <w:tc>
          <w:tcPr>
            <w:tcW w:type="dxa" w:w="25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Standard</w:t>
            </w:r>
          </w:p>
        </w:tc>
        <w:tc>
          <w:tcPr>
            <w:tcW w:type="dxa" w:w="6850"/>
            <w:tcMar>
              <w:top w:type="dxa" w:w="100"/>
              <w:left w:type="dxa" w:w="120"/>
              <w:bottom w:type="dxa" w:w="100"/>
              <w:right w:type="dxa" w:w="120"/>
            </w:tcMar>
            <w:vAlign w:val="center"/>
          </w:tcPr>
          <w:p>
            <w:r>
              <w:rPr>
                <w:rFonts w:ascii="Calibri" w:cs="Calibri" w:eastAsia="Calibri" w:hAnsi="Calibri"/>
                <w:color w:val="222222"/>
                <w:sz w:val="20"/>
                <w:szCs w:val="20"/>
              </w:rPr>
              <w:t xml:space="preserve">ISO/IEC 27001:2022</w:t>
            </w:r>
          </w:p>
        </w:tc>
      </w:tr>
      <w:tr>
        <w:tc>
          <w:tcPr>
            <w:tcW w:type="dxa" w:w="25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Status</w:t>
            </w:r>
          </w:p>
        </w:tc>
        <w:tc>
          <w:tcPr>
            <w:tcW w:type="dxa" w:w="6850"/>
            <w:tcMar>
              <w:top w:type="dxa" w:w="100"/>
              <w:left w:type="dxa" w:w="120"/>
              <w:bottom w:type="dxa" w:w="100"/>
              <w:right w:type="dxa" w:w="120"/>
            </w:tcMar>
            <w:vAlign w:val="center"/>
          </w:tcPr>
          <w:p>
            <w:r>
              <w:rPr>
                <w:rFonts w:ascii="Calibri" w:cs="Calibri" w:eastAsia="Calibri" w:hAnsi="Calibri"/>
                <w:color w:val="222222"/>
                <w:sz w:val="20"/>
                <w:szCs w:val="20"/>
              </w:rPr>
              <w:t xml:space="preserve">Living document — all seven sections complete, including Objectives (Section 5, clause 6.2), closed following review of the Statement of Applicability and Gap Tracker</w:t>
            </w:r>
          </w:p>
        </w:tc>
      </w:tr>
      <w:tr>
        <w:tc>
          <w:tcPr>
            <w:tcW w:type="dxa" w:w="25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Prepared by</w:t>
            </w:r>
          </w:p>
        </w:tc>
        <w:tc>
          <w:tcPr>
            <w:tcW w:type="dxa" w:w="6850"/>
            <w:tcMar>
              <w:top w:type="dxa" w:w="100"/>
              <w:left w:type="dxa" w:w="120"/>
              <w:bottom w:type="dxa" w:w="100"/>
              <w:right w:type="dxa" w:w="120"/>
            </w:tcMar>
            <w:vAlign w:val="center"/>
          </w:tcPr>
          <w:p>
            <w:r>
              <w:rPr>
                <w:rFonts w:ascii="Calibri" w:cs="Calibri" w:eastAsia="Calibri" w:hAnsi="Calibri"/>
                <w:color w:val="222222"/>
                <w:sz w:val="20"/>
                <w:szCs w:val="20"/>
              </w:rPr>
              <w:t xml:space="preserve">Carlos J. Molina · GRC Consulting</w:t>
            </w:r>
          </w:p>
        </w:tc>
      </w:tr>
      <w:tr>
        <w:tc>
          <w:tcPr>
            <w:tcW w:type="dxa" w:w="25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Prepared for</w:t>
            </w:r>
          </w:p>
        </w:tc>
        <w:tc>
          <w:tcPr>
            <w:tcW w:type="dxa" w:w="6850"/>
            <w:tcMar>
              <w:top w:type="dxa" w:w="100"/>
              <w:left w:type="dxa" w:w="120"/>
              <w:bottom w:type="dxa" w:w="100"/>
              <w:right w:type="dxa" w:w="120"/>
            </w:tcMar>
            <w:vAlign w:val="center"/>
          </w:tcPr>
          <w:p>
            <w:r>
              <w:rPr>
                <w:rFonts w:ascii="Calibri" w:cs="Calibri" w:eastAsia="Calibri" w:hAnsi="Calibri"/>
                <w:color w:val="222222"/>
                <w:sz w:val="20"/>
                <w:szCs w:val="20"/>
              </w:rPr>
              <w:t xml:space="preserve">Custody Corp (fictional exercise)</w:t>
            </w:r>
          </w:p>
        </w:tc>
      </w:tr>
    </w:tbl>
    <w:p>
      <w:pPr>
        <w:pageBreakBefore/>
      </w:pPr>
      <w:r>
        <w:t xml:space="preserve"/>
      </w:r>
    </w:p>
    <w:p>
      <w:pPr>
        <w:pStyle w:val="Heading1"/>
        <w:spacing w:after="160"/>
      </w:pPr>
      <w:r>
        <w:rPr>
          <w:rFonts w:ascii="Georgia" w:cs="Georgia" w:eastAsia="Georgia" w:hAnsi="Georgia"/>
          <w:b/>
          <w:bCs/>
          <w:color w:val="1B2A4A"/>
          <w:sz w:val="28"/>
          <w:szCs w:val="28"/>
        </w:rPr>
        <w:t xml:space="preserve">Purpose and clause coverage</w:t>
      </w:r>
    </w:p>
    <w:p>
      <w:pPr>
        <w:spacing w:after="160" w:line="276"/>
      </w:pPr>
      <w:r>
        <w:rPr>
          <w:rFonts w:ascii="Calibri" w:cs="Calibri" w:eastAsia="Calibri" w:hAnsi="Calibri"/>
          <w:color w:val="222222"/>
          <w:sz w:val="22"/>
          <w:szCs w:val="22"/>
        </w:rPr>
        <w:t xml:space="preserve">This document consolidates the governance-layer documentation ISO/IEC 27001:2022 requires — the documents Stage 1 of a certification audit reviews. It covers the 17 ISMS clauses that concern governance design (clauses 4.1 through 9.1, excluding those that presuppose the ISMS is already operating). Eight clauses — 7.3 (awareness), 8.1–8.3 (operation), 9.2 (internal audit), 9.3 (management review), and 10.1–10.2 (improvement) — are out of scope for this Readiness Assessment, as they require an operating ISMS to produce evidence against. They apply once Custody Corp moves beyond this diagnostic stage.</w:t>
      </w:r>
    </w:p>
    <w:p>
      <w:pPr>
        <w:spacing w:after="160" w:line="276"/>
      </w:pPr>
      <w:r>
        <w:rPr>
          <w:rFonts w:ascii="Calibri" w:cs="Calibri" w:eastAsia="Calibri" w:hAnsi="Calibri"/>
          <w:color w:val="222222"/>
          <w:sz w:val="22"/>
          <w:szCs w:val="22"/>
        </w:rPr>
        <w:t xml:space="preserve">Note on clauses 0–3 of the standard: these are introductory and reference material (Introduction, the standard's own scope, normative references, and terms and definitions) and impose no requirements on any organization. The 25 substantive clauses begin at 4.1.</w:t>
      </w:r>
    </w:p>
    <w:p>
      <w:pPr>
        <w:pStyle w:val="Heading1"/>
        <w:pBdr>
          <w:bottom w:val="single" w:color="1B2A4A" w:sz="8" w:space="4"/>
        </w:pBdr>
        <w:spacing w:after="100" w:before="420"/>
      </w:pPr>
      <w:r>
        <w:rPr>
          <w:rFonts w:ascii="Georgia" w:cs="Georgia" w:eastAsia="Georgia" w:hAnsi="Georgia"/>
          <w:b/>
          <w:bCs/>
          <w:color w:val="1B2A4A"/>
          <w:sz w:val="28"/>
          <w:szCs w:val="28"/>
        </w:rPr>
        <w:t xml:space="preserve">Section 1 — Organizational Context &amp; Scope</w:t>
      </w:r>
    </w:p>
    <w:p>
      <w:pPr>
        <w:pStyle w:val="Heading2"/>
        <w:spacing w:after="100" w:before="260"/>
      </w:pPr>
      <w:r>
        <w:rPr>
          <w:rFonts w:ascii="Georgia" w:cs="Georgia" w:eastAsia="Georgia" w:hAnsi="Georgia"/>
          <w:b/>
          <w:bCs/>
          <w:color w:val="8A6520"/>
          <w:sz w:val="22"/>
          <w:szCs w:val="22"/>
        </w:rPr>
        <w:t xml:space="preserve">4.1 — Understanding the organization and its context</w:t>
      </w:r>
    </w:p>
    <w:p>
      <w:pPr>
        <w:spacing w:after="160" w:line="276"/>
      </w:pPr>
      <w:r>
        <w:rPr>
          <w:rFonts w:ascii="Calibri" w:cs="Calibri" w:eastAsia="Calibri" w:hAnsi="Calibri"/>
          <w:color w:val="222222"/>
          <w:sz w:val="22"/>
          <w:szCs w:val="22"/>
        </w:rPr>
        <w:t xml:space="preserve">Custody Corp provides physical security services, deploying personnel at client facilities. The organization operates with approximately 200 operational security personnel and 14 administrative staff.</w:t>
      </w:r>
    </w:p>
    <w:p>
      <w:pPr>
        <w:pStyle w:val="Heading2"/>
        <w:spacing w:after="100" w:before="260"/>
      </w:pPr>
      <w:r>
        <w:rPr>
          <w:rFonts w:ascii="Georgia" w:cs="Georgia" w:eastAsia="Georgia" w:hAnsi="Georgia"/>
          <w:b/>
          <w:bCs/>
          <w:color w:val="8A6520"/>
          <w:sz w:val="22"/>
          <w:szCs w:val="22"/>
        </w:rPr>
        <w:t xml:space="preserve">4.2 — Understanding the needs and expectations of interested parties</w:t>
      </w:r>
    </w:p>
    <w:p>
      <w:pPr>
        <w:spacing w:after="160" w:line="276"/>
      </w:pPr>
      <w:r>
        <w:rPr>
          <w:rFonts w:ascii="Calibri" w:cs="Calibri" w:eastAsia="Calibri" w:hAnsi="Calibri"/>
          <w:color w:val="222222"/>
          <w:sz w:val="22"/>
          <w:szCs w:val="22"/>
        </w:rPr>
        <w:t xml:space="preserve">Custody Corp's information security posture is directly relevant to two interested parties: its own personnel, whose payroll and personal data the organization processes, and its clients, who rely on Custody Corp's operational continuity and integrity for the physical security services contracted. No client currently accesses or interacts with Custody Corp's internal information systems directly (see 4.3, scope exclusions).</w:t>
      </w:r>
    </w:p>
    <w:p>
      <w:pPr>
        <w:pStyle w:val="Heading2"/>
        <w:spacing w:after="100" w:before="260"/>
      </w:pPr>
      <w:r>
        <w:rPr>
          <w:rFonts w:ascii="Georgia" w:cs="Georgia" w:eastAsia="Georgia" w:hAnsi="Georgia"/>
          <w:b/>
          <w:bCs/>
          <w:color w:val="8A6520"/>
          <w:sz w:val="22"/>
          <w:szCs w:val="22"/>
        </w:rPr>
        <w:t xml:space="preserve">4.3 — Determining the scope of the ISMS</w:t>
      </w:r>
    </w:p>
    <w:p>
      <w:pPr>
        <w:spacing w:after="160" w:line="276"/>
      </w:pPr>
      <w:r>
        <w:rPr>
          <w:rFonts w:ascii="Calibri" w:cs="Calibri" w:eastAsia="Calibri" w:hAnsi="Calibri"/>
          <w:color w:val="222222"/>
          <w:sz w:val="22"/>
          <w:szCs w:val="22"/>
        </w:rPr>
        <w:t xml:space="preserve">This ISMS covers two internal systems supporting Custody Corp's core business: the Payroll System, processing compensation for operational and administrative staff, and the Administrative System, supporting general administrative and financial functions.</w:t>
      </w:r>
    </w:p>
    <w:p>
      <w:pPr>
        <w:spacing w:after="160" w:line="276"/>
      </w:pPr>
      <w:r>
        <w:rPr>
          <w:rFonts w:ascii="Calibri" w:cs="Calibri" w:eastAsia="Calibri" w:hAnsi="Calibri"/>
          <w:color w:val="222222"/>
          <w:sz w:val="22"/>
          <w:szCs w:val="22"/>
        </w:rPr>
        <w:t xml:space="preserve">Out of scope, with justification:</w:t>
      </w:r>
    </w:p>
    <w:p>
      <w:pPr>
        <w:spacing w:after="160" w:line="276"/>
      </w:pPr>
      <w:r>
        <w:rPr>
          <w:rFonts w:ascii="Calibri" w:cs="Calibri" w:eastAsia="Calibri" w:hAnsi="Calibri"/>
          <w:color w:val="222222"/>
          <w:sz w:val="22"/>
          <w:szCs w:val="22"/>
        </w:rPr>
        <w:t xml:space="preserve">— Operations scheduling and workforce assignment: managed manually via spreadsheets, with no dedicated system in place. Excluded because there is no system to evaluate, not as a decision to disregard operational risk.</w:t>
      </w:r>
    </w:p>
    <w:p>
      <w:pPr>
        <w:spacing w:after="160" w:line="276"/>
      </w:pPr>
      <w:r>
        <w:rPr>
          <w:rFonts w:ascii="Calibri" w:cs="Calibri" w:eastAsia="Calibri" w:hAnsi="Calibri"/>
          <w:color w:val="222222"/>
          <w:sz w:val="22"/>
          <w:szCs w:val="22"/>
        </w:rPr>
        <w:t xml:space="preserve">— Physical security service delivery: Custody Corp's core business — guard deployment and on-site protection — is governed by separate operational and regulatory frameworks outside the scope of information security management.</w:t>
      </w:r>
    </w:p>
    <w:p>
      <w:pPr>
        <w:spacing w:after="160" w:line="276"/>
      </w:pPr>
      <w:r>
        <w:rPr>
          <w:rFonts w:ascii="Calibri" w:cs="Calibri" w:eastAsia="Calibri" w:hAnsi="Calibri"/>
          <w:color w:val="222222"/>
          <w:sz w:val="22"/>
          <w:szCs w:val="22"/>
        </w:rPr>
        <w:t xml:space="preserve">— Client-facing systems: Custody Corp does not currently operate any system through which clients directly access, submit, or retrieve data.</w:t>
      </w:r>
    </w:p>
    <w:p>
      <w:pPr>
        <w:pStyle w:val="Heading2"/>
        <w:spacing w:after="100" w:before="260"/>
      </w:pPr>
      <w:r>
        <w:rPr>
          <w:rFonts w:ascii="Georgia" w:cs="Georgia" w:eastAsia="Georgia" w:hAnsi="Georgia"/>
          <w:b/>
          <w:bCs/>
          <w:color w:val="8A6520"/>
          <w:sz w:val="22"/>
          <w:szCs w:val="22"/>
        </w:rPr>
        <w:t xml:space="preserve">4.4 — Interfaces and dependencies</w:t>
      </w:r>
    </w:p>
    <w:p>
      <w:pPr>
        <w:spacing w:after="160" w:line="276"/>
      </w:pPr>
      <w:r>
        <w:rPr>
          <w:rFonts w:ascii="Calibri" w:cs="Calibri" w:eastAsia="Calibri" w:hAnsi="Calibri"/>
          <w:color w:val="222222"/>
          <w:sz w:val="22"/>
          <w:szCs w:val="22"/>
        </w:rPr>
        <w:t xml:space="preserve">The Payroll and Administrative Systems depend on two categories of external parties: the administrative management software vendor, and two banking institutions (payroll disbursement and vendor/supplier payments). Both banking institutions apply their own transaction validation and limit controls, factored directly into this ISMS's risk treatment for payroll fraud scenarios.</w:t>
      </w:r>
    </w:p>
    <w:p>
      <w:pPr>
        <w:pStyle w:val="Heading1"/>
        <w:pBdr>
          <w:bottom w:val="single" w:color="1B2A4A" w:sz="8" w:space="4"/>
        </w:pBdr>
        <w:spacing w:after="100" w:before="420"/>
      </w:pPr>
      <w:r>
        <w:rPr>
          <w:rFonts w:ascii="Georgia" w:cs="Georgia" w:eastAsia="Georgia" w:hAnsi="Georgia"/>
          <w:b/>
          <w:bCs/>
          <w:color w:val="1B2A4A"/>
          <w:sz w:val="28"/>
          <w:szCs w:val="28"/>
        </w:rPr>
        <w:t xml:space="preserve">Section 2 — Leadership Commitment &amp; Policy</w:t>
      </w:r>
    </w:p>
    <w:p>
      <w:pPr>
        <w:pStyle w:val="Heading2"/>
        <w:spacing w:after="100" w:before="260"/>
      </w:pPr>
      <w:r>
        <w:rPr>
          <w:rFonts w:ascii="Georgia" w:cs="Georgia" w:eastAsia="Georgia" w:hAnsi="Georgia"/>
          <w:b/>
          <w:bCs/>
          <w:color w:val="8A6520"/>
          <w:sz w:val="22"/>
          <w:szCs w:val="22"/>
        </w:rPr>
        <w:t xml:space="preserve">5.1 — Leadership and commitment</w:t>
      </w:r>
    </w:p>
    <w:p>
      <w:pPr>
        <w:spacing w:after="160" w:line="276"/>
      </w:pPr>
      <w:r>
        <w:rPr>
          <w:rFonts w:ascii="Calibri" w:cs="Calibri" w:eastAsia="Calibri" w:hAnsi="Calibri"/>
          <w:color w:val="222222"/>
          <w:sz w:val="22"/>
          <w:szCs w:val="22"/>
        </w:rPr>
        <w:t xml:space="preserve">Vice Presidency, as the executive authority for information security at Custody Corp, demonstrates commitment to the ISMS by commissioning this Readiness Assessment — the organization's first structured evaluation of its information security posture. This initial engagement was authorized specifically to produce the findings needed for an informed decision on next steps (remediation scope, timeline, and whether to pursue formal certification), rather than committing resources to a predetermined path before those findings existed. Vice Presidency reviews the Statement of Applicability and Gap Tracker as the basis for that decision.</w:t>
      </w:r>
    </w:p>
    <w:p>
      <w:pPr>
        <w:pStyle w:val="Heading2"/>
        <w:spacing w:after="100" w:before="260"/>
      </w:pPr>
      <w:r>
        <w:rPr>
          <w:rFonts w:ascii="Georgia" w:cs="Georgia" w:eastAsia="Georgia" w:hAnsi="Georgia"/>
          <w:b/>
          <w:bCs/>
          <w:color w:val="8A6520"/>
          <w:sz w:val="22"/>
          <w:szCs w:val="22"/>
        </w:rPr>
        <w:t xml:space="preserve">5.2 — Information Security Policy</w:t>
      </w:r>
    </w:p>
    <w:p>
      <w:pPr>
        <w:spacing w:after="160" w:line="276"/>
      </w:pPr>
      <w:r>
        <w:rPr>
          <w:rFonts w:ascii="Calibri" w:cs="Calibri" w:eastAsia="Calibri" w:hAnsi="Calibri"/>
          <w:color w:val="222222"/>
          <w:sz w:val="22"/>
          <w:szCs w:val="22"/>
        </w:rPr>
        <w:t xml:space="preserve">Custody Corp handles payroll and administrative data — including employee compensation records and bank account information — whose confidentiality, integrity, and availability are directly tied to the trust the organization's own personnel and clients place in it. This policy establishes Custody Corp's commitment to protecting that information, meeting applicable legal and contractual requirements, and continually improving its information security practices as the organization's systems and risk landscape evolve.</w:t>
      </w:r>
    </w:p>
    <w:p>
      <w:pPr>
        <w:spacing w:after="160" w:line="276"/>
      </w:pPr>
      <w:r>
        <w:rPr>
          <w:rFonts w:ascii="Calibri" w:cs="Calibri" w:eastAsia="Calibri" w:hAnsi="Calibri"/>
          <w:color w:val="222222"/>
          <w:sz w:val="22"/>
          <w:szCs w:val="22"/>
        </w:rPr>
        <w:t xml:space="preserve">This policy provides the frame within which specific, measurable security objectives are set (see Section 5, Objectives &amp; Change Planning). Objectives are set to close the gaps this policy identifies as priorities — starting with the categories already surfaced through the Statement of Applicability: access governance, data protection, and incident management.</w:t>
      </w:r>
    </w:p>
    <w:p>
      <w:pPr>
        <w:spacing w:after="160" w:line="276"/>
      </w:pPr>
      <w:r>
        <w:rPr>
          <w:rFonts w:ascii="Calibri" w:cs="Calibri" w:eastAsia="Calibri" w:hAnsi="Calibri"/>
          <w:color w:val="222222"/>
          <w:sz w:val="22"/>
          <w:szCs w:val="22"/>
        </w:rPr>
        <w:t xml:space="preserve">This policy is proposed for approval by Vice Presidency. Once approved, it applies to all Custody Corp personnel with access to the Payroll or Administrative Systems, and is communicated at onboarding and made available on request. As of this document's date, this policy has not yet been formally approved — its content is proposed based on the findings of this Readiness Assessment.</w:t>
      </w:r>
    </w:p>
    <w:p>
      <w:pPr>
        <w:pStyle w:val="Heading1"/>
        <w:pBdr>
          <w:bottom w:val="single" w:color="1B2A4A" w:sz="8" w:space="4"/>
        </w:pBdr>
        <w:spacing w:after="100" w:before="420"/>
      </w:pPr>
      <w:r>
        <w:rPr>
          <w:rFonts w:ascii="Georgia" w:cs="Georgia" w:eastAsia="Georgia" w:hAnsi="Georgia"/>
          <w:b/>
          <w:bCs/>
          <w:color w:val="1B2A4A"/>
          <w:sz w:val="28"/>
          <w:szCs w:val="28"/>
        </w:rPr>
        <w:t xml:space="preserve">Section 3 — Roles, Resources &amp; Competence</w:t>
      </w:r>
    </w:p>
    <w:p>
      <w:pPr>
        <w:pStyle w:val="Heading2"/>
        <w:spacing w:after="100" w:before="260"/>
      </w:pPr>
      <w:r>
        <w:rPr>
          <w:rFonts w:ascii="Georgia" w:cs="Georgia" w:eastAsia="Georgia" w:hAnsi="Georgia"/>
          <w:b/>
          <w:bCs/>
          <w:color w:val="8A6520"/>
          <w:sz w:val="22"/>
          <w:szCs w:val="22"/>
        </w:rPr>
        <w:t xml:space="preserve">5.3 — Roles, responsibilities and authorities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c>
          <w:tcPr>
            <w:tcW w:type="dxa" w:w="22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Role</w:t>
            </w:r>
          </w:p>
        </w:tc>
        <w:tc>
          <w:tcPr>
            <w:tcW w:type="dxa" w:w="42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ISMS Responsibility</w:t>
            </w:r>
          </w:p>
        </w:tc>
        <w:tc>
          <w:tcPr>
            <w:tcW w:type="dxa" w:w="295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Authority</w:t>
            </w:r>
          </w:p>
        </w:tc>
      </w:tr>
      <w:tr>
        <w:tc>
          <w:tcPr>
            <w:tcW w:type="dxa" w:w="2200"/>
            <w:tcMar>
              <w:top w:type="dxa" w:w="70"/>
              <w:left w:type="dxa" w:w="100"/>
              <w:bottom w:type="dxa" w:w="70"/>
              <w:right w:type="dxa" w:w="100"/>
            </w:tcMar>
          </w:tcPr>
          <w:p>
            <w:r>
              <w:rPr>
                <w:rFonts w:ascii="Calibri" w:cs="Calibri" w:eastAsia="Calibri" w:hAnsi="Calibri"/>
                <w:color w:val="222222"/>
                <w:sz w:val="19"/>
                <w:szCs w:val="19"/>
              </w:rPr>
              <w:t xml:space="preserve">Vice Presidency</w:t>
            </w:r>
          </w:p>
        </w:tc>
        <w:tc>
          <w:tcPr>
            <w:tcW w:type="dxa" w:w="4200"/>
            <w:tcMar>
              <w:top w:type="dxa" w:w="70"/>
              <w:left w:type="dxa" w:w="100"/>
              <w:bottom w:type="dxa" w:w="70"/>
              <w:right w:type="dxa" w:w="100"/>
            </w:tcMar>
          </w:tcPr>
          <w:p>
            <w:r>
              <w:rPr>
                <w:rFonts w:ascii="Calibri" w:cs="Calibri" w:eastAsia="Calibri" w:hAnsi="Calibri"/>
                <w:color w:val="222222"/>
                <w:sz w:val="19"/>
                <w:szCs w:val="19"/>
              </w:rPr>
              <w:t xml:space="preserve">Owns information security governance — approves policy and risk treatment decisions; reviews program status</w:t>
            </w:r>
          </w:p>
        </w:tc>
        <w:tc>
          <w:tcPr>
            <w:tcW w:type="dxa" w:w="2950"/>
            <w:tcMar>
              <w:top w:type="dxa" w:w="70"/>
              <w:left w:type="dxa" w:w="100"/>
              <w:bottom w:type="dxa" w:w="70"/>
              <w:right w:type="dxa" w:w="100"/>
            </w:tcMar>
          </w:tcPr>
          <w:p>
            <w:r>
              <w:rPr>
                <w:rFonts w:ascii="Calibri" w:cs="Calibri" w:eastAsia="Calibri" w:hAnsi="Calibri"/>
                <w:color w:val="222222"/>
                <w:sz w:val="19"/>
                <w:szCs w:val="19"/>
              </w:rPr>
              <w:t xml:space="preserve">Approves policy, accepts/transfers/avoids risk, approves remediation budget</w:t>
            </w:r>
          </w:p>
        </w:tc>
      </w:tr>
      <w:tr>
        <w:tc>
          <w:tcPr>
            <w:tcW w:type="dxa" w:w="2200"/>
            <w:tcMar>
              <w:top w:type="dxa" w:w="70"/>
              <w:left w:type="dxa" w:w="100"/>
              <w:bottom w:type="dxa" w:w="70"/>
              <w:right w:type="dxa" w:w="100"/>
            </w:tcMar>
          </w:tcPr>
          <w:p>
            <w:r>
              <w:rPr>
                <w:rFonts w:ascii="Calibri" w:cs="Calibri" w:eastAsia="Calibri" w:hAnsi="Calibri"/>
                <w:color w:val="222222"/>
                <w:sz w:val="19"/>
                <w:szCs w:val="19"/>
              </w:rPr>
              <w:t xml:space="preserve">IT Manager</w:t>
            </w:r>
          </w:p>
        </w:tc>
        <w:tc>
          <w:tcPr>
            <w:tcW w:type="dxa" w:w="4200"/>
            <w:tcMar>
              <w:top w:type="dxa" w:w="70"/>
              <w:left w:type="dxa" w:w="100"/>
              <w:bottom w:type="dxa" w:w="70"/>
              <w:right w:type="dxa" w:w="100"/>
            </w:tcMar>
          </w:tcPr>
          <w:p>
            <w:r>
              <w:rPr>
                <w:rFonts w:ascii="Calibri" w:cs="Calibri" w:eastAsia="Calibri" w:hAnsi="Calibri"/>
                <w:color w:val="222222"/>
                <w:sz w:val="19"/>
                <w:szCs w:val="19"/>
              </w:rPr>
              <w:t xml:space="preserve">De facto owner of technical security operations — incident response, backups, network/endpoint controls, privileged account management</w:t>
            </w:r>
          </w:p>
        </w:tc>
        <w:tc>
          <w:tcPr>
            <w:tcW w:type="dxa" w:w="2950"/>
            <w:tcMar>
              <w:top w:type="dxa" w:w="70"/>
              <w:left w:type="dxa" w:w="100"/>
              <w:bottom w:type="dxa" w:w="70"/>
              <w:right w:type="dxa" w:w="100"/>
            </w:tcMar>
          </w:tcPr>
          <w:p>
            <w:r>
              <w:rPr>
                <w:rFonts w:ascii="Calibri" w:cs="Calibri" w:eastAsia="Calibri" w:hAnsi="Calibri"/>
                <w:color w:val="222222"/>
                <w:sz w:val="19"/>
                <w:szCs w:val="19"/>
              </w:rPr>
              <w:t xml:space="preserve">Executes technical controls; escalates budget or policy decisions to Vice Presidency</w:t>
            </w:r>
          </w:p>
        </w:tc>
      </w:tr>
      <w:tr>
        <w:tc>
          <w:tcPr>
            <w:tcW w:type="dxa" w:w="2200"/>
            <w:tcMar>
              <w:top w:type="dxa" w:w="70"/>
              <w:left w:type="dxa" w:w="100"/>
              <w:bottom w:type="dxa" w:w="70"/>
              <w:right w:type="dxa" w:w="100"/>
            </w:tcMar>
          </w:tcPr>
          <w:p>
            <w:r>
              <w:rPr>
                <w:rFonts w:ascii="Calibri" w:cs="Calibri" w:eastAsia="Calibri" w:hAnsi="Calibri"/>
                <w:color w:val="222222"/>
                <w:sz w:val="19"/>
                <w:szCs w:val="19"/>
              </w:rPr>
              <w:t xml:space="preserve">External Consultant (GRC Consulting)</w:t>
            </w:r>
          </w:p>
        </w:tc>
        <w:tc>
          <w:tcPr>
            <w:tcW w:type="dxa" w:w="4200"/>
            <w:tcMar>
              <w:top w:type="dxa" w:w="70"/>
              <w:left w:type="dxa" w:w="100"/>
              <w:bottom w:type="dxa" w:w="70"/>
              <w:right w:type="dxa" w:w="100"/>
            </w:tcMar>
          </w:tcPr>
          <w:p>
            <w:r>
              <w:rPr>
                <w:rFonts w:ascii="Calibri" w:cs="Calibri" w:eastAsia="Calibri" w:hAnsi="Calibri"/>
                <w:color w:val="222222"/>
                <w:sz w:val="19"/>
                <w:szCs w:val="19"/>
              </w:rPr>
              <w:t xml:space="preserve">Engaged by Vice Presidency to conduct this Readiness Assessment — scoping, system documentation, risk evaluation, and applicability review</w:t>
            </w:r>
          </w:p>
        </w:tc>
        <w:tc>
          <w:tcPr>
            <w:tcW w:type="dxa" w:w="2950"/>
            <w:tcMar>
              <w:top w:type="dxa" w:w="70"/>
              <w:left w:type="dxa" w:w="100"/>
              <w:bottom w:type="dxa" w:w="70"/>
              <w:right w:type="dxa" w:w="100"/>
            </w:tcMar>
          </w:tcPr>
          <w:p>
            <w:r>
              <w:rPr>
                <w:rFonts w:ascii="Calibri" w:cs="Calibri" w:eastAsia="Calibri" w:hAnsi="Calibri"/>
                <w:color w:val="222222"/>
                <w:sz w:val="19"/>
                <w:szCs w:val="19"/>
              </w:rPr>
              <w:t xml:space="preserve">Evaluates and recommends; holds no operational authority over controls or systems, and no authority beyond the engagement's defined scope</w:t>
            </w:r>
          </w:p>
        </w:tc>
      </w:tr>
    </w:tbl>
    <w:p>
      <w:pPr>
        <w:spacing w:after="160" w:line="276"/>
      </w:pPr>
      <w:r>
        <w:rPr>
          <w:rFonts w:ascii="Calibri" w:cs="Calibri" w:eastAsia="Calibri" w:hAnsi="Calibri"/>
          <w:color w:val="222222"/>
          <w:sz w:val="22"/>
          <w:szCs w:val="22"/>
        </w:rPr>
        <w:t xml:space="preserve">Control ownership is assigned by Annex A category: Vice Presidency owns organizational and people-related controls (categories A.5 and A.6); IT Manager owns physical and technological controls (A.7 and A.8). This assignment, established here, governs ownership across all later artifacts — including the Statement of Applicability and Gap Tracker.</w:t>
      </w:r>
    </w:p>
    <w:p>
      <w:pPr>
        <w:pStyle w:val="Heading2"/>
        <w:spacing w:after="100" w:before="260"/>
      </w:pPr>
      <w:r>
        <w:rPr>
          <w:rFonts w:ascii="Georgia" w:cs="Georgia" w:eastAsia="Georgia" w:hAnsi="Georgia"/>
          <w:b/>
          <w:bCs/>
          <w:color w:val="8A6520"/>
          <w:sz w:val="22"/>
          <w:szCs w:val="22"/>
        </w:rPr>
        <w:t xml:space="preserve">7.1 — Resources</w:t>
      </w:r>
    </w:p>
    <w:p>
      <w:pPr>
        <w:spacing w:after="160" w:line="276"/>
      </w:pPr>
      <w:r>
        <w:rPr>
          <w:rFonts w:ascii="Calibri" w:cs="Calibri" w:eastAsia="Calibri" w:hAnsi="Calibri"/>
          <w:color w:val="222222"/>
          <w:sz w:val="22"/>
          <w:szCs w:val="22"/>
        </w:rPr>
        <w:t xml:space="preserve">Vice Presidency allocated a paid engagement with an external GRC consultant to conduct this Readiness Assessment, in addition to the time of existing personnel (Vice Presidency and the IT Manager) within their standing responsibilities. No additional budget, headcount, or tooling has been allocated beyond this engagement. Resource needs for remediation of the gaps identified are pending review by Vice Presidency upon completion of this assessment.</w:t>
      </w:r>
    </w:p>
    <w:p>
      <w:pPr>
        <w:pStyle w:val="Heading2"/>
        <w:spacing w:after="100" w:before="260"/>
      </w:pPr>
      <w:r>
        <w:rPr>
          <w:rFonts w:ascii="Georgia" w:cs="Georgia" w:eastAsia="Georgia" w:hAnsi="Georgia"/>
          <w:b/>
          <w:bCs/>
          <w:color w:val="8A6520"/>
          <w:sz w:val="22"/>
          <w:szCs w:val="22"/>
        </w:rPr>
        <w:t xml:space="preserve">7.2 — Competence</w:t>
      </w:r>
    </w:p>
    <w:p>
      <w:pPr>
        <w:spacing w:after="160" w:line="276"/>
      </w:pPr>
      <w:r>
        <w:rPr>
          <w:rFonts w:ascii="Calibri" w:cs="Calibri" w:eastAsia="Calibri" w:hAnsi="Calibri"/>
          <w:color w:val="222222"/>
          <w:sz w:val="22"/>
          <w:szCs w:val="22"/>
        </w:rPr>
        <w:t xml:space="preserve">For the scope of this engagement, the specialized competence required to conduct an ISO/IEC 27001:2022 readiness evaluation was sourced externally, through the engagement referenced in Section 7.1. This addresses the competence needed to perform the assessment itself; it does not resolve the organization's internal competence gap for ongoing information security operation. No formal information security training or certification exists for the IT Manager or other personnel today, and sustaining any controls adopted following this assessment will require either internal competence development or continued external support — a decision pending Vice Presidency's review of this assessment's findings.</w:t>
      </w:r>
    </w:p>
    <w:p>
      <w:pPr>
        <w:pStyle w:val="Heading1"/>
        <w:pBdr>
          <w:bottom w:val="single" w:color="1B2A4A" w:sz="8" w:space="4"/>
        </w:pBdr>
        <w:spacing w:after="100" w:before="420"/>
      </w:pPr>
      <w:r>
        <w:rPr>
          <w:rFonts w:ascii="Georgia" w:cs="Georgia" w:eastAsia="Georgia" w:hAnsi="Georgia"/>
          <w:b/>
          <w:bCs/>
          <w:color w:val="1B2A4A"/>
          <w:sz w:val="28"/>
          <w:szCs w:val="28"/>
        </w:rPr>
        <w:t xml:space="preserve">Section 4 — Risk Approach</w:t>
      </w:r>
    </w:p>
    <w:p>
      <w:pPr>
        <w:pStyle w:val="Heading2"/>
        <w:spacing w:after="100" w:before="260"/>
      </w:pPr>
      <w:r>
        <w:rPr>
          <w:rFonts w:ascii="Georgia" w:cs="Georgia" w:eastAsia="Georgia" w:hAnsi="Georgia"/>
          <w:b/>
          <w:bCs/>
          <w:color w:val="8A6520"/>
          <w:sz w:val="22"/>
          <w:szCs w:val="22"/>
        </w:rPr>
        <w:t xml:space="preserve">6.1.1 — Actions to address risks and opportunities</w:t>
      </w:r>
    </w:p>
    <w:p>
      <w:pPr>
        <w:spacing w:after="160" w:line="276"/>
      </w:pPr>
      <w:r>
        <w:rPr>
          <w:rFonts w:ascii="Calibri" w:cs="Calibri" w:eastAsia="Calibri" w:hAnsi="Calibri"/>
          <w:color w:val="222222"/>
          <w:sz w:val="22"/>
          <w:szCs w:val="22"/>
        </w:rPr>
        <w:t xml:space="preserve">In planning this ISMS, Custody Corp considered the risk that its information security posture — built to date on strong physical and operational controls native to a physical security business, but with limited formal information governance — could fail to protect the confidentiality, integrity, and availability of payroll and administrative data as the organization's systems and reliance on them grow. This Readiness Assessment is the organization's response: an opportunity to identify and prioritize gaps before they result in an incident, rather than after one.</w:t>
      </w:r>
    </w:p>
    <w:p>
      <w:pPr>
        <w:pStyle w:val="Heading2"/>
        <w:spacing w:after="100" w:before="260"/>
      </w:pPr>
      <w:r>
        <w:rPr>
          <w:rFonts w:ascii="Georgia" w:cs="Georgia" w:eastAsia="Georgia" w:hAnsi="Georgia"/>
          <w:b/>
          <w:bCs/>
          <w:color w:val="8A6520"/>
          <w:sz w:val="22"/>
          <w:szCs w:val="22"/>
        </w:rPr>
        <w:t xml:space="preserve">6.1.2 — Information security risk assessment methodology</w:t>
      </w:r>
    </w:p>
    <w:p>
      <w:pPr>
        <w:spacing w:after="160" w:line="276"/>
      </w:pPr>
      <w:r>
        <w:rPr>
          <w:rFonts w:ascii="Calibri" w:cs="Calibri" w:eastAsia="Calibri" w:hAnsi="Calibri"/>
          <w:color w:val="222222"/>
          <w:sz w:val="22"/>
          <w:szCs w:val="22"/>
        </w:rPr>
        <w:t xml:space="preserve">Risk is assessed using a 5x5 matrix (probability x impact), each rated Very Low to Very High, combining into a risk level of Very Low, Low, Medium, High, or Very High.</w:t>
      </w:r>
    </w:p>
    <w:p>
      <w:pPr>
        <w:spacing w:after="160" w:line="276"/>
      </w:pPr>
      <w:r>
        <w:rPr>
          <w:rFonts w:ascii="Calibri" w:cs="Calibri" w:eastAsia="Calibri" w:hAnsi="Calibri"/>
          <w:color w:val="222222"/>
          <w:sz w:val="22"/>
          <w:szCs w:val="22"/>
        </w:rPr>
        <w:t xml:space="preserve">Risk acceptance criteria:</w:t>
      </w:r>
    </w:p>
    <w:p>
      <w:pPr>
        <w:spacing w:after="160" w:line="276"/>
      </w:pPr>
      <w:r>
        <w:rPr>
          <w:rFonts w:ascii="Calibri" w:cs="Calibri" w:eastAsia="Calibri" w:hAnsi="Calibri"/>
          <w:color w:val="222222"/>
          <w:sz w:val="22"/>
          <w:szCs w:val="22"/>
        </w:rPr>
        <w:t xml:space="preserve">— Very Low: negligible risk, no action required.</w:t>
      </w:r>
    </w:p>
    <w:p>
      <w:pPr>
        <w:spacing w:after="160" w:line="276"/>
      </w:pPr>
      <w:r>
        <w:rPr>
          <w:rFonts w:ascii="Calibri" w:cs="Calibri" w:eastAsia="Calibri" w:hAnsi="Calibri"/>
          <w:color w:val="222222"/>
          <w:sz w:val="22"/>
          <w:szCs w:val="22"/>
        </w:rPr>
        <w:t xml:space="preserve">— Low: acceptable risk, no mandatory action.</w:t>
      </w:r>
    </w:p>
    <w:p>
      <w:pPr>
        <w:spacing w:after="160" w:line="276"/>
      </w:pPr>
      <w:r>
        <w:rPr>
          <w:rFonts w:ascii="Calibri" w:cs="Calibri" w:eastAsia="Calibri" w:hAnsi="Calibri"/>
          <w:color w:val="222222"/>
          <w:sz w:val="22"/>
          <w:szCs w:val="22"/>
        </w:rPr>
        <w:t xml:space="preserve">— Medium: risk requiring mitigation within 12 months.</w:t>
      </w:r>
    </w:p>
    <w:p>
      <w:pPr>
        <w:spacing w:after="160" w:line="276"/>
      </w:pPr>
      <w:r>
        <w:rPr>
          <w:rFonts w:ascii="Calibri" w:cs="Calibri" w:eastAsia="Calibri" w:hAnsi="Calibri"/>
          <w:color w:val="222222"/>
          <w:sz w:val="22"/>
          <w:szCs w:val="22"/>
        </w:rPr>
        <w:t xml:space="preserve">— High: risk requiring mitigation within 30 days.</w:t>
      </w:r>
    </w:p>
    <w:p>
      <w:pPr>
        <w:spacing w:after="160" w:line="276"/>
      </w:pPr>
      <w:r>
        <w:rPr>
          <w:rFonts w:ascii="Calibri" w:cs="Calibri" w:eastAsia="Calibri" w:hAnsi="Calibri"/>
          <w:color w:val="222222"/>
          <w:sz w:val="22"/>
          <w:szCs w:val="22"/>
        </w:rPr>
        <w:t xml:space="preserve">— Very High: unacceptable risk, requires immediate treatment.</w:t>
      </w:r>
    </w:p>
    <w:p>
      <w:pPr>
        <w:spacing w:after="160" w:line="276"/>
      </w:pPr>
      <w:r>
        <w:rPr>
          <w:rFonts w:ascii="Calibri" w:cs="Calibri" w:eastAsia="Calibri" w:hAnsi="Calibri"/>
          <w:color w:val="222222"/>
          <w:sz w:val="22"/>
          <w:szCs w:val="22"/>
        </w:rPr>
        <w:t xml:space="preserve">Risk owners: Vice Presidency is the authorized risk owner for this ISMS — the only role authorized to accept residual risk, approve risk treatment plans, or formally decide a risk's Treatment decision (Mitigated, Accepted, Transferred, or Avoided).</w:t>
      </w:r>
    </w:p>
    <w:p>
      <w:pPr>
        <w:pStyle w:val="Heading2"/>
        <w:spacing w:after="100" w:before="260"/>
      </w:pPr>
      <w:r>
        <w:rPr>
          <w:rFonts w:ascii="Georgia" w:cs="Georgia" w:eastAsia="Georgia" w:hAnsi="Georgia"/>
          <w:b/>
          <w:bCs/>
          <w:color w:val="8A6520"/>
          <w:sz w:val="22"/>
          <w:szCs w:val="22"/>
        </w:rPr>
        <w:t xml:space="preserve">6.1.3 — Information security risk treatment</w:t>
      </w:r>
    </w:p>
    <w:p>
      <w:pPr>
        <w:spacing w:after="160" w:line="276"/>
      </w:pPr>
      <w:r>
        <w:rPr>
          <w:rFonts w:ascii="Calibri" w:cs="Calibri" w:eastAsia="Calibri" w:hAnsi="Calibri"/>
          <w:color w:val="222222"/>
          <w:sz w:val="22"/>
          <w:szCs w:val="22"/>
        </w:rPr>
        <w:t xml:space="preserve">For each identified risk, treatment options (mitigate, accept, transfer, avoid) are evaluated against the risk acceptance criteria in Section 6.1.2. Where mitigation is selected, necessary controls are identified and compared against ISO/IEC 27001:2022 Annex A to confirm no necessary control has been omitted — this comparison is documented in the Statement of Applicability. All treatment plans and residual risk levels require Vice Presidency's approval as risk owner.</w:t>
      </w:r>
    </w:p>
    <w:p>
      <w:pPr>
        <w:pStyle w:val="Heading1"/>
        <w:pBdr>
          <w:bottom w:val="single" w:color="1B2A4A" w:sz="8" w:space="4"/>
        </w:pBdr>
        <w:spacing w:after="100" w:before="420"/>
      </w:pPr>
      <w:r>
        <w:rPr>
          <w:rFonts w:ascii="Georgia" w:cs="Georgia" w:eastAsia="Georgia" w:hAnsi="Georgia"/>
          <w:b/>
          <w:bCs/>
          <w:color w:val="1B2A4A"/>
          <w:sz w:val="28"/>
          <w:szCs w:val="28"/>
        </w:rPr>
        <w:t xml:space="preserve">Section 5 — Objectives &amp; Change Planning</w:t>
      </w:r>
    </w:p>
    <w:p>
      <w:pPr>
        <w:pStyle w:val="Heading2"/>
        <w:spacing w:after="100" w:before="260"/>
      </w:pPr>
      <w:r>
        <w:rPr>
          <w:rFonts w:ascii="Georgia" w:cs="Georgia" w:eastAsia="Georgia" w:hAnsi="Georgia"/>
          <w:b/>
          <w:bCs/>
          <w:color w:val="8A6520"/>
          <w:sz w:val="22"/>
          <w:szCs w:val="22"/>
        </w:rPr>
        <w:t xml:space="preserve">6.2 — Information security objectives</w:t>
      </w:r>
    </w:p>
    <w:p>
      <w:pPr>
        <w:spacing w:after="160" w:line="276"/>
      </w:pPr>
      <w:r>
        <w:rPr>
          <w:rFonts w:ascii="Calibri" w:cs="Calibri" w:eastAsia="Calibri" w:hAnsi="Calibri"/>
          <w:color w:val="222222"/>
          <w:sz w:val="22"/>
          <w:szCs w:val="22"/>
        </w:rPr>
        <w:t xml:space="preserve">Objective 1 — Encrypt payroll and administrative data at rest</w:t>
      </w:r>
    </w:p>
    <w:p>
      <w:pPr>
        <w:spacing w:after="160" w:line="276"/>
      </w:pPr>
      <w:r>
        <w:rPr>
          <w:rFonts w:ascii="Calibri" w:cs="Calibri" w:eastAsia="Calibri" w:hAnsi="Calibri"/>
          <w:color w:val="222222"/>
          <w:sz w:val="22"/>
          <w:szCs w:val="22"/>
        </w:rPr>
        <w:t xml:space="preserve">Close the gap identified in Annex A control A.8.24: implement encryption at rest across the Payroll Server, Administrative Server, Payroll Backup Storage, and Administrative Backup Storage, including evaluation and procurement of a commercial encryption solution.</w:t>
      </w:r>
    </w:p>
    <w:p>
      <w:pPr>
        <w:spacing w:after="160" w:line="276"/>
      </w:pPr>
      <w:r>
        <w:rPr>
          <w:rFonts w:ascii="Calibri" w:cs="Calibri" w:eastAsia="Calibri" w:hAnsi="Calibri"/>
          <w:color w:val="222222"/>
          <w:sz w:val="22"/>
          <w:szCs w:val="22"/>
        </w:rPr>
        <w:t xml:space="preserve">Owner: IT Manager | Target: 6 months from Vice Presidency's approval of this assessment | Measure: A.8.24 status in the Statement of Applicability reaches "Implemented"</w:t>
      </w:r>
    </w:p>
    <w:p>
      <w:pPr>
        <w:spacing w:after="160" w:line="276"/>
      </w:pPr>
      <w:r>
        <w:rPr>
          <w:rFonts w:ascii="Calibri" w:cs="Calibri" w:eastAsia="Calibri" w:hAnsi="Calibri"/>
          <w:color w:val="222222"/>
          <w:sz w:val="22"/>
          <w:szCs w:val="22"/>
        </w:rPr>
        <w:t xml:space="preserve">Objective 2 — Formalize privileged account governance</w:t>
      </w:r>
    </w:p>
    <w:p>
      <w:pPr>
        <w:spacing w:after="160" w:line="276"/>
      </w:pPr>
      <w:r>
        <w:rPr>
          <w:rFonts w:ascii="Calibri" w:cs="Calibri" w:eastAsia="Calibri" w:hAnsi="Calibri"/>
          <w:color w:val="222222"/>
          <w:sz w:val="22"/>
          <w:szCs w:val="22"/>
        </w:rPr>
        <w:t xml:space="preserve">Close the gap identified in Annex A control A.8.2: establish a documented inventory of privileged accounts, a break-glass procedure, credential rotation, and access logging for the Payroll and Administrative Systems.</w:t>
      </w:r>
    </w:p>
    <w:p>
      <w:pPr>
        <w:spacing w:after="160" w:line="276"/>
      </w:pPr>
      <w:r>
        <w:rPr>
          <w:rFonts w:ascii="Calibri" w:cs="Calibri" w:eastAsia="Calibri" w:hAnsi="Calibri"/>
          <w:color w:val="222222"/>
          <w:sz w:val="22"/>
          <w:szCs w:val="22"/>
        </w:rPr>
        <w:t xml:space="preserve">Owner: IT Manager | Target: 90 days from Vice Presidency's approval of this assessment | Measure: A.8.2 status in the Statement of Applicability reaches "Implemented"</w:t>
      </w:r>
    </w:p>
    <w:p>
      <w:pPr>
        <w:spacing w:after="160" w:line="276"/>
      </w:pPr>
      <w:r>
        <w:rPr>
          <w:rFonts w:ascii="Calibri" w:cs="Calibri" w:eastAsia="Calibri" w:hAnsi="Calibri"/>
          <w:color w:val="222222"/>
          <w:sz w:val="22"/>
          <w:szCs w:val="22"/>
        </w:rPr>
        <w:t xml:space="preserve">Objective 3 — Document and test the ICT continuity restoration procedure</w:t>
      </w:r>
    </w:p>
    <w:p>
      <w:pPr>
        <w:spacing w:after="160" w:line="276"/>
      </w:pPr>
      <w:r>
        <w:rPr>
          <w:rFonts w:ascii="Calibri" w:cs="Calibri" w:eastAsia="Calibri" w:hAnsi="Calibri"/>
          <w:color w:val="222222"/>
          <w:sz w:val="22"/>
          <w:szCs w:val="22"/>
        </w:rPr>
        <w:t xml:space="preserve">Close the gap identified in Annex A control A.5.30: produce a documented, tested restoration procedure for the shared cold standby server, validated through a simulated exercise.</w:t>
      </w:r>
    </w:p>
    <w:p>
      <w:pPr>
        <w:spacing w:after="160" w:line="276"/>
      </w:pPr>
      <w:r>
        <w:rPr>
          <w:rFonts w:ascii="Calibri" w:cs="Calibri" w:eastAsia="Calibri" w:hAnsi="Calibri"/>
          <w:color w:val="222222"/>
          <w:sz w:val="22"/>
          <w:szCs w:val="22"/>
        </w:rPr>
        <w:t xml:space="preserve">Owner: IT Manager | Target: within 30 days of Vice Presidency's approval of this assessment, consistent with this ISMS's risk acceptance criteria for High risk (see Section 4) | Measure: A.5.30 status in the Statement of Applicability reaches "Implemented"; Risk Scenario R.02 residual impact re-assessed following the test</w:t>
      </w:r>
    </w:p>
    <w:p>
      <w:pPr>
        <w:spacing w:after="160" w:line="276"/>
      </w:pPr>
      <w:r>
        <w:rPr>
          <w:rFonts w:ascii="Calibri" w:cs="Calibri" w:eastAsia="Calibri" w:hAnsi="Calibri"/>
          <w:color w:val="222222"/>
          <w:sz w:val="22"/>
          <w:szCs w:val="22"/>
        </w:rPr>
        <w:t xml:space="preserve">Objective 4 — Establish post-employment confidentiality obligations</w:t>
      </w:r>
    </w:p>
    <w:p>
      <w:pPr>
        <w:spacing w:after="160" w:line="276"/>
      </w:pPr>
      <w:r>
        <w:rPr>
          <w:rFonts w:ascii="Calibri" w:cs="Calibri" w:eastAsia="Calibri" w:hAnsi="Calibri"/>
          <w:color w:val="222222"/>
          <w:sz w:val="22"/>
          <w:szCs w:val="22"/>
        </w:rPr>
        <w:t xml:space="preserve">Close the gap identified in Annex A control A.6.5: extend the offboarding process beyond equipment return to include a documented confidentiality obligation surviving termination or role change, directly addressing the insider risk identified in Risk Scenario R.03.</w:t>
      </w:r>
    </w:p>
    <w:p>
      <w:pPr>
        <w:spacing w:after="160" w:line="276"/>
      </w:pPr>
      <w:r>
        <w:rPr>
          <w:rFonts w:ascii="Calibri" w:cs="Calibri" w:eastAsia="Calibri" w:hAnsi="Calibri"/>
          <w:color w:val="222222"/>
          <w:sz w:val="22"/>
          <w:szCs w:val="22"/>
        </w:rPr>
        <w:t xml:space="preserve">Owner: Vice Presidency, with content drafted by the External Consultant and reviewed by legal counsel prior to adoption | Target: 90 days from Vice Presidency's approval of this assessment | Measure: A.6.5 status in the Statement of Applicability reaches "Implemented"; Risk Scenario R.03 residual risk re-assessed following adoption</w:t>
      </w:r>
    </w:p>
    <w:p>
      <w:pPr>
        <w:spacing w:after="160" w:line="276"/>
      </w:pPr>
      <w:r>
        <w:rPr>
          <w:rFonts w:ascii="Calibri" w:cs="Calibri" w:eastAsia="Calibri" w:hAnsi="Calibri"/>
          <w:color w:val="222222"/>
          <w:sz w:val="22"/>
          <w:szCs w:val="22"/>
        </w:rPr>
        <w:t xml:space="preserve">Objective 5 — Formalize confidentiality agreements for personnel</w:t>
      </w:r>
    </w:p>
    <w:p>
      <w:pPr>
        <w:spacing w:after="160" w:line="276"/>
      </w:pPr>
      <w:r>
        <w:rPr>
          <w:rFonts w:ascii="Calibri" w:cs="Calibri" w:eastAsia="Calibri" w:hAnsi="Calibri"/>
          <w:color w:val="222222"/>
          <w:sz w:val="22"/>
          <w:szCs w:val="22"/>
        </w:rPr>
        <w:t xml:space="preserve">Close the gap identified in Annex A control A.6.6: implement signed confidentiality/non-disclosure agreements for personnel with access to payroll or administrative data.</w:t>
      </w:r>
    </w:p>
    <w:p>
      <w:pPr>
        <w:spacing w:after="160" w:line="276"/>
      </w:pPr>
      <w:r>
        <w:rPr>
          <w:rFonts w:ascii="Calibri" w:cs="Calibri" w:eastAsia="Calibri" w:hAnsi="Calibri"/>
          <w:color w:val="222222"/>
          <w:sz w:val="22"/>
          <w:szCs w:val="22"/>
        </w:rPr>
        <w:t xml:space="preserve">Owner: Vice Presidency, with content drafted by the External Consultant and reviewed by legal counsel prior to execution | Target: 90 days from Vice Presidency's approval of this assessment | Measure: A.6.6 status in the Statement of Applicability reaches "Implemented"</w:t>
      </w:r>
    </w:p>
    <w:p>
      <w:pPr>
        <w:spacing w:after="160" w:line="276"/>
      </w:pPr>
      <w:r>
        <w:rPr>
          <w:rFonts w:ascii="Calibri" w:cs="Calibri" w:eastAsia="Calibri" w:hAnsi="Calibri"/>
          <w:color w:val="222222"/>
          <w:sz w:val="22"/>
          <w:szCs w:val="22"/>
        </w:rPr>
        <w:t xml:space="preserve">Objective 6 — Define data retention and deletion rules</w:t>
      </w:r>
    </w:p>
    <w:p>
      <w:pPr>
        <w:spacing w:after="160" w:line="276"/>
      </w:pPr>
      <w:r>
        <w:rPr>
          <w:rFonts w:ascii="Calibri" w:cs="Calibri" w:eastAsia="Calibri" w:hAnsi="Calibri"/>
          <w:color w:val="222222"/>
          <w:sz w:val="22"/>
          <w:szCs w:val="22"/>
        </w:rPr>
        <w:t xml:space="preserve">Close the gap identified in Annex A control A.8.10: establish a documented retention period and secure deletion procedure for payroll and administrative data, including former employee records.</w:t>
      </w:r>
    </w:p>
    <w:p>
      <w:pPr>
        <w:spacing w:after="160" w:line="276"/>
      </w:pPr>
      <w:r>
        <w:rPr>
          <w:rFonts w:ascii="Calibri" w:cs="Calibri" w:eastAsia="Calibri" w:hAnsi="Calibri"/>
          <w:color w:val="222222"/>
          <w:sz w:val="22"/>
          <w:szCs w:val="22"/>
        </w:rPr>
        <w:t xml:space="preserve">Owner: IT Manager | Target: 90 days from Vice Presidency's approval of this assessment | Measure: A.8.10 status in the Statement of Applicability reaches "Implemented"</w:t>
      </w:r>
    </w:p>
    <w:p>
      <w:pPr>
        <w:spacing w:after="160" w:line="276"/>
      </w:pPr>
      <w:r>
        <w:rPr>
          <w:rFonts w:ascii="Calibri" w:cs="Calibri" w:eastAsia="Calibri" w:hAnsi="Calibri"/>
          <w:color w:val="222222"/>
          <w:sz w:val="22"/>
          <w:szCs w:val="22"/>
        </w:rPr>
        <w:t xml:space="preserve">Objective 7 — Approve and communicate the Information Security Policy</w:t>
      </w:r>
    </w:p>
    <w:p>
      <w:pPr>
        <w:spacing w:after="160" w:line="276"/>
      </w:pPr>
      <w:r>
        <w:rPr>
          <w:rFonts w:ascii="Calibri" w:cs="Calibri" w:eastAsia="Calibri" w:hAnsi="Calibri"/>
          <w:color w:val="222222"/>
          <w:sz w:val="22"/>
          <w:szCs w:val="22"/>
        </w:rPr>
        <w:t xml:space="preserve">Formally approve the Information Security Policy proposed in Section 2 of this document, and communicate it to all personnel with access to the Payroll or Administrative Systems.</w:t>
      </w:r>
    </w:p>
    <w:p>
      <w:pPr>
        <w:spacing w:after="160" w:line="276"/>
      </w:pPr>
      <w:r>
        <w:rPr>
          <w:rFonts w:ascii="Calibri" w:cs="Calibri" w:eastAsia="Calibri" w:hAnsi="Calibri"/>
          <w:color w:val="222222"/>
          <w:sz w:val="22"/>
          <w:szCs w:val="22"/>
        </w:rPr>
        <w:t xml:space="preserve">Owner: Vice Presidency, with content drafted by the External Consultant and reviewed by legal counsel prior to approval | Target: 3 months from Vice Presidency's approval of this assessment | Measure: A.5.1 status in the Statement of Applicability reaches "Implemented"; documented evidence of communication to all in-scope personnel</w:t>
      </w:r>
    </w:p>
    <w:p>
      <w:pPr>
        <w:spacing w:after="160" w:line="276"/>
      </w:pPr>
      <w:r>
        <w:rPr>
          <w:rFonts w:ascii="Calibri" w:cs="Calibri" w:eastAsia="Calibri" w:hAnsi="Calibri"/>
          <w:color w:val="222222"/>
          <w:sz w:val="22"/>
          <w:szCs w:val="22"/>
        </w:rPr>
        <w:t xml:space="preserve">These seven objectives were selected on two grounds: the first six (Objectives 1–6) represent High-priority findings under the criteria established in Section 4 — risk scenario relevance and high security target ratings on the affected assets. Three of these six (Objectives 4, 5, and the Policy objective below) are contractual or policy content requiring legal counsel review before adoption, drafted by the External Consultant but not finalized without that review. Objective 7 (Policy) is Medium priority under the Section 4 criteria but is included in this first cycle because it is foundational, low-cost, and does not compete for the same resources as the others. Of the 17 Annex A controls rated High priority in the Gap Tracker, six are addressed in this first cycle; the remaining eleven are tracked with an assigned owner and priority in the Gap Tracker. A second objective-setting cycle is expected once resourcing is revisited, informed by progress against this first cycle (see Section 7, Measurement Plan).</w:t>
      </w:r>
    </w:p>
    <w:p>
      <w:pPr>
        <w:pStyle w:val="Heading2"/>
        <w:spacing w:after="100" w:before="260"/>
      </w:pPr>
      <w:r>
        <w:rPr>
          <w:rFonts w:ascii="Georgia" w:cs="Georgia" w:eastAsia="Georgia" w:hAnsi="Georgia"/>
          <w:b/>
          <w:bCs/>
          <w:color w:val="8A6520"/>
          <w:sz w:val="22"/>
          <w:szCs w:val="22"/>
        </w:rPr>
        <w:t xml:space="preserve">6.3 — Planning of changes</w:t>
      </w:r>
    </w:p>
    <w:p>
      <w:pPr>
        <w:spacing w:after="160" w:line="276"/>
      </w:pPr>
      <w:r>
        <w:rPr>
          <w:rFonts w:ascii="Calibri" w:cs="Calibri" w:eastAsia="Calibri" w:hAnsi="Calibri"/>
          <w:color w:val="222222"/>
          <w:sz w:val="22"/>
          <w:szCs w:val="22"/>
        </w:rPr>
        <w:t xml:space="preserve">Changes to the Payroll or Administrative Systems are handled reactively, triggered by an identified need rather than a scheduled review cycle. When a change is required, a meeting is convened between the Payroll function, the IT Manager, Vice Presidency, and — for changes arising during or informed by this engagement — the external consultant, to define and approve the change. No formal, scheduled change planning process exists beyond this reactive meeting-based approach.</w:t>
      </w:r>
    </w:p>
    <w:p>
      <w:pPr>
        <w:pStyle w:val="Heading1"/>
        <w:pBdr>
          <w:bottom w:val="single" w:color="1B2A4A" w:sz="8" w:space="4"/>
        </w:pBdr>
        <w:spacing w:after="100" w:before="420"/>
      </w:pPr>
      <w:r>
        <w:rPr>
          <w:rFonts w:ascii="Georgia" w:cs="Georgia" w:eastAsia="Georgia" w:hAnsi="Georgia"/>
          <w:b/>
          <w:bCs/>
          <w:color w:val="1B2A4A"/>
          <w:sz w:val="28"/>
          <w:szCs w:val="28"/>
        </w:rPr>
        <w:t xml:space="preserve">Section 6 — Communication &amp; Documentation Control</w:t>
      </w:r>
    </w:p>
    <w:p>
      <w:pPr>
        <w:pStyle w:val="Heading2"/>
        <w:spacing w:after="100" w:before="260"/>
      </w:pPr>
      <w:r>
        <w:rPr>
          <w:rFonts w:ascii="Georgia" w:cs="Georgia" w:eastAsia="Georgia" w:hAnsi="Georgia"/>
          <w:b/>
          <w:bCs/>
          <w:color w:val="8A6520"/>
          <w:sz w:val="22"/>
          <w:szCs w:val="22"/>
        </w:rPr>
        <w:t xml:space="preserve">7.4 — Communication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50"/>
        <w:gridCol w:w="1700"/>
        <w:gridCol w:w="1900"/>
        <w:gridCol w:w="1700"/>
        <w:gridCol w:w="2200"/>
      </w:tblGrid>
      <w:tr>
        <w:tc>
          <w:tcPr>
            <w:tcW w:type="dxa" w:w="185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What</w:t>
            </w:r>
          </w:p>
        </w:tc>
        <w:tc>
          <w:tcPr>
            <w:tcW w:type="dxa" w:w="17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When</w:t>
            </w:r>
          </w:p>
        </w:tc>
        <w:tc>
          <w:tcPr>
            <w:tcW w:type="dxa" w:w="19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 whom</w:t>
            </w:r>
          </w:p>
        </w:tc>
        <w:tc>
          <w:tcPr>
            <w:tcW w:type="dxa" w:w="17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How</w:t>
            </w:r>
          </w:p>
        </w:tc>
        <w:tc>
          <w:tcPr>
            <w:tcW w:type="dxa" w:w="22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Who</w:t>
            </w:r>
          </w:p>
        </w:tc>
      </w:tr>
      <w:tr>
        <w:tc>
          <w:tcPr>
            <w:tcW w:type="dxa" w:w="1850"/>
            <w:tcMar>
              <w:top w:type="dxa" w:w="70"/>
              <w:left w:type="dxa" w:w="100"/>
              <w:bottom w:type="dxa" w:w="70"/>
              <w:right w:type="dxa" w:w="100"/>
            </w:tcMar>
          </w:tcPr>
          <w:p>
            <w:r>
              <w:rPr>
                <w:rFonts w:ascii="Calibri" w:cs="Calibri" w:eastAsia="Calibri" w:hAnsi="Calibri"/>
                <w:color w:val="222222"/>
                <w:sz w:val="19"/>
                <w:szCs w:val="19"/>
              </w:rPr>
              <w:t xml:space="preserve">Acceptable use expectations</w:t>
            </w:r>
          </w:p>
        </w:tc>
        <w:tc>
          <w:tcPr>
            <w:tcW w:type="dxa" w:w="1700"/>
            <w:tcMar>
              <w:top w:type="dxa" w:w="70"/>
              <w:left w:type="dxa" w:w="100"/>
              <w:bottom w:type="dxa" w:w="70"/>
              <w:right w:type="dxa" w:w="100"/>
            </w:tcMar>
          </w:tcPr>
          <w:p>
            <w:r>
              <w:rPr>
                <w:rFonts w:ascii="Calibri" w:cs="Calibri" w:eastAsia="Calibri" w:hAnsi="Calibri"/>
                <w:color w:val="222222"/>
                <w:sz w:val="19"/>
                <w:szCs w:val="19"/>
              </w:rPr>
              <w:t xml:space="preserve">At onboarding</w:t>
            </w:r>
          </w:p>
        </w:tc>
        <w:tc>
          <w:tcPr>
            <w:tcW w:type="dxa" w:w="1900"/>
            <w:tcMar>
              <w:top w:type="dxa" w:w="70"/>
              <w:left w:type="dxa" w:w="100"/>
              <w:bottom w:type="dxa" w:w="70"/>
              <w:right w:type="dxa" w:w="100"/>
            </w:tcMar>
          </w:tcPr>
          <w:p>
            <w:r>
              <w:rPr>
                <w:rFonts w:ascii="Calibri" w:cs="Calibri" w:eastAsia="Calibri" w:hAnsi="Calibri"/>
                <w:color w:val="222222"/>
                <w:sz w:val="19"/>
                <w:szCs w:val="19"/>
              </w:rPr>
              <w:t xml:space="preserve">New personnel with system access</w:t>
            </w:r>
          </w:p>
        </w:tc>
        <w:tc>
          <w:tcPr>
            <w:tcW w:type="dxa" w:w="1700"/>
            <w:tcMar>
              <w:top w:type="dxa" w:w="70"/>
              <w:left w:type="dxa" w:w="100"/>
              <w:bottom w:type="dxa" w:w="70"/>
              <w:right w:type="dxa" w:w="100"/>
            </w:tcMar>
          </w:tcPr>
          <w:p>
            <w:r>
              <w:rPr>
                <w:rFonts w:ascii="Calibri" w:cs="Calibri" w:eastAsia="Calibri" w:hAnsi="Calibri"/>
                <w:color w:val="222222"/>
                <w:sz w:val="19"/>
                <w:szCs w:val="19"/>
              </w:rPr>
              <w:t xml:space="preserve">Verbal briefing</w:t>
            </w:r>
          </w:p>
        </w:tc>
        <w:tc>
          <w:tcPr>
            <w:tcW w:type="dxa" w:w="2200"/>
            <w:tcMar>
              <w:top w:type="dxa" w:w="70"/>
              <w:left w:type="dxa" w:w="100"/>
              <w:bottom w:type="dxa" w:w="70"/>
              <w:right w:type="dxa" w:w="100"/>
            </w:tcMar>
          </w:tcPr>
          <w:p>
            <w:r>
              <w:rPr>
                <w:rFonts w:ascii="Calibri" w:cs="Calibri" w:eastAsia="Calibri" w:hAnsi="Calibri"/>
                <w:color w:val="222222"/>
                <w:sz w:val="19"/>
                <w:szCs w:val="19"/>
              </w:rPr>
              <w:t xml:space="preserve">Vice Presidency</w:t>
            </w:r>
          </w:p>
        </w:tc>
      </w:tr>
      <w:tr>
        <w:tc>
          <w:tcPr>
            <w:tcW w:type="dxa" w:w="1850"/>
            <w:tcMar>
              <w:top w:type="dxa" w:w="70"/>
              <w:left w:type="dxa" w:w="100"/>
              <w:bottom w:type="dxa" w:w="70"/>
              <w:right w:type="dxa" w:w="100"/>
            </w:tcMar>
          </w:tcPr>
          <w:p>
            <w:r>
              <w:rPr>
                <w:rFonts w:ascii="Calibri" w:cs="Calibri" w:eastAsia="Calibri" w:hAnsi="Calibri"/>
                <w:color w:val="222222"/>
                <w:sz w:val="19"/>
                <w:szCs w:val="19"/>
              </w:rPr>
              <w:t xml:space="preserve">Access changes</w:t>
            </w:r>
          </w:p>
        </w:tc>
        <w:tc>
          <w:tcPr>
            <w:tcW w:type="dxa" w:w="1700"/>
            <w:tcMar>
              <w:top w:type="dxa" w:w="70"/>
              <w:left w:type="dxa" w:w="100"/>
              <w:bottom w:type="dxa" w:w="70"/>
              <w:right w:type="dxa" w:w="100"/>
            </w:tcMar>
          </w:tcPr>
          <w:p>
            <w:r>
              <w:rPr>
                <w:rFonts w:ascii="Calibri" w:cs="Calibri" w:eastAsia="Calibri" w:hAnsi="Calibri"/>
                <w:color w:val="222222"/>
                <w:sz w:val="19"/>
                <w:szCs w:val="19"/>
              </w:rPr>
              <w:t xml:space="preserve">On hire/departure</w:t>
            </w:r>
          </w:p>
        </w:tc>
        <w:tc>
          <w:tcPr>
            <w:tcW w:type="dxa" w:w="1900"/>
            <w:tcMar>
              <w:top w:type="dxa" w:w="70"/>
              <w:left w:type="dxa" w:w="100"/>
              <w:bottom w:type="dxa" w:w="70"/>
              <w:right w:type="dxa" w:w="100"/>
            </w:tcMar>
          </w:tcPr>
          <w:p>
            <w:r>
              <w:rPr>
                <w:rFonts w:ascii="Calibri" w:cs="Calibri" w:eastAsia="Calibri" w:hAnsi="Calibri"/>
                <w:color w:val="222222"/>
                <w:sz w:val="19"/>
                <w:szCs w:val="19"/>
              </w:rPr>
              <w:t xml:space="preserve">IT Manager</w:t>
            </w:r>
          </w:p>
        </w:tc>
        <w:tc>
          <w:tcPr>
            <w:tcW w:type="dxa" w:w="1700"/>
            <w:tcMar>
              <w:top w:type="dxa" w:w="70"/>
              <w:left w:type="dxa" w:w="100"/>
              <w:bottom w:type="dxa" w:w="70"/>
              <w:right w:type="dxa" w:w="100"/>
            </w:tcMar>
          </w:tcPr>
          <w:p>
            <w:r>
              <w:rPr>
                <w:rFonts w:ascii="Calibri" w:cs="Calibri" w:eastAsia="Calibri" w:hAnsi="Calibri"/>
                <w:color w:val="222222"/>
                <w:sz w:val="19"/>
                <w:szCs w:val="19"/>
              </w:rPr>
              <w:t xml:space="preserve">Email</w:t>
            </w:r>
          </w:p>
        </w:tc>
        <w:tc>
          <w:tcPr>
            <w:tcW w:type="dxa" w:w="2200"/>
            <w:tcMar>
              <w:top w:type="dxa" w:w="70"/>
              <w:left w:type="dxa" w:w="100"/>
              <w:bottom w:type="dxa" w:w="70"/>
              <w:right w:type="dxa" w:w="100"/>
            </w:tcMar>
          </w:tcPr>
          <w:p>
            <w:r>
              <w:rPr>
                <w:rFonts w:ascii="Calibri" w:cs="Calibri" w:eastAsia="Calibri" w:hAnsi="Calibri"/>
                <w:color w:val="222222"/>
                <w:sz w:val="19"/>
                <w:szCs w:val="19"/>
              </w:rPr>
              <w:t xml:space="preserve">Vice Presidency</w:t>
            </w:r>
          </w:p>
        </w:tc>
      </w:tr>
      <w:tr>
        <w:tc>
          <w:tcPr>
            <w:tcW w:type="dxa" w:w="1850"/>
            <w:tcMar>
              <w:top w:type="dxa" w:w="70"/>
              <w:left w:type="dxa" w:w="100"/>
              <w:bottom w:type="dxa" w:w="70"/>
              <w:right w:type="dxa" w:w="100"/>
            </w:tcMar>
          </w:tcPr>
          <w:p>
            <w:r>
              <w:rPr>
                <w:rFonts w:ascii="Calibri" w:cs="Calibri" w:eastAsia="Calibri" w:hAnsi="Calibri"/>
                <w:color w:val="222222"/>
                <w:sz w:val="19"/>
                <w:szCs w:val="19"/>
              </w:rPr>
              <w:t xml:space="preserve">Security incidents</w:t>
            </w:r>
          </w:p>
        </w:tc>
        <w:tc>
          <w:tcPr>
            <w:tcW w:type="dxa" w:w="1700"/>
            <w:tcMar>
              <w:top w:type="dxa" w:w="70"/>
              <w:left w:type="dxa" w:w="100"/>
              <w:bottom w:type="dxa" w:w="70"/>
              <w:right w:type="dxa" w:w="100"/>
            </w:tcMar>
          </w:tcPr>
          <w:p>
            <w:r>
              <w:rPr>
                <w:rFonts w:ascii="Calibri" w:cs="Calibri" w:eastAsia="Calibri" w:hAnsi="Calibri"/>
                <w:color w:val="222222"/>
                <w:sz w:val="19"/>
                <w:szCs w:val="19"/>
              </w:rPr>
              <w:t xml:space="preserve">Following an event</w:t>
            </w:r>
          </w:p>
        </w:tc>
        <w:tc>
          <w:tcPr>
            <w:tcW w:type="dxa" w:w="1900"/>
            <w:tcMar>
              <w:top w:type="dxa" w:w="70"/>
              <w:left w:type="dxa" w:w="100"/>
              <w:bottom w:type="dxa" w:w="70"/>
              <w:right w:type="dxa" w:w="100"/>
            </w:tcMar>
          </w:tcPr>
          <w:p>
            <w:r>
              <w:rPr>
                <w:rFonts w:ascii="Calibri" w:cs="Calibri" w:eastAsia="Calibri" w:hAnsi="Calibri"/>
                <w:color w:val="222222"/>
                <w:sz w:val="19"/>
                <w:szCs w:val="19"/>
              </w:rPr>
              <w:t xml:space="preserve">Vice Presidency</w:t>
            </w:r>
          </w:p>
        </w:tc>
        <w:tc>
          <w:tcPr>
            <w:tcW w:type="dxa" w:w="1700"/>
            <w:tcMar>
              <w:top w:type="dxa" w:w="70"/>
              <w:left w:type="dxa" w:w="100"/>
              <w:bottom w:type="dxa" w:w="70"/>
              <w:right w:type="dxa" w:w="100"/>
            </w:tcMar>
          </w:tcPr>
          <w:p>
            <w:r>
              <w:rPr>
                <w:rFonts w:ascii="Calibri" w:cs="Calibri" w:eastAsia="Calibri" w:hAnsi="Calibri"/>
                <w:color w:val="222222"/>
                <w:sz w:val="19"/>
                <w:szCs w:val="19"/>
              </w:rPr>
              <w:t xml:space="preserve">Post-event report</w:t>
            </w:r>
          </w:p>
        </w:tc>
        <w:tc>
          <w:tcPr>
            <w:tcW w:type="dxa" w:w="2200"/>
            <w:tcMar>
              <w:top w:type="dxa" w:w="70"/>
              <w:left w:type="dxa" w:w="100"/>
              <w:bottom w:type="dxa" w:w="70"/>
              <w:right w:type="dxa" w:w="100"/>
            </w:tcMar>
          </w:tcPr>
          <w:p>
            <w:r>
              <w:rPr>
                <w:rFonts w:ascii="Calibri" w:cs="Calibri" w:eastAsia="Calibri" w:hAnsi="Calibri"/>
                <w:color w:val="222222"/>
                <w:sz w:val="19"/>
                <w:szCs w:val="19"/>
              </w:rPr>
              <w:t xml:space="preserve">IT Manager</w:t>
            </w:r>
          </w:p>
        </w:tc>
      </w:tr>
      <w:tr>
        <w:tc>
          <w:tcPr>
            <w:tcW w:type="dxa" w:w="1850"/>
            <w:tcMar>
              <w:top w:type="dxa" w:w="70"/>
              <w:left w:type="dxa" w:w="100"/>
              <w:bottom w:type="dxa" w:w="70"/>
              <w:right w:type="dxa" w:w="100"/>
            </w:tcMar>
          </w:tcPr>
          <w:p>
            <w:r>
              <w:rPr>
                <w:rFonts w:ascii="Calibri" w:cs="Calibri" w:eastAsia="Calibri" w:hAnsi="Calibri"/>
                <w:color w:val="222222"/>
                <w:sz w:val="19"/>
                <w:szCs w:val="19"/>
              </w:rPr>
              <w:t xml:space="preserve">System changes</w:t>
            </w:r>
          </w:p>
        </w:tc>
        <w:tc>
          <w:tcPr>
            <w:tcW w:type="dxa" w:w="1700"/>
            <w:tcMar>
              <w:top w:type="dxa" w:w="70"/>
              <w:left w:type="dxa" w:w="100"/>
              <w:bottom w:type="dxa" w:w="70"/>
              <w:right w:type="dxa" w:w="100"/>
            </w:tcMar>
          </w:tcPr>
          <w:p>
            <w:r>
              <w:rPr>
                <w:rFonts w:ascii="Calibri" w:cs="Calibri" w:eastAsia="Calibri" w:hAnsi="Calibri"/>
                <w:color w:val="222222"/>
                <w:sz w:val="19"/>
                <w:szCs w:val="19"/>
              </w:rPr>
              <w:t xml:space="preserve">When a change need is identified</w:t>
            </w:r>
          </w:p>
        </w:tc>
        <w:tc>
          <w:tcPr>
            <w:tcW w:type="dxa" w:w="1900"/>
            <w:tcMar>
              <w:top w:type="dxa" w:w="70"/>
              <w:left w:type="dxa" w:w="100"/>
              <w:bottom w:type="dxa" w:w="70"/>
              <w:right w:type="dxa" w:w="100"/>
            </w:tcMar>
          </w:tcPr>
          <w:p>
            <w:r>
              <w:rPr>
                <w:rFonts w:ascii="Calibri" w:cs="Calibri" w:eastAsia="Calibri" w:hAnsi="Calibri"/>
                <w:color w:val="222222"/>
                <w:sz w:val="19"/>
                <w:szCs w:val="19"/>
              </w:rPr>
              <w:t xml:space="preserve">Payroll, IT Manager, Vice Presidency</w:t>
            </w:r>
          </w:p>
        </w:tc>
        <w:tc>
          <w:tcPr>
            <w:tcW w:type="dxa" w:w="1700"/>
            <w:tcMar>
              <w:top w:type="dxa" w:w="70"/>
              <w:left w:type="dxa" w:w="100"/>
              <w:bottom w:type="dxa" w:w="70"/>
              <w:right w:type="dxa" w:w="100"/>
            </w:tcMar>
          </w:tcPr>
          <w:p>
            <w:r>
              <w:rPr>
                <w:rFonts w:ascii="Calibri" w:cs="Calibri" w:eastAsia="Calibri" w:hAnsi="Calibri"/>
                <w:color w:val="222222"/>
                <w:sz w:val="19"/>
                <w:szCs w:val="19"/>
              </w:rPr>
              <w:t xml:space="preserve">Meeting</w:t>
            </w:r>
          </w:p>
        </w:tc>
        <w:tc>
          <w:tcPr>
            <w:tcW w:type="dxa" w:w="2200"/>
            <w:tcMar>
              <w:top w:type="dxa" w:w="70"/>
              <w:left w:type="dxa" w:w="100"/>
              <w:bottom w:type="dxa" w:w="70"/>
              <w:right w:type="dxa" w:w="100"/>
            </w:tcMar>
          </w:tcPr>
          <w:p>
            <w:r>
              <w:rPr>
                <w:rFonts w:ascii="Calibri" w:cs="Calibri" w:eastAsia="Calibri" w:hAnsi="Calibri"/>
                <w:color w:val="222222"/>
                <w:sz w:val="19"/>
                <w:szCs w:val="19"/>
              </w:rPr>
              <w:t xml:space="preserve">Vice Presidency</w:t>
            </w:r>
          </w:p>
        </w:tc>
      </w:tr>
      <w:tr>
        <w:tc>
          <w:tcPr>
            <w:tcW w:type="dxa" w:w="1850"/>
            <w:tcMar>
              <w:top w:type="dxa" w:w="70"/>
              <w:left w:type="dxa" w:w="100"/>
              <w:bottom w:type="dxa" w:w="70"/>
              <w:right w:type="dxa" w:w="100"/>
            </w:tcMar>
          </w:tcPr>
          <w:p>
            <w:r>
              <w:rPr>
                <w:rFonts w:ascii="Calibri" w:cs="Calibri" w:eastAsia="Calibri" w:hAnsi="Calibri"/>
                <w:color w:val="222222"/>
                <w:sz w:val="19"/>
                <w:szCs w:val="19"/>
              </w:rPr>
              <w:t xml:space="preserve">Readiness Assessment findings</w:t>
            </w:r>
          </w:p>
        </w:tc>
        <w:tc>
          <w:tcPr>
            <w:tcW w:type="dxa" w:w="1700"/>
            <w:tcMar>
              <w:top w:type="dxa" w:w="70"/>
              <w:left w:type="dxa" w:w="100"/>
              <w:bottom w:type="dxa" w:w="70"/>
              <w:right w:type="dxa" w:w="100"/>
            </w:tcMar>
          </w:tcPr>
          <w:p>
            <w:r>
              <w:rPr>
                <w:rFonts w:ascii="Calibri" w:cs="Calibri" w:eastAsia="Calibri" w:hAnsi="Calibri"/>
                <w:color w:val="222222"/>
                <w:sz w:val="19"/>
                <w:szCs w:val="19"/>
              </w:rPr>
              <w:t xml:space="preserve">Upon completion of this engagement</w:t>
            </w:r>
          </w:p>
        </w:tc>
        <w:tc>
          <w:tcPr>
            <w:tcW w:type="dxa" w:w="1900"/>
            <w:tcMar>
              <w:top w:type="dxa" w:w="70"/>
              <w:left w:type="dxa" w:w="100"/>
              <w:bottom w:type="dxa" w:w="70"/>
              <w:right w:type="dxa" w:w="100"/>
            </w:tcMar>
          </w:tcPr>
          <w:p>
            <w:r>
              <w:rPr>
                <w:rFonts w:ascii="Calibri" w:cs="Calibri" w:eastAsia="Calibri" w:hAnsi="Calibri"/>
                <w:color w:val="222222"/>
                <w:sz w:val="19"/>
                <w:szCs w:val="19"/>
              </w:rPr>
              <w:t xml:space="preserve">Vice Presidency</w:t>
            </w:r>
          </w:p>
        </w:tc>
        <w:tc>
          <w:tcPr>
            <w:tcW w:type="dxa" w:w="1700"/>
            <w:tcMar>
              <w:top w:type="dxa" w:w="70"/>
              <w:left w:type="dxa" w:w="100"/>
              <w:bottom w:type="dxa" w:w="70"/>
              <w:right w:type="dxa" w:w="100"/>
            </w:tcMar>
          </w:tcPr>
          <w:p>
            <w:r>
              <w:rPr>
                <w:rFonts w:ascii="Calibri" w:cs="Calibri" w:eastAsia="Calibri" w:hAnsi="Calibri"/>
                <w:color w:val="222222"/>
                <w:sz w:val="19"/>
                <w:szCs w:val="19"/>
              </w:rPr>
              <w:t xml:space="preserve">Executive Summary</w:t>
            </w:r>
          </w:p>
        </w:tc>
        <w:tc>
          <w:tcPr>
            <w:tcW w:type="dxa" w:w="2200"/>
            <w:tcMar>
              <w:top w:type="dxa" w:w="70"/>
              <w:left w:type="dxa" w:w="100"/>
              <w:bottom w:type="dxa" w:w="70"/>
              <w:right w:type="dxa" w:w="100"/>
            </w:tcMar>
          </w:tcPr>
          <w:p>
            <w:r>
              <w:rPr>
                <w:rFonts w:ascii="Calibri" w:cs="Calibri" w:eastAsia="Calibri" w:hAnsi="Calibri"/>
                <w:color w:val="222222"/>
                <w:sz w:val="19"/>
                <w:szCs w:val="19"/>
              </w:rPr>
              <w:t xml:space="preserve">External Consultant</w:t>
            </w:r>
          </w:p>
        </w:tc>
      </w:tr>
    </w:tbl>
    <w:p>
      <w:pPr>
        <w:spacing w:after="160" w:line="276"/>
      </w:pPr>
      <w:r>
        <w:rPr>
          <w:rFonts w:ascii="Calibri" w:cs="Calibri" w:eastAsia="Calibri" w:hAnsi="Calibri"/>
          <w:color w:val="222222"/>
          <w:sz w:val="22"/>
          <w:szCs w:val="22"/>
        </w:rPr>
        <w:t xml:space="preserve">No formal communication schedule exists beyond these event-triggered channels. There is no recurring or scheduled communication (e.g., periodic security updates to all personnel).</w:t>
      </w:r>
    </w:p>
    <w:p>
      <w:pPr>
        <w:pStyle w:val="Heading2"/>
        <w:spacing w:after="100" w:before="260"/>
      </w:pPr>
      <w:r>
        <w:rPr>
          <w:rFonts w:ascii="Georgia" w:cs="Georgia" w:eastAsia="Georgia" w:hAnsi="Georgia"/>
          <w:b/>
          <w:bCs/>
          <w:color w:val="8A6520"/>
          <w:sz w:val="22"/>
          <w:szCs w:val="22"/>
        </w:rPr>
        <w:t xml:space="preserve">7.5 — Documented information</w:t>
      </w:r>
    </w:p>
    <w:p>
      <w:pPr>
        <w:spacing w:after="160" w:line="276"/>
      </w:pPr>
      <w:r>
        <w:rPr>
          <w:rFonts w:ascii="Calibri" w:cs="Calibri" w:eastAsia="Calibri" w:hAnsi="Calibri"/>
          <w:color w:val="222222"/>
          <w:sz w:val="22"/>
          <w:szCs w:val="22"/>
        </w:rPr>
        <w:t xml:space="preserve">No formal documented information control process exists. Documents produced during this engagement (Scoping Questionnaire, ISMS Core Document, Statement of Applicability, Gap Tracker) are version-tracked informally by file date and are not subject to a formal approval, review, or access-control procedure beyond their location in the engagement's working files.</w:t>
      </w:r>
    </w:p>
    <w:p>
      <w:pPr>
        <w:pStyle w:val="Heading1"/>
        <w:pBdr>
          <w:bottom w:val="single" w:color="1B2A4A" w:sz="8" w:space="4"/>
        </w:pBdr>
        <w:spacing w:after="100" w:before="420"/>
      </w:pPr>
      <w:r>
        <w:rPr>
          <w:rFonts w:ascii="Georgia" w:cs="Georgia" w:eastAsia="Georgia" w:hAnsi="Georgia"/>
          <w:b/>
          <w:bCs/>
          <w:color w:val="1B2A4A"/>
          <w:sz w:val="28"/>
          <w:szCs w:val="28"/>
        </w:rPr>
        <w:t xml:space="preserve">Section 7 — Measurement Plan</w:t>
      </w:r>
    </w:p>
    <w:p>
      <w:pPr>
        <w:pStyle w:val="Heading2"/>
        <w:spacing w:after="100" w:before="260"/>
      </w:pPr>
      <w:r>
        <w:rPr>
          <w:rFonts w:ascii="Georgia" w:cs="Georgia" w:eastAsia="Georgia" w:hAnsi="Georgia"/>
          <w:b/>
          <w:bCs/>
          <w:color w:val="8A6520"/>
          <w:sz w:val="22"/>
          <w:szCs w:val="22"/>
        </w:rPr>
        <w:t xml:space="preserve">9.1 — Monitoring, measurement, analysis and evaluation</w:t>
      </w:r>
    </w:p>
    <w:p>
      <w:pPr>
        <w:spacing w:after="160" w:line="276"/>
      </w:pPr>
      <w:r>
        <w:rPr>
          <w:rFonts w:ascii="Calibri" w:cs="Calibri" w:eastAsia="Calibri" w:hAnsi="Calibri"/>
          <w:color w:val="222222"/>
          <w:sz w:val="22"/>
          <w:szCs w:val="22"/>
        </w:rPr>
        <w:t xml:space="preserve">No formal measurement of ISMS performance exists today. This section proposes an initial set of measures, to be adopted once remediation of this assessment's findings begins: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50"/>
        <w:gridCol w:w="3300"/>
        <w:gridCol w:w="1500"/>
      </w:tblGrid>
      <w:tr>
        <w:tc>
          <w:tcPr>
            <w:tcW w:type="dxa" w:w="455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Measure</w:t>
            </w:r>
          </w:p>
        </w:tc>
        <w:tc>
          <w:tcPr>
            <w:tcW w:type="dxa" w:w="33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Method</w:t>
            </w:r>
          </w:p>
        </w:tc>
        <w:tc>
          <w:tcPr>
            <w:tcW w:type="dxa" w:w="15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Frequency</w:t>
            </w:r>
          </w:p>
        </w:tc>
      </w:tr>
      <w:tr>
        <w:tc>
          <w:tcPr>
            <w:tcW w:type="dxa" w:w="4550"/>
            <w:tcMar>
              <w:top w:type="dxa" w:w="70"/>
              <w:left w:type="dxa" w:w="100"/>
              <w:bottom w:type="dxa" w:w="70"/>
              <w:right w:type="dxa" w:w="100"/>
            </w:tcMar>
          </w:tcPr>
          <w:p>
            <w:r>
              <w:rPr>
                <w:rFonts w:ascii="Calibri" w:cs="Calibri" w:eastAsia="Calibri" w:hAnsi="Calibri"/>
                <w:color w:val="222222"/>
                <w:sz w:val="19"/>
                <w:szCs w:val="19"/>
              </w:rPr>
              <w:t xml:space="preserve">Percentage of Annex A controls Implemented (per SoA)</w:t>
            </w:r>
          </w:p>
        </w:tc>
        <w:tc>
          <w:tcPr>
            <w:tcW w:type="dxa" w:w="3300"/>
            <w:tcMar>
              <w:top w:type="dxa" w:w="70"/>
              <w:left w:type="dxa" w:w="100"/>
              <w:bottom w:type="dxa" w:w="70"/>
              <w:right w:type="dxa" w:w="100"/>
            </w:tcMar>
          </w:tcPr>
          <w:p>
            <w:r>
              <w:rPr>
                <w:rFonts w:ascii="Calibri" w:cs="Calibri" w:eastAsia="Calibri" w:hAnsi="Calibri"/>
                <w:color w:val="222222"/>
                <w:sz w:val="19"/>
                <w:szCs w:val="19"/>
              </w:rPr>
              <w:t xml:space="preserve">Count of "Implemented" status in the Statement of Applicability</w:t>
            </w:r>
          </w:p>
        </w:tc>
        <w:tc>
          <w:tcPr>
            <w:tcW w:type="dxa" w:w="1500"/>
            <w:tcMar>
              <w:top w:type="dxa" w:w="70"/>
              <w:left w:type="dxa" w:w="100"/>
              <w:bottom w:type="dxa" w:w="70"/>
              <w:right w:type="dxa" w:w="100"/>
            </w:tcMar>
          </w:tcPr>
          <w:p>
            <w:r>
              <w:rPr>
                <w:rFonts w:ascii="Calibri" w:cs="Calibri" w:eastAsia="Calibri" w:hAnsi="Calibri"/>
                <w:color w:val="222222"/>
                <w:sz w:val="19"/>
                <w:szCs w:val="19"/>
              </w:rPr>
              <w:t xml:space="preserve">Quarterly</w:t>
            </w:r>
          </w:p>
        </w:tc>
      </w:tr>
      <w:tr>
        <w:tc>
          <w:tcPr>
            <w:tcW w:type="dxa" w:w="4550"/>
            <w:tcMar>
              <w:top w:type="dxa" w:w="70"/>
              <w:left w:type="dxa" w:w="100"/>
              <w:bottom w:type="dxa" w:w="70"/>
              <w:right w:type="dxa" w:w="100"/>
            </w:tcMar>
          </w:tcPr>
          <w:p>
            <w:r>
              <w:rPr>
                <w:rFonts w:ascii="Calibri" w:cs="Calibri" w:eastAsia="Calibri" w:hAnsi="Calibri"/>
                <w:color w:val="222222"/>
                <w:sz w:val="19"/>
                <w:szCs w:val="19"/>
              </w:rPr>
              <w:t xml:space="preserve">Gap Tracker items closed vs. open, by priority</w:t>
            </w:r>
          </w:p>
        </w:tc>
        <w:tc>
          <w:tcPr>
            <w:tcW w:type="dxa" w:w="3300"/>
            <w:tcMar>
              <w:top w:type="dxa" w:w="70"/>
              <w:left w:type="dxa" w:w="100"/>
              <w:bottom w:type="dxa" w:w="70"/>
              <w:right w:type="dxa" w:w="100"/>
            </w:tcMar>
          </w:tcPr>
          <w:p>
            <w:r>
              <w:rPr>
                <w:rFonts w:ascii="Calibri" w:cs="Calibri" w:eastAsia="Calibri" w:hAnsi="Calibri"/>
                <w:color w:val="222222"/>
                <w:sz w:val="19"/>
                <w:szCs w:val="19"/>
              </w:rPr>
              <w:t xml:space="preserve">Count of closed vs. open items in the Gap Tracker</w:t>
            </w:r>
          </w:p>
        </w:tc>
        <w:tc>
          <w:tcPr>
            <w:tcW w:type="dxa" w:w="1500"/>
            <w:tcMar>
              <w:top w:type="dxa" w:w="70"/>
              <w:left w:type="dxa" w:w="100"/>
              <w:bottom w:type="dxa" w:w="70"/>
              <w:right w:type="dxa" w:w="100"/>
            </w:tcMar>
          </w:tcPr>
          <w:p>
            <w:r>
              <w:rPr>
                <w:rFonts w:ascii="Calibri" w:cs="Calibri" w:eastAsia="Calibri" w:hAnsi="Calibri"/>
                <w:color w:val="222222"/>
                <w:sz w:val="19"/>
                <w:szCs w:val="19"/>
              </w:rPr>
              <w:t xml:space="preserve">Quarterly</w:t>
            </w:r>
          </w:p>
        </w:tc>
      </w:tr>
      <w:tr>
        <w:tc>
          <w:tcPr>
            <w:tcW w:type="dxa" w:w="4550"/>
            <w:tcMar>
              <w:top w:type="dxa" w:w="70"/>
              <w:left w:type="dxa" w:w="100"/>
              <w:bottom w:type="dxa" w:w="70"/>
              <w:right w:type="dxa" w:w="100"/>
            </w:tcMar>
          </w:tcPr>
          <w:p>
            <w:r>
              <w:rPr>
                <w:rFonts w:ascii="Calibri" w:cs="Calibri" w:eastAsia="Calibri" w:hAnsi="Calibri"/>
                <w:color w:val="222222"/>
                <w:sz w:val="19"/>
                <w:szCs w:val="19"/>
              </w:rPr>
              <w:t xml:space="preserve">Security incidents reported</w:t>
            </w:r>
          </w:p>
        </w:tc>
        <w:tc>
          <w:tcPr>
            <w:tcW w:type="dxa" w:w="3300"/>
            <w:tcMar>
              <w:top w:type="dxa" w:w="70"/>
              <w:left w:type="dxa" w:w="100"/>
              <w:bottom w:type="dxa" w:w="70"/>
              <w:right w:type="dxa" w:w="100"/>
            </w:tcMar>
          </w:tcPr>
          <w:p>
            <w:r>
              <w:rPr>
                <w:rFonts w:ascii="Calibri" w:cs="Calibri" w:eastAsia="Calibri" w:hAnsi="Calibri"/>
                <w:color w:val="222222"/>
                <w:sz w:val="19"/>
                <w:szCs w:val="19"/>
              </w:rPr>
              <w:t xml:space="preserve">Count from post-event reports (see Section 6, Communication)</w:t>
            </w:r>
          </w:p>
        </w:tc>
        <w:tc>
          <w:tcPr>
            <w:tcW w:type="dxa" w:w="1500"/>
            <w:tcMar>
              <w:top w:type="dxa" w:w="70"/>
              <w:left w:type="dxa" w:w="100"/>
              <w:bottom w:type="dxa" w:w="70"/>
              <w:right w:type="dxa" w:w="100"/>
            </w:tcMar>
          </w:tcPr>
          <w:p>
            <w:r>
              <w:rPr>
                <w:rFonts w:ascii="Calibri" w:cs="Calibri" w:eastAsia="Calibri" w:hAnsi="Calibri"/>
                <w:color w:val="222222"/>
                <w:sz w:val="19"/>
                <w:szCs w:val="19"/>
              </w:rPr>
              <w:t xml:space="preserve">Annually</w:t>
            </w:r>
          </w:p>
        </w:tc>
      </w:tr>
    </w:tbl>
    <w:p>
      <w:pPr>
        <w:spacing w:after="160" w:line="276"/>
      </w:pPr>
      <w:r>
        <w:rPr>
          <w:rFonts w:ascii="Calibri" w:cs="Calibri" w:eastAsia="Calibri" w:hAnsi="Calibri"/>
          <w:color w:val="222222"/>
          <w:sz w:val="22"/>
          <w:szCs w:val="22"/>
        </w:rPr>
        <w:t xml:space="preserve">Results are proposed to be reviewed by Vice Presidency, who determines what action, if any, follows from the measurement — no formal review cadence is established at this time, pending Vice Presidency's decision on next steps following this Readiness Assessment.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ISMS Core Document — Custody Corp  ·  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6B6B6B"/>
        <w:sz w:val="16"/>
        <w:szCs w:val="16"/>
      </w:rPr>
      <w:t xml:space="preserve">CARLOS J. MOLINA · GRC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2026-09-10T14:06:10.980Z</dcterms:created>
  <dcterms:modified xsi:type="dcterms:W3CDTF">2026-09-10T14:06:10.990Z</dcterms:modified>
</cp:coreProperties>
</file>

<file path=docProps/custom.xml><?xml version="1.0" encoding="utf-8"?>
<Properties xmlns="http://schemas.openxmlformats.org/officeDocument/2006/custom-properties" xmlns:vt="http://schemas.openxmlformats.org/officeDocument/2006/docPropsVTypes"/>
</file>