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2A4A"/>
          <w:sz w:val="20"/>
          <w:szCs w:val="20"/>
        </w:rPr>
        <w:t xml:space="preserve">CARLOS J. MOLINA  ·  GRC CONSULTING</w:t>
      </w:r>
    </w:p>
    <w:p>
      <w:pPr>
        <w:spacing w:after="100"/>
      </w:pPr>
      <w:r>
        <w:rPr>
          <w:rFonts w:ascii="Georgia" w:cs="Georgia" w:eastAsia="Georgia" w:hAnsi="Georgia"/>
          <w:b/>
          <w:bCs/>
          <w:color w:val="1B2A4A"/>
          <w:sz w:val="48"/>
          <w:szCs w:val="48"/>
        </w:rPr>
        <w:t xml:space="preserve">Executive Summary</w:t>
      </w:r>
    </w:p>
    <w:p>
      <w:pPr>
        <w:spacing w:after="260"/>
      </w:pPr>
      <w:r>
        <w:rPr>
          <w:rFonts w:ascii="Georgia" w:cs="Georgia" w:eastAsia="Georgia" w:hAnsi="Georgia"/>
          <w:i/>
          <w:iCs/>
          <w:color w:val="444444"/>
          <w:sz w:val="24"/>
          <w:szCs w:val="24"/>
        </w:rPr>
        <w:t xml:space="preserve">Custody Corp — Information Security Readiness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Document</w:t>
            </w:r>
          </w:p>
        </w:tc>
        <w:tc>
          <w:tcPr>
            <w:tcW w:type="dxa" w:w="7150"/>
            <w:tcMar>
              <w:top w:type="dxa" w:w="100"/>
              <w:left w:type="dxa" w:w="120"/>
              <w:bottom w:type="dxa" w:w="100"/>
              <w:right w:type="dxa" w:w="120"/>
            </w:tcMar>
            <w:vAlign w:val="center"/>
          </w:tcPr>
          <w:p>
            <w:r>
              <w:rPr>
                <w:rFonts w:ascii="Calibri" w:cs="Calibri" w:eastAsia="Calibri" w:hAnsi="Calibri"/>
                <w:color w:val="222222"/>
                <w:sz w:val="20"/>
                <w:szCs w:val="20"/>
              </w:rPr>
              <w:t xml:space="preserve">Executive Summary — Custody Corp Readiness Assessment</w:t>
            </w:r>
          </w:p>
        </w:tc>
      </w:tr>
      <w:tr>
        <w:tc>
          <w:tcPr>
            <w:tcW w:type="dxa" w:w="22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Prepared for</w:t>
            </w:r>
          </w:p>
        </w:tc>
        <w:tc>
          <w:tcPr>
            <w:tcW w:type="dxa" w:w="7150"/>
            <w:tcMar>
              <w:top w:type="dxa" w:w="100"/>
              <w:left w:type="dxa" w:w="120"/>
              <w:bottom w:type="dxa" w:w="100"/>
              <w:right w:type="dxa" w:w="120"/>
            </w:tcMar>
            <w:vAlign w:val="center"/>
          </w:tcPr>
          <w:p>
            <w:r>
              <w:rPr>
                <w:rFonts w:ascii="Calibri" w:cs="Calibri" w:eastAsia="Calibri" w:hAnsi="Calibri"/>
                <w:color w:val="222222"/>
                <w:sz w:val="20"/>
                <w:szCs w:val="20"/>
              </w:rPr>
              <w:t xml:space="preserve">Vice Presidency</w:t>
            </w:r>
          </w:p>
        </w:tc>
      </w:tr>
      <w:tr>
        <w:tc>
          <w:tcPr>
            <w:tcW w:type="dxa" w:w="22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Prepared by</w:t>
            </w:r>
          </w:p>
        </w:tc>
        <w:tc>
          <w:tcPr>
            <w:tcW w:type="dxa" w:w="7150"/>
            <w:tcMar>
              <w:top w:type="dxa" w:w="100"/>
              <w:left w:type="dxa" w:w="120"/>
              <w:bottom w:type="dxa" w:w="100"/>
              <w:right w:type="dxa" w:w="120"/>
            </w:tcMar>
            <w:vAlign w:val="center"/>
          </w:tcPr>
          <w:p>
            <w:r>
              <w:rPr>
                <w:rFonts w:ascii="Calibri" w:cs="Calibri" w:eastAsia="Calibri" w:hAnsi="Calibri"/>
                <w:color w:val="222222"/>
                <w:sz w:val="20"/>
                <w:szCs w:val="20"/>
              </w:rPr>
              <w:t xml:space="preserve">Carlos J. Molina · GRC Consulting</w:t>
            </w:r>
          </w:p>
        </w:tc>
      </w:tr>
      <w:tr>
        <w:tc>
          <w:tcPr>
            <w:tcW w:type="dxa" w:w="22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Purpose</w:t>
            </w:r>
          </w:p>
        </w:tc>
        <w:tc>
          <w:tcPr>
            <w:tcW w:type="dxa" w:w="7150"/>
            <w:tcMar>
              <w:top w:type="dxa" w:w="100"/>
              <w:left w:type="dxa" w:w="120"/>
              <w:bottom w:type="dxa" w:w="100"/>
              <w:right w:type="dxa" w:w="120"/>
            </w:tcMar>
            <w:vAlign w:val="center"/>
          </w:tcPr>
          <w:p>
            <w:r>
              <w:rPr>
                <w:rFonts w:ascii="Calibri" w:cs="Calibri" w:eastAsia="Calibri" w:hAnsi="Calibri"/>
                <w:color w:val="222222"/>
                <w:sz w:val="20"/>
                <w:szCs w:val="20"/>
              </w:rPr>
              <w:t xml:space="preserve">Non-technical summary of findings and recommended next steps, closing the Readiness Assessment engagement (SMCTR Framework, artifacts 1–7 of 13)</w:t>
            </w:r>
          </w:p>
        </w:tc>
      </w:tr>
    </w:tbl>
    <w:p>
      <w:pPr>
        <w:pStyle w:val="Heading1"/>
        <w:pBdr>
          <w:bottom w:val="single" w:color="1B2A4A" w:sz="8" w:space="4"/>
        </w:pBdr>
        <w:spacing w:after="140" w:before="380"/>
      </w:pPr>
      <w:r>
        <w:rPr>
          <w:rFonts w:ascii="Georgia" w:cs="Georgia" w:eastAsia="Georgia" w:hAnsi="Georgia"/>
          <w:b/>
          <w:bCs/>
          <w:color w:val="1B2A4A"/>
          <w:sz w:val="27"/>
          <w:szCs w:val="27"/>
        </w:rPr>
        <w:t xml:space="preserve">Why this assessment happened</w:t>
      </w:r>
    </w:p>
    <w:p>
      <w:pPr>
        <w:spacing w:after="160" w:line="288"/>
      </w:pPr>
      <w:r>
        <w:rPr>
          <w:rFonts w:ascii="Calibri" w:cs="Calibri" w:eastAsia="Calibri" w:hAnsi="Calibri"/>
          <w:color w:val="222222"/>
          <w:sz w:val="23"/>
          <w:szCs w:val="23"/>
        </w:rPr>
        <w:t xml:space="preserve">Custody Corp has never had a structured evaluation of how it protects the payroll and administrative information it handles — employee compensation records, bank account details, and financial data for roughly 200 operational and 14 administrative staff. You commissioned this assessment to get an honest picture of where things stand today, before committing to any specific fix or deciding whether formal ISO 27001 certification is worth pursuing. This is that picture.</w:t>
      </w:r>
    </w:p>
    <w:p>
      <w:pPr>
        <w:pStyle w:val="Heading1"/>
        <w:pBdr>
          <w:bottom w:val="single" w:color="1B2A4A" w:sz="8" w:space="4"/>
        </w:pBdr>
        <w:spacing w:after="140" w:before="380"/>
      </w:pPr>
      <w:r>
        <w:rPr>
          <w:rFonts w:ascii="Georgia" w:cs="Georgia" w:eastAsia="Georgia" w:hAnsi="Georgia"/>
          <w:b/>
          <w:bCs/>
          <w:color w:val="1B2A4A"/>
          <w:sz w:val="27"/>
          <w:szCs w:val="27"/>
        </w:rPr>
        <w:t xml:space="preserve">The headline finding</w:t>
      </w:r>
    </w:p>
    <w:p>
      <w:pPr>
        <w:spacing w:after="160" w:line="288"/>
      </w:pPr>
      <w:r>
        <w:rPr>
          <w:rFonts w:ascii="Calibri" w:cs="Calibri" w:eastAsia="Calibri" w:hAnsi="Calibri"/>
          <w:color w:val="222222"/>
          <w:sz w:val="23"/>
          <w:szCs w:val="23"/>
        </w:rPr>
        <w:t xml:space="preserve">Custody Corp is strong exactly where you'd expect a physical security company to be strong, and underdeveloped exactly where most small organizations are: the guard on the door, the cameras, the locked server room, the dedicated backup power — all solid, some of it excellent. What's largely missing is the paperwork and governance layer behind the technology: a written security policy, formal control over who holds administrative access to the payroll system, and encryption protecting that data once it's sitting on a disk. None of this is unusual for a company your size that has grown on operational strength rather than IT investment — but three of the gaps found carry real exposure if left unaddressed.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F2F2F2" w:val="clear"/>
            <w:tcMar>
              <w:top w:type="dxa" w:w="160"/>
              <w:left w:type="dxa" w:w="100"/>
              <w:bottom w:type="dxa" w:w="160"/>
              <w:right w:type="dxa" w:w="100"/>
            </w:tcMar>
          </w:tcPr>
          <w:p>
            <w:pPr>
              <w:spacing w:after="40"/>
              <w:jc w:val="center"/>
            </w:pPr>
            <w:r>
              <w:rPr>
                <w:rFonts w:ascii="Georgia" w:cs="Georgia" w:eastAsia="Georgia" w:hAnsi="Georgia"/>
                <w:b/>
                <w:bCs/>
                <w:color w:val="1B2A4A"/>
                <w:sz w:val="34"/>
                <w:szCs w:val="34"/>
              </w:rPr>
              <w:t xml:space="preserve">93/93</w:t>
            </w:r>
          </w:p>
          <w:p>
            <w:pPr>
              <w:jc w:val="center"/>
            </w:pPr>
            <w:r>
              <w:rPr>
                <w:rFonts w:ascii="Calibri" w:cs="Calibri" w:eastAsia="Calibri" w:hAnsi="Calibri"/>
                <w:color w:val="555555"/>
                <w:sz w:val="17"/>
                <w:szCs w:val="17"/>
              </w:rPr>
              <w:t xml:space="preserve">Security controls reviewed</w:t>
            </w:r>
          </w:p>
        </w:tc>
        <w:tc>
          <w:tcPr>
            <w:tcW w:type="dxa" w:w="2337"/>
            <w:shd w:fill="F2F2F2" w:val="clear"/>
            <w:tcMar>
              <w:top w:type="dxa" w:w="160"/>
              <w:left w:type="dxa" w:w="100"/>
              <w:bottom w:type="dxa" w:w="160"/>
              <w:right w:type="dxa" w:w="100"/>
            </w:tcMar>
          </w:tcPr>
          <w:p>
            <w:pPr>
              <w:spacing w:after="40"/>
              <w:jc w:val="center"/>
            </w:pPr>
            <w:r>
              <w:rPr>
                <w:rFonts w:ascii="Georgia" w:cs="Georgia" w:eastAsia="Georgia" w:hAnsi="Georgia"/>
                <w:b/>
                <w:bCs/>
                <w:color w:val="1B2A4A"/>
                <w:sz w:val="34"/>
                <w:szCs w:val="34"/>
              </w:rPr>
              <w:t xml:space="preserve">3</w:t>
            </w:r>
          </w:p>
          <w:p>
            <w:pPr>
              <w:jc w:val="center"/>
            </w:pPr>
            <w:r>
              <w:rPr>
                <w:rFonts w:ascii="Calibri" w:cs="Calibri" w:eastAsia="Calibri" w:hAnsi="Calibri"/>
                <w:color w:val="555555"/>
                <w:sz w:val="17"/>
                <w:szCs w:val="17"/>
              </w:rPr>
              <w:t xml:space="preserve">Specific risks analyzed in depth</w:t>
            </w:r>
          </w:p>
        </w:tc>
        <w:tc>
          <w:tcPr>
            <w:tcW w:type="dxa" w:w="2337"/>
            <w:shd w:fill="F2F2F2" w:val="clear"/>
            <w:tcMar>
              <w:top w:type="dxa" w:w="160"/>
              <w:left w:type="dxa" w:w="100"/>
              <w:bottom w:type="dxa" w:w="160"/>
              <w:right w:type="dxa" w:w="100"/>
            </w:tcMar>
          </w:tcPr>
          <w:p>
            <w:pPr>
              <w:spacing w:after="40"/>
              <w:jc w:val="center"/>
            </w:pPr>
            <w:r>
              <w:rPr>
                <w:rFonts w:ascii="Georgia" w:cs="Georgia" w:eastAsia="Georgia" w:hAnsi="Georgia"/>
                <w:b/>
                <w:bCs/>
                <w:color w:val="1B2A4A"/>
                <w:sz w:val="34"/>
                <w:szCs w:val="34"/>
              </w:rPr>
              <w:t xml:space="preserve">65</w:t>
            </w:r>
          </w:p>
          <w:p>
            <w:pPr>
              <w:jc w:val="center"/>
            </w:pPr>
            <w:r>
              <w:rPr>
                <w:rFonts w:ascii="Calibri" w:cs="Calibri" w:eastAsia="Calibri" w:hAnsi="Calibri"/>
                <w:color w:val="555555"/>
                <w:sz w:val="17"/>
                <w:szCs w:val="17"/>
              </w:rPr>
              <w:t xml:space="preserve">Improvement items identified</w:t>
            </w:r>
          </w:p>
        </w:tc>
        <w:tc>
          <w:tcPr>
            <w:tcW w:type="dxa" w:w="2337"/>
            <w:shd w:fill="F2F2F2" w:val="clear"/>
            <w:tcMar>
              <w:top w:type="dxa" w:w="160"/>
              <w:left w:type="dxa" w:w="100"/>
              <w:bottom w:type="dxa" w:w="160"/>
              <w:right w:type="dxa" w:w="100"/>
            </w:tcMar>
          </w:tcPr>
          <w:p>
            <w:pPr>
              <w:spacing w:after="40"/>
              <w:jc w:val="center"/>
            </w:pPr>
            <w:r>
              <w:rPr>
                <w:rFonts w:ascii="Georgia" w:cs="Georgia" w:eastAsia="Georgia" w:hAnsi="Georgia"/>
                <w:b/>
                <w:bCs/>
                <w:color w:val="1B2A4A"/>
                <w:sz w:val="34"/>
                <w:szCs w:val="34"/>
              </w:rPr>
              <w:t xml:space="preserve">7</w:t>
            </w:r>
          </w:p>
          <w:p>
            <w:pPr>
              <w:jc w:val="center"/>
            </w:pPr>
            <w:r>
              <w:rPr>
                <w:rFonts w:ascii="Calibri" w:cs="Calibri" w:eastAsia="Calibri" w:hAnsi="Calibri"/>
                <w:color w:val="555555"/>
                <w:sz w:val="17"/>
                <w:szCs w:val="17"/>
              </w:rPr>
              <w:t xml:space="preserve">Recommended first (90 days–6 months)</w:t>
            </w:r>
          </w:p>
        </w:tc>
      </w:tr>
    </w:tbl>
    <w:p>
      <w:pPr>
        <w:pStyle w:val="Heading1"/>
        <w:pBdr>
          <w:bottom w:val="single" w:color="1B2A4A" w:sz="8" w:space="4"/>
        </w:pBdr>
        <w:spacing w:after="140" w:before="380"/>
      </w:pPr>
      <w:r>
        <w:rPr>
          <w:rFonts w:ascii="Georgia" w:cs="Georgia" w:eastAsia="Georgia" w:hAnsi="Georgia"/>
          <w:b/>
          <w:bCs/>
          <w:color w:val="1B2A4A"/>
          <w:sz w:val="27"/>
          <w:szCs w:val="27"/>
        </w:rPr>
        <w:t xml:space="preserve">The three risks we looked at closely</w:t>
      </w:r>
    </w:p>
    <w:p>
      <w:pPr>
        <w:pBdr>
          <w:left w:val="single" w:color="1E6B4A" w:sz="20" w:space="8"/>
        </w:pBdr>
        <w:shd w:fill="E8F4EE" w:val="clear"/>
        <w:spacing w:after="60" w:before="160"/>
        <w:ind w:left="120"/>
      </w:pPr>
      <w:r>
        <w:rPr>
          <w:rFonts w:ascii="Calibri" w:cs="Calibri" w:eastAsia="Calibri" w:hAnsi="Calibri"/>
          <w:b/>
          <w:bCs/>
          <w:color w:val="222222"/>
          <w:sz w:val="21"/>
          <w:szCs w:val="21"/>
        </w:rPr>
        <w:t xml:space="preserve">1. Payroll fraud by someone with legitimate access</w:t>
      </w:r>
    </w:p>
    <w:p>
      <w:pPr>
        <w:pBdr>
          <w:left w:val="single" w:color="1E6B4A" w:sz="20" w:space="8"/>
        </w:pBdr>
        <w:shd w:fill="E8F4EE" w:val="clear"/>
        <w:spacing w:after="160"/>
        <w:ind w:left="120"/>
      </w:pPr>
      <w:r>
        <w:rPr>
          <w:rFonts w:ascii="Calibri" w:cs="Calibri" w:eastAsia="Calibri" w:hAnsi="Calibri"/>
          <w:color w:val="444444"/>
          <w:sz w:val="21"/>
          <w:szCs w:val="21"/>
        </w:rPr>
        <w:t xml:space="preserve">Currently rated Medium risk. Your existing safeguard — one person prepares payroll, a different person approves it — meaningfully reduces this, and your bank's own fraud checks add a second layer. No further action is proposed at this time; this is a case of existing controls already doing their job.</w:t>
      </w:r>
    </w:p>
    <w:p>
      <w:pPr>
        <w:pBdr>
          <w:left w:val="single" w:color="C8993A" w:sz="20" w:space="8"/>
        </w:pBdr>
        <w:shd w:fill="FFF6E5" w:val="clear"/>
        <w:spacing w:after="60" w:before="160"/>
        <w:ind w:left="120"/>
      </w:pPr>
      <w:r>
        <w:rPr>
          <w:rFonts w:ascii="Calibri" w:cs="Calibri" w:eastAsia="Calibri" w:hAnsi="Calibri"/>
          <w:b/>
          <w:bCs/>
          <w:color w:val="222222"/>
          <w:sz w:val="21"/>
          <w:szCs w:val="21"/>
        </w:rPr>
        <w:t xml:space="preserve">2. Payroll system going down during a critical pay period</w:t>
      </w:r>
    </w:p>
    <w:p>
      <w:pPr>
        <w:pBdr>
          <w:left w:val="single" w:color="C8993A" w:sz="20" w:space="8"/>
        </w:pBdr>
        <w:shd w:fill="FFF6E5" w:val="clear"/>
        <w:spacing w:after="160"/>
        <w:ind w:left="120"/>
      </w:pPr>
      <w:r>
        <w:rPr>
          <w:rFonts w:ascii="Calibri" w:cs="Calibri" w:eastAsia="Calibri" w:hAnsi="Calibri"/>
          <w:color w:val="444444"/>
          <w:sz w:val="21"/>
          <w:szCs w:val="21"/>
        </w:rPr>
        <w:t xml:space="preserve">Currently rated Medium risk, trending toward High impact if it happens. You already have a backup power supply and a standby server ready to take over — but that standby server has never actually been tested. If the primary system failed today, there's real uncertainty about how long recovery would take. Fixing this is one of the seven priorities below, and the fastest one to close (30 days).</w:t>
      </w:r>
    </w:p>
    <w:p>
      <w:pPr>
        <w:pBdr>
          <w:left w:val="single" w:color="C8993A" w:sz="20" w:space="8"/>
        </w:pBdr>
        <w:shd w:fill="FFF6E5" w:val="clear"/>
        <w:spacing w:after="60" w:before="160"/>
        <w:ind w:left="120"/>
      </w:pPr>
      <w:r>
        <w:rPr>
          <w:rFonts w:ascii="Calibri" w:cs="Calibri" w:eastAsia="Calibri" w:hAnsi="Calibri"/>
          <w:b/>
          <w:bCs/>
          <w:color w:val="222222"/>
          <w:sz w:val="21"/>
          <w:szCs w:val="21"/>
        </w:rPr>
        <w:t xml:space="preserve">3. A departing employee copying payroll data on their way out</w:t>
      </w:r>
    </w:p>
    <w:p>
      <w:pPr>
        <w:pBdr>
          <w:left w:val="single" w:color="C8993A" w:sz="20" w:space="8"/>
        </w:pBdr>
        <w:shd w:fill="FFF6E5" w:val="clear"/>
        <w:spacing w:after="160"/>
        <w:ind w:left="120"/>
      </w:pPr>
      <w:r>
        <w:rPr>
          <w:rFonts w:ascii="Calibri" w:cs="Calibri" w:eastAsia="Calibri" w:hAnsi="Calibri"/>
          <w:color w:val="444444"/>
          <w:sz w:val="21"/>
          <w:szCs w:val="21"/>
        </w:rPr>
        <w:t xml:space="preserve">Currently rated Medium risk, with high potential impact. Data on both servers sits unencrypted, and there's no inventory or oversight of who holds administrative-level access to it. Someone leaving on bad terms could copy sensitive records with no record of having done so. This is the most exposed of the three risks and drives three of the seven priorities below.</w:t>
      </w:r>
    </w:p>
    <w:p>
      <w:pPr>
        <w:pStyle w:val="Heading1"/>
        <w:pBdr>
          <w:bottom w:val="single" w:color="1B2A4A" w:sz="8" w:space="4"/>
        </w:pBdr>
        <w:spacing w:after="140" w:before="380"/>
      </w:pPr>
      <w:r>
        <w:rPr>
          <w:rFonts w:ascii="Georgia" w:cs="Georgia" w:eastAsia="Georgia" w:hAnsi="Georgia"/>
          <w:b/>
          <w:bCs/>
          <w:color w:val="1B2A4A"/>
          <w:sz w:val="27"/>
          <w:szCs w:val="27"/>
        </w:rPr>
        <w:t xml:space="preserve">What we recommend doing first</w:t>
      </w:r>
    </w:p>
    <w:p>
      <w:pPr>
        <w:spacing w:after="160" w:line="288"/>
      </w:pPr>
      <w:r>
        <w:rPr>
          <w:rFonts w:ascii="Calibri" w:cs="Calibri" w:eastAsia="Calibri" w:hAnsi="Calibri"/>
          <w:color w:val="222222"/>
          <w:sz w:val="23"/>
          <w:szCs w:val="23"/>
        </w:rPr>
        <w:t xml:space="preserve">Of 65 improvement items identified, 17 carry meaningfully higher exposure than the rest. Given your current team — one IT Manager and yourself, without a dedicated security budget — tackling all 17 at once isn't realistic. The seven below are the ones we recommend prioritizing: six of the highest-exposure items, plus a formal security policy, which is inexpensive to produce and makes everything else easier to communicate and enforce.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2400"/>
        <w:gridCol w:w="1750"/>
      </w:tblGrid>
      <w:tr>
        <w:tc>
          <w:tcPr>
            <w:tcW w:type="dxa" w:w="5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7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Objective</w:t>
            </w:r>
          </w:p>
        </w:tc>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Owner</w:t>
            </w:r>
          </w:p>
        </w:tc>
        <w:tc>
          <w:tcPr>
            <w:tcW w:type="dxa" w:w="17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1</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Encrypt payroll &amp; admin data at rest</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IT Manager</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6 months</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2</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Formalize privileged account governance</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IT Manager</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90 days</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3</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Document &amp; test restoration procedure</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IT Manager</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30 days</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4</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Post-employment confidentiality obligations</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VP + legal review</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90 days</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5</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Confidentiality agreements (NDAs)</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VP + legal review</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90 days</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6</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Data retention &amp; deletion rules</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IT Manager</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90 days</w:t>
            </w:r>
          </w:p>
        </w:tc>
      </w:tr>
      <w:tr>
        <w:tc>
          <w:tcPr>
            <w:tcW w:type="dxa" w:w="500"/>
            <w:tcMar>
              <w:top w:type="dxa" w:w="70"/>
              <w:left w:type="dxa" w:w="100"/>
              <w:bottom w:type="dxa" w:w="70"/>
              <w:right w:type="dxa" w:w="100"/>
            </w:tcMar>
          </w:tcPr>
          <w:p>
            <w:r>
              <w:rPr>
                <w:rFonts w:ascii="Calibri" w:cs="Calibri" w:eastAsia="Calibri" w:hAnsi="Calibri"/>
                <w:color w:val="222222"/>
                <w:sz w:val="19"/>
                <w:szCs w:val="19"/>
              </w:rPr>
              <w:t xml:space="preserve">7</w:t>
            </w:r>
          </w:p>
        </w:tc>
        <w:tc>
          <w:tcPr>
            <w:tcW w:type="dxa" w:w="4700"/>
            <w:tcMar>
              <w:top w:type="dxa" w:w="70"/>
              <w:left w:type="dxa" w:w="100"/>
              <w:bottom w:type="dxa" w:w="70"/>
              <w:right w:type="dxa" w:w="100"/>
            </w:tcMar>
          </w:tcPr>
          <w:p>
            <w:r>
              <w:rPr>
                <w:rFonts w:ascii="Calibri" w:cs="Calibri" w:eastAsia="Calibri" w:hAnsi="Calibri"/>
                <w:color w:val="222222"/>
                <w:sz w:val="19"/>
                <w:szCs w:val="19"/>
              </w:rPr>
              <w:t xml:space="preserve">Approve &amp; communicate security policy</w:t>
            </w:r>
          </w:p>
        </w:tc>
        <w:tc>
          <w:tcPr>
            <w:tcW w:type="dxa" w:w="2400"/>
            <w:tcMar>
              <w:top w:type="dxa" w:w="70"/>
              <w:left w:type="dxa" w:w="100"/>
              <w:bottom w:type="dxa" w:w="70"/>
              <w:right w:type="dxa" w:w="100"/>
            </w:tcMar>
          </w:tcPr>
          <w:p>
            <w:r>
              <w:rPr>
                <w:rFonts w:ascii="Calibri" w:cs="Calibri" w:eastAsia="Calibri" w:hAnsi="Calibri"/>
                <w:color w:val="222222"/>
                <w:sz w:val="19"/>
                <w:szCs w:val="19"/>
              </w:rPr>
              <w:t xml:space="preserve">VP + legal review</w:t>
            </w:r>
          </w:p>
        </w:tc>
        <w:tc>
          <w:tcPr>
            <w:tcW w:type="dxa" w:w="1750"/>
            <w:tcMar>
              <w:top w:type="dxa" w:w="70"/>
              <w:left w:type="dxa" w:w="100"/>
              <w:bottom w:type="dxa" w:w="70"/>
              <w:right w:type="dxa" w:w="100"/>
            </w:tcMar>
          </w:tcPr>
          <w:p>
            <w:r>
              <w:rPr>
                <w:rFonts w:ascii="Calibri" w:cs="Calibri" w:eastAsia="Calibri" w:hAnsi="Calibri"/>
                <w:color w:val="222222"/>
                <w:sz w:val="19"/>
                <w:szCs w:val="19"/>
              </w:rPr>
              <w:t xml:space="preserve">3 months</w:t>
            </w:r>
          </w:p>
        </w:tc>
      </w:tr>
    </w:tbl>
    <w:p>
      <w:pPr>
        <w:spacing w:after="160" w:line="288"/>
      </w:pPr>
      <w:r>
        <w:rPr>
          <w:rFonts w:ascii="Calibri" w:cs="Calibri" w:eastAsia="Calibri" w:hAnsi="Calibri"/>
          <w:color w:val="222222"/>
          <w:sz w:val="23"/>
          <w:szCs w:val="23"/>
        </w:rPr>
        <w:t xml:space="preserve">Three of these seven (the confidentiality/NDA-related items and the policy itself) are content we can draft, but they need your company's legal counsel to review before they're final — that's standard practice for anything that becomes a binding policy or agreement, not a sign of extra cost or delay beyond what's already built into the timeline above.</w:t>
      </w:r>
    </w:p>
    <w:p>
      <w:pPr>
        <w:pStyle w:val="Heading1"/>
        <w:pBdr>
          <w:bottom w:val="single" w:color="1B2A4A" w:sz="8" w:space="4"/>
        </w:pBdr>
        <w:spacing w:after="140" w:before="380"/>
      </w:pPr>
      <w:r>
        <w:rPr>
          <w:rFonts w:ascii="Georgia" w:cs="Georgia" w:eastAsia="Georgia" w:hAnsi="Georgia"/>
          <w:b/>
          <w:bCs/>
          <w:color w:val="1B2A4A"/>
          <w:sz w:val="27"/>
          <w:szCs w:val="27"/>
        </w:rPr>
        <w:t xml:space="preserve">What happens after that</w:t>
      </w:r>
    </w:p>
    <w:p>
      <w:pPr>
        <w:spacing w:after="160" w:line="288"/>
      </w:pPr>
      <w:r>
        <w:rPr>
          <w:rFonts w:ascii="Calibri" w:cs="Calibri" w:eastAsia="Calibri" w:hAnsi="Calibri"/>
          <w:color w:val="222222"/>
          <w:sz w:val="23"/>
          <w:szCs w:val="23"/>
        </w:rPr>
        <w:t xml:space="preserve">The remaining 58 items — including 11 more in the higher-exposure category — are documented with an owner and a priority, ready for a second round once the first seven are underway. We'd recommend revisiting this list in roughly 90 days, once you can see how much of the first round is actually moving, before committing to what comes next.</w:t>
      </w:r>
    </w:p>
    <w:p>
      <w:pPr>
        <w:pStyle w:val="Heading1"/>
        <w:pBdr>
          <w:bottom w:val="single" w:color="1B2A4A" w:sz="8" w:space="4"/>
        </w:pBdr>
        <w:spacing w:after="140" w:before="380"/>
      </w:pPr>
      <w:r>
        <w:rPr>
          <w:rFonts w:ascii="Georgia" w:cs="Georgia" w:eastAsia="Georgia" w:hAnsi="Georgia"/>
          <w:b/>
          <w:bCs/>
          <w:color w:val="1B2A4A"/>
          <w:sz w:val="27"/>
          <w:szCs w:val="27"/>
        </w:rPr>
        <w:t xml:space="preserve">The decision in front of you</w:t>
      </w:r>
    </w:p>
    <w:p>
      <w:pPr>
        <w:pStyle w:val="ListParagraph"/>
        <w:numPr>
          <w:ilvl w:val="0"/>
          <w:numId w:val="1"/>
        </w:numPr>
        <w:spacing w:after="120" w:line="280"/>
      </w:pPr>
      <w:r>
        <w:rPr>
          <w:rFonts w:ascii="Calibri" w:cs="Calibri" w:eastAsia="Calibri" w:hAnsi="Calibri"/>
          <w:color w:val="222222"/>
          <w:sz w:val="22"/>
          <w:szCs w:val="22"/>
        </w:rPr>
        <w:t xml:space="preserve">Approve the seven priorities above and the resourcing they imply (primarily the IT Manager's time, plus brief legal review).</w:t>
      </w:r>
    </w:p>
    <w:p>
      <w:pPr>
        <w:pStyle w:val="ListParagraph"/>
        <w:numPr>
          <w:ilvl w:val="0"/>
          <w:numId w:val="1"/>
        </w:numPr>
        <w:spacing w:after="120" w:line="280"/>
      </w:pPr>
      <w:r>
        <w:rPr>
          <w:rFonts w:ascii="Calibri" w:cs="Calibri" w:eastAsia="Calibri" w:hAnsi="Calibri"/>
          <w:color w:val="222222"/>
          <w:sz w:val="22"/>
          <w:szCs w:val="22"/>
        </w:rPr>
        <w:t xml:space="preserve">Decide whether this stays a one-time cleanup, or whether Custody Corp formally pursues ISO 27001 certification — this assessment covers the first third of that path; the remaining work (formal evidence collection, internal audit, and management review) is a separate, larger commitment we can scope separately if you want it.</w:t>
      </w:r>
    </w:p>
    <w:p>
      <w:pPr>
        <w:pStyle w:val="ListParagraph"/>
        <w:numPr>
          <w:ilvl w:val="0"/>
          <w:numId w:val="1"/>
        </w:numPr>
        <w:spacing w:after="120" w:line="280"/>
      </w:pPr>
      <w:r>
        <w:rPr>
          <w:rFonts w:ascii="Calibri" w:cs="Calibri" w:eastAsia="Calibri" w:hAnsi="Calibri"/>
          <w:color w:val="222222"/>
          <w:sz w:val="22"/>
          <w:szCs w:val="22"/>
        </w:rPr>
        <w:t xml:space="preserve">Either way, nothing here requires an immediate decision beyond approving the first seven items — everything else can wait for the next review point.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Executive Summary — Custody Corp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B6B6B"/>
        <w:sz w:val="16"/>
        <w:szCs w:val="16"/>
      </w:rPr>
      <w:t xml:space="preserve">CARLOS J. MOLINA · GRC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2026-09-10T14:09:06.293Z</dcterms:created>
  <dcterms:modified xsi:type="dcterms:W3CDTF">2026-09-10T14:09:06.294Z</dcterms:modified>
</cp:coreProperties>
</file>

<file path=docProps/custom.xml><?xml version="1.0" encoding="utf-8"?>
<Properties xmlns="http://schemas.openxmlformats.org/officeDocument/2006/custom-properties" xmlns:vt="http://schemas.openxmlformats.org/officeDocument/2006/docPropsVTypes"/>
</file>