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80"/>
        <w:jc w:val="left"/>
      </w:pPr>
      <w:r>
        <w:drawing>
          <wp:inline xmlns:a="http://schemas.openxmlformats.org/drawingml/2006/main" xmlns:pic="http://schemas.openxmlformats.org/drawingml/2006/picture">
            <wp:extent cx="2468571" cy="576000"/>
            <wp:docPr id="1" name="Picture 1"/>
            <wp:cNvGraphicFramePr>
              <a:graphicFrameLocks noChangeAspect="1"/>
            </wp:cNvGraphicFramePr>
            <a:graphic>
              <a:graphicData uri="http://schemas.openxmlformats.org/drawingml/2006/picture">
                <pic:pic>
                  <pic:nvPicPr>
                    <pic:cNvPr id="0" name="two-tone.png"/>
                    <pic:cNvPicPr/>
                  </pic:nvPicPr>
                  <pic:blipFill>
                    <a:blip r:embed="rId9"/>
                    <a:stretch>
                      <a:fillRect/>
                    </a:stretch>
                  </pic:blipFill>
                  <pic:spPr>
                    <a:xfrm>
                      <a:off x="0" y="0"/>
                      <a:ext cx="2468571" cy="57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