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555555"/>
          <w:sz w:val="20"/>
        </w:rPr>
        <w:t>[Date]</w:t>
      </w:r>
    </w:p>
    <w:p>
      <w:r>
        <w:rPr>
          <w:sz w:val="20"/>
        </w:rPr>
        <w:t>[Recipient Name]</w:t>
        <w:br/>
        <w:t>[Address Line 1]</w:t>
        <w:br/>
        <w:t>[Suburb, State Postcode]</w:t>
      </w:r>
    </w:p>
    <w:p/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 for your project. [Body text — describe the project, scope, timeline, and next steps. Keep a warm, confident tone consistent with the brand.]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A52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Considered design.  Precision build.  ·  Option 5 — AI Custom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8409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k_v3_custom_slab_transparent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840924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rFonts w:ascii="Calibri" w:hAnsi="Calibri"/>
        <w:color w:val="6A5E42"/>
        <w:sz w:val="18"/>
      </w:rPr>
      <w:t>hello@lkdesignandbuild.com.au  ·  0481 742 026  ·  Adelaide, 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