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left"/>
      </w:pPr>
      <w:r>
        <w:drawing>
          <wp:inline xmlns:a="http://schemas.openxmlformats.org/drawingml/2006/main" xmlns:pic="http://schemas.openxmlformats.org/drawingml/2006/picture">
            <wp:extent cx="1350649" cy="936000"/>
            <wp:docPr id="1" name="Picture 1"/>
            <wp:cNvGraphicFramePr>
              <a:graphicFrameLocks noChangeAspect="1"/>
            </wp:cNvGraphicFramePr>
            <a:graphic>
              <a:graphicData uri="http://schemas.openxmlformats.org/drawingml/2006/picture">
                <pic:pic>
                  <pic:nvPicPr>
                    <pic:cNvPr id="0" name="charcoal-letterhead.png"/>
                    <pic:cNvPicPr/>
                  </pic:nvPicPr>
                  <pic:blipFill>
                    <a:blip r:embed="rId9"/>
                    <a:stretch>
                      <a:fillRect/>
                    </a:stretch>
                  </pic:blipFill>
                  <pic:spPr>
                    <a:xfrm>
                      <a:off x="0" y="0"/>
                      <a:ext cx="1350649"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666666"/>
          <w:sz w:val="16"/>
        </w:rPr>
        <w:t>0401 061 246  |  lyda@lkdesignandbuild.com.au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