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A0A0A"/>
  <w:body>
    <w:p>
      <w:pPr>
        <w:spacing w:after="0" w:line="240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350649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mpagne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0649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pBdr>
          <w:bottom w:val="single" w:sz="4" w:space="1" w:color="C9A96E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B0A89A"/>
          <w:sz w:val="16"/>
        </w:rPr>
        <w:t>0401 061 246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B0A89A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F2E6D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B0A89A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Description</w:t>
            </w:r>
          </w:p>
        </w:tc>
        <w:tc>
          <w:tcPr>
            <w:tcW w:type="dxa" w:w="1134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Qty</w:t>
            </w:r>
          </w:p>
        </w:tc>
        <w:tc>
          <w:tcPr>
            <w:tcW w:type="dxa" w:w="2551"/>
            <w:shd w:fill="F2E6D0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A0A0A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F2E6D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F2E6D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F2E6D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F2E6D0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B0A89A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F2E6D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F2E6D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B0A89A"/>
          <w:sz w:val="15"/>
        </w:rPr>
        <w:t>LK Design and Build  |  ABN 17 697 207 391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