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0" w:line="240" w:lineRule="auto"/>
        <w:jc w:val="left"/>
      </w:pPr>
      <w:r>
        <w:drawing>
          <wp:inline xmlns:a="http://schemas.openxmlformats.org/drawingml/2006/main" xmlns:pic="http://schemas.openxmlformats.org/drawingml/2006/picture">
            <wp:extent cx="1464025" cy="936000"/>
            <wp:docPr id="1" name="Picture 1"/>
            <wp:cNvGraphicFramePr>
              <a:graphicFrameLocks noChangeAspect="1"/>
            </wp:cNvGraphicFramePr>
            <a:graphic>
              <a:graphicData uri="http://schemas.openxmlformats.org/drawingml/2006/picture">
                <pic:pic>
                  <pic:nvPicPr>
                    <pic:cNvPr id="0" name="two-tone-letterhead.png"/>
                    <pic:cNvPicPr/>
                  </pic:nvPicPr>
                  <pic:blipFill>
                    <a:blip r:embed="rId9"/>
                    <a:stretch>
                      <a:fillRect/>
                    </a:stretch>
                  </pic:blipFill>
                  <pic:spPr>
                    <a:xfrm>
                      <a:off x="0" y="0"/>
                      <a:ext cx="1464025"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PO Box 867 Prospect East SA 5082</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