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980000" cy="1360318"/>
            <wp:docPr id="1" name="Picture 1"/>
            <wp:cNvGraphicFramePr>
              <a:graphicFrameLocks noChangeAspect="1"/>
            </wp:cNvGraphicFramePr>
            <a:graphic>
              <a:graphicData uri="http://schemas.openxmlformats.org/drawingml/2006/picture">
                <pic:pic>
                  <pic:nvPicPr>
                    <pic:cNvPr id="0" name="lk_v3_custom_slab_transparent_dark_alt.png"/>
                    <pic:cNvPicPr/>
                  </pic:nvPicPr>
                  <pic:blipFill>
                    <a:blip r:embed="rId9"/>
                    <a:stretch>
                      <a:fillRect/>
                    </a:stretch>
                  </pic:blipFill>
                  <pic:spPr>
                    <a:xfrm>
                      <a:off x="0" y="0"/>
                      <a:ext cx="1980000" cy="1360318"/>
                    </a:xfrm>
                    <a:prstGeom prst="rect"/>
                  </pic:spPr>
                </pic:pic>
              </a:graphicData>
            </a:graphic>
          </wp:inline>
        </w:drawing>
      </w:r>
    </w:p>
    <w:p>
      <w:pPr>
        <w:spacing w:before="4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40" w:after="40"/>
        <w:pBdr>
          <w:bottom w:val="single" w:sz="6" w:space="1" w:color="C9A96E"/>
        </w:pBdr>
      </w:pPr>
    </w:p>
    <w:p>
      <w:pPr>
        <w:spacing w:after="80"/>
        <w:jc w:val="center"/>
      </w:pPr>
      <w:r>
        <w:rPr>
          <w:rFonts w:ascii="Calibri" w:hAnsi="Calibri"/>
          <w:b w:val="0"/>
          <w:i/>
          <w:color w:val="666666"/>
          <w:sz w:val="14"/>
        </w:rPr>
        <w:t>LK Design and Build  |  Adelaide, South Australia  |  Option 5 — AI Custom Slab</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