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980000" cy="1838742"/>
            <wp:docPr id="1" name="Picture 1"/>
            <wp:cNvGraphicFramePr>
              <a:graphicFrameLocks noChangeAspect="1"/>
            </wp:cNvGraphicFramePr>
            <a:graphic>
              <a:graphicData uri="http://schemas.openxmlformats.org/drawingml/2006/picture">
                <pic:pic>
                  <pic:nvPicPr>
                    <pic:cNvPr id="0" name="lk_mark_01_monogram_transparent_dark_alt.png"/>
                    <pic:cNvPicPr/>
                  </pic:nvPicPr>
                  <pic:blipFill>
                    <a:blip r:embed="rId9"/>
                    <a:stretch>
                      <a:fillRect/>
                    </a:stretch>
                  </pic:blipFill>
                  <pic:spPr>
                    <a:xfrm>
                      <a:off x="0" y="0"/>
                      <a:ext cx="1980000" cy="1838742"/>
                    </a:xfrm>
                    <a:prstGeom prst="rect"/>
                  </pic:spPr>
                </pic:pic>
              </a:graphicData>
            </a:graphic>
          </wp:inline>
        </w:drawing>
      </w:r>
    </w:p>
    <w:p>
      <w:pPr>
        <w:spacing w:before="4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40" w:after="40"/>
        <w:pBdr>
          <w:bottom w:val="single" w:sz="6" w:space="1" w:color="C9A96E"/>
        </w:pBdr>
      </w:pPr>
    </w:p>
    <w:p>
      <w:pPr>
        <w:spacing w:after="80"/>
        <w:jc w:val="center"/>
      </w:pPr>
      <w:r>
        <w:rPr>
          <w:rFonts w:ascii="Calibri" w:hAnsi="Calibri"/>
          <w:b w:val="0"/>
          <w:i/>
          <w:color w:val="666666"/>
          <w:sz w:val="14"/>
        </w:rPr>
        <w:t>LK Design and Build  |  Adelaide, South Australia  |  Option 8 — Interlocking Monogram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