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1512000" cy="468720"/>
            <wp:docPr id="1" name="Picture 1"/>
            <wp:cNvGraphicFramePr>
              <a:graphicFrameLocks noChangeAspect="1"/>
            </wp:cNvGraphicFramePr>
            <a:graphic>
              <a:graphicData uri="http://schemas.openxmlformats.org/drawingml/2006/picture">
                <pic:pic>
                  <pic:nvPicPr>
                    <pic:cNvPr id="0" name="logo-print.png"/>
                    <pic:cNvPicPr/>
                  </pic:nvPicPr>
                  <pic:blipFill>
                    <a:blip r:embed="rId9"/>
                    <a:stretch>
                      <a:fillRect/>
                    </a:stretch>
                  </pic:blipFill>
                  <pic:spPr>
                    <a:xfrm>
                      <a:off x="0" y="0"/>
                      <a:ext cx="1512000" cy="468720"/>
                    </a:xfrm>
                    <a:prstGeom prst="rect"/>
                  </pic:spPr>
                </pic:pic>
              </a:graphicData>
            </a:graphic>
          </wp:inline>
        </w:drawing>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1 — Courier Slab</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