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drawing>
          <wp:inline xmlns:a="http://schemas.openxmlformats.org/drawingml/2006/main" xmlns:pic="http://schemas.openxmlformats.org/drawingml/2006/picture">
            <wp:extent cx="1512000" cy="883248"/>
            <wp:docPr id="1" name="Picture 1"/>
            <wp:cNvGraphicFramePr>
              <a:graphicFrameLocks noChangeAspect="1"/>
            </wp:cNvGraphicFramePr>
            <a:graphic>
              <a:graphicData uri="http://schemas.openxmlformats.org/drawingml/2006/picture">
                <pic:pic>
                  <pic:nvPicPr>
                    <pic:cNvPr id="0" name="lk_soft_04_elegant_ligature_transparent_dark_alt.png"/>
                    <pic:cNvPicPr/>
                  </pic:nvPicPr>
                  <pic:blipFill>
                    <a:blip r:embed="rId9"/>
                    <a:stretch>
                      <a:fillRect/>
                    </a:stretch>
                  </pic:blipFill>
                  <pic:spPr>
                    <a:xfrm>
                      <a:off x="0" y="0"/>
                      <a:ext cx="1512000" cy="883248"/>
                    </a:xfrm>
                    <a:prstGeom prst="rect"/>
                  </pic:spPr>
                </pic:pic>
              </a:graphicData>
            </a:graphic>
          </wp:inline>
        </w:drawing>
      </w:r>
    </w:p>
    <w:p>
      <w:pPr>
        <w:spacing w:after="40"/>
        <w:jc w:val="left"/>
      </w:pPr>
      <w:r>
        <w:rPr>
          <w:rFonts w:ascii="Calibri" w:hAnsi="Calibri"/>
          <w:b/>
          <w:color w:val="2C2C2C"/>
          <w:sz w:val="16"/>
          <w:spacing w:val="40"/>
        </w:rPr>
        <w:t>D E S I G N   A N D   B U I L D</w:t>
      </w:r>
    </w:p>
    <w:p>
      <w:pPr>
        <w:spacing w:before="8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80" w:after="40"/>
        <w:pBdr>
          <w:bottom w:val="single" w:sz="6" w:space="1" w:color="C9A96E"/>
        </w:pBdr>
      </w:pPr>
    </w:p>
    <w:p>
      <w:pPr>
        <w:spacing w:after="80"/>
        <w:jc w:val="center"/>
      </w:pPr>
      <w:r>
        <w:rPr>
          <w:rFonts w:ascii="Calibri" w:hAnsi="Calibri"/>
          <w:b w:val="0"/>
          <w:i/>
          <w:color w:val="666666"/>
          <w:sz w:val="14"/>
        </w:rPr>
        <w:t>LK Design and Build  |  Adelaide, South Australia  |  Option 10 — Elegant Soft Contrast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