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047990" cy="720000"/>
            <wp:docPr id="1" name="Picture 1"/>
            <wp:cNvGraphicFramePr>
              <a:graphicFrameLocks noChangeAspect="1"/>
            </wp:cNvGraphicFramePr>
            <a:graphic>
              <a:graphicData uri="http://schemas.openxmlformats.org/drawingml/2006/picture">
                <pic:pic>
                  <pic:nvPicPr>
                    <pic:cNvPr id="0" name="lk_v3_custom_slab_transparent_dark_alt.png"/>
                    <pic:cNvPicPr/>
                  </pic:nvPicPr>
                  <pic:blipFill>
                    <a:blip r:embed="rId9"/>
                    <a:stretch>
                      <a:fillRect/>
                    </a:stretch>
                  </pic:blipFill>
                  <pic:spPr>
                    <a:xfrm>
                      <a:off x="0" y="0"/>
                      <a:ext cx="1047990" cy="720000"/>
                    </a:xfrm>
                    <a:prstGeom prst="rect"/>
                  </pic:spPr>
                </pic:pic>
              </a:graphicData>
            </a:graphic>
          </wp:inline>
        </w:drawing>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5 — AI Custom Slab</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