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53F3AE57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BC7317"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3B4D9169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646399">
        <w:rPr>
          <w:rFonts w:ascii="Gotham Book" w:hAnsi="Gotham Book"/>
          <w:b/>
          <w:sz w:val="19"/>
          <w:szCs w:val="19"/>
        </w:rPr>
        <w:t xml:space="preserve">             </w:t>
      </w:r>
      <w:r w:rsidR="00567AC9">
        <w:rPr>
          <w:rFonts w:ascii="Gotham Book" w:hAnsi="Gotham Book"/>
          <w:sz w:val="19"/>
          <w:szCs w:val="19"/>
        </w:rPr>
        <w:t xml:space="preserve">Assist the </w:t>
      </w:r>
      <w:r w:rsidR="00A5603F">
        <w:rPr>
          <w:rFonts w:ascii="Gotham Book" w:hAnsi="Gotham Book"/>
          <w:sz w:val="19"/>
          <w:szCs w:val="19"/>
        </w:rPr>
        <w:t>Blue Origin New Glenn manufacturing team in building a vehicle to get people to space routinely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</w:t>
      </w:r>
      <w:bookmarkStart w:id="7" w:name="_GoBack"/>
      <w:bookmarkEnd w:id="7"/>
      <w:r w:rsidRPr="00793A61">
        <w:rPr>
          <w:rFonts w:ascii="Gotham Book" w:hAnsi="Gotham Book"/>
          <w:sz w:val="19"/>
          <w:szCs w:val="19"/>
        </w:rPr>
        <w:t>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p w14:paraId="13AB654E" w14:textId="7A476169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8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6BE67B60" w:rsidR="00611D03" w:rsidRPr="005A7BCE" w:rsidRDefault="00611D03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Board, Member at Large</w:t>
      </w:r>
    </w:p>
    <w:p w14:paraId="57F9075B" w14:textId="77777777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>, the largest student-run space organization in the world,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0255BEB4" w14:textId="079C2546" w:rsidR="00611D03" w:rsidRPr="00611D03" w:rsidRDefault="00A66A42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</w:t>
      </w:r>
      <w:r w:rsidR="00611D03">
        <w:rPr>
          <w:rFonts w:ascii="Gotham Book" w:hAnsi="Gotham Book"/>
          <w:sz w:val="19"/>
          <w:szCs w:val="19"/>
        </w:rPr>
        <w:t>ill be released to the public in November 2019 during our annual SpaceVision SEDS conference hosted by ASU</w:t>
      </w:r>
      <w:r w:rsidR="006908FD">
        <w:rPr>
          <w:rFonts w:ascii="Gotham Book" w:hAnsi="Gotham Book"/>
          <w:sz w:val="19"/>
          <w:szCs w:val="19"/>
        </w:rPr>
        <w:t>.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2443" w14:textId="77777777" w:rsidR="008D43FE" w:rsidRDefault="008D43FE" w:rsidP="004B61A3">
      <w:r>
        <w:separator/>
      </w:r>
    </w:p>
  </w:endnote>
  <w:endnote w:type="continuationSeparator" w:id="0">
    <w:p w14:paraId="53CD0A72" w14:textId="77777777" w:rsidR="008D43FE" w:rsidRDefault="008D43FE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3B7D" w14:textId="77777777" w:rsidR="008D43FE" w:rsidRDefault="008D43FE" w:rsidP="004B61A3">
      <w:r>
        <w:separator/>
      </w:r>
    </w:p>
  </w:footnote>
  <w:footnote w:type="continuationSeparator" w:id="0">
    <w:p w14:paraId="416B8F28" w14:textId="77777777" w:rsidR="008D43FE" w:rsidRDefault="008D43FE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02E2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12234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6399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D43FE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5603F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C7317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1EE1-4872-40D9-A494-98BA5410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19</cp:revision>
  <cp:lastPrinted>2018-11-07T04:14:00Z</cp:lastPrinted>
  <dcterms:created xsi:type="dcterms:W3CDTF">2019-07-08T05:12:00Z</dcterms:created>
  <dcterms:modified xsi:type="dcterms:W3CDTF">2019-09-15T00:25:00Z</dcterms:modified>
</cp:coreProperties>
</file>